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1"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jc w:val="center"/>
        <w:ind w:right="40"/>
        <w:spacing w:after="0"/>
        <w:rPr>
          <w:sz w:val="20"/>
          <w:szCs w:val="20"/>
          <w:color w:val="auto"/>
        </w:rPr>
      </w:pPr>
      <w:r>
        <w:rPr>
          <w:rFonts w:ascii="Arial" w:cs="Arial" w:eastAsia="Arial" w:hAnsi="Arial"/>
          <w:sz w:val="16"/>
          <w:szCs w:val="16"/>
          <w:b w:val="1"/>
          <w:bCs w:val="1"/>
          <w:color w:val="auto"/>
        </w:rPr>
        <w:t>For the Fiscal Year Ended</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March 31, 2022</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No.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EAGLE MATERIALS INC.</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Delaware </w:t>
      </w:r>
      <w:r>
        <w:rPr>
          <w:rFonts w:ascii="Arial" w:cs="Arial" w:eastAsia="Arial" w:hAnsi="Arial"/>
          <w:sz w:val="14"/>
          <w:szCs w:val="14"/>
          <w:color w:val="auto"/>
        </w:rPr>
        <w:t>(State of Incorporation)</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75-2520779 </w:t>
      </w:r>
      <w:r>
        <w:rPr>
          <w:rFonts w:ascii="Arial" w:cs="Arial" w:eastAsia="Arial" w:hAnsi="Arial"/>
          <w:sz w:val="14"/>
          <w:szCs w:val="14"/>
          <w:color w:val="auto"/>
        </w:rPr>
        <w:t>(I.R.S. Employer Identification No.)</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5960 Berkshire Lane, Suite 900, Dallas, Texas 75225 </w:t>
      </w:r>
      <w:r>
        <w:rPr>
          <w:rFonts w:ascii="Arial" w:cs="Arial" w:eastAsia="Arial" w:hAnsi="Arial"/>
          <w:sz w:val="14"/>
          <w:szCs w:val="14"/>
          <w:color w:val="auto"/>
        </w:rPr>
        <w:t>(Address of principal executive offices)</w:t>
      </w:r>
    </w:p>
    <w:p>
      <w:pPr>
        <w:spacing w:after="0" w:line="31" w:lineRule="exact"/>
        <w:rPr>
          <w:sz w:val="24"/>
          <w:szCs w:val="24"/>
          <w:color w:val="auto"/>
        </w:rPr>
      </w:pPr>
    </w:p>
    <w:p>
      <w:pPr>
        <w:ind w:left="4420" w:hanging="418"/>
        <w:spacing w:after="0"/>
        <w:tabs>
          <w:tab w:leader="none" w:pos="44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432-2000 </w:t>
      </w:r>
      <w:r>
        <w:rPr>
          <w:rFonts w:ascii="Arial" w:cs="Arial" w:eastAsia="Arial" w:hAnsi="Arial"/>
          <w:sz w:val="14"/>
          <w:szCs w:val="14"/>
          <w:color w:val="auto"/>
        </w:rPr>
        <w:t>(Registrant’s telephone number)</w:t>
      </w:r>
    </w:p>
    <w:p>
      <w:pPr>
        <w:spacing w:after="0" w:line="16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20" w:type="dxa"/>
            <w:vAlign w:val="bottom"/>
          </w:tcPr>
          <w:p>
            <w:pPr>
              <w:spacing w:after="0"/>
              <w:rPr>
                <w:sz w:val="16"/>
                <w:szCs w:val="16"/>
                <w:color w:val="auto"/>
              </w:rPr>
            </w:pPr>
          </w:p>
        </w:tc>
        <w:tc>
          <w:tcPr>
            <w:tcW w:w="44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7"/>
                <w:szCs w:val="17"/>
                <w:color w:val="auto"/>
              </w:rPr>
            </w:pPr>
          </w:p>
        </w:tc>
        <w:tc>
          <w:tcPr>
            <w:tcW w:w="448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500" w:type="dxa"/>
            <w:vAlign w:val="bottom"/>
          </w:tcPr>
          <w:p>
            <w:pPr>
              <w:jc w:val="center"/>
              <w:spacing w:after="0"/>
              <w:rPr>
                <w:sz w:val="20"/>
                <w:szCs w:val="20"/>
                <w:color w:val="auto"/>
              </w:rPr>
            </w:pPr>
            <w:r>
              <w:rPr>
                <w:rFonts w:ascii="Arial" w:cs="Arial" w:eastAsia="Arial" w:hAnsi="Arial"/>
                <w:sz w:val="14"/>
                <w:szCs w:val="14"/>
                <w:color w:val="auto"/>
              </w:rPr>
              <w:t>Common Stock (par value $.01 per share)</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9"/>
              </w:rPr>
              <w:t>EXP</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20" w:type="dxa"/>
            <w:vAlign w:val="bottom"/>
          </w:tcPr>
          <w:p>
            <w:pPr>
              <w:jc w:val="center"/>
              <w:ind w:right="128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330"/>
        </w:trPr>
        <w:tc>
          <w:tcPr>
            <w:tcW w:w="8120" w:type="dxa"/>
            <w:vAlign w:val="bottom"/>
            <w:gridSpan w:val="6"/>
          </w:tcPr>
          <w:p>
            <w:pPr>
              <w:ind w:left="3160"/>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19"/>
                <w:szCs w:val="19"/>
                <w:color w:val="auto"/>
              </w:rPr>
            </w:pPr>
          </w:p>
        </w:tc>
        <w:tc>
          <w:tcPr>
            <w:tcW w:w="2260" w:type="dxa"/>
            <w:vAlign w:val="bottom"/>
            <w:tcBorders>
              <w:bottom w:val="single" w:sz="8" w:color="auto"/>
            </w:tcBorders>
            <w:gridSpan w:val="3"/>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120" w:type="dxa"/>
            <w:vAlign w:val="bottom"/>
            <w:vMerge w:val="restart"/>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95"/>
        </w:trPr>
        <w:tc>
          <w:tcPr>
            <w:tcW w:w="754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580" w:type="dxa"/>
            <w:vAlign w:val="bottom"/>
            <w:vMerge w:val="continue"/>
          </w:tcPr>
          <w:p>
            <w:pPr>
              <w:spacing w:after="0"/>
              <w:rPr>
                <w:sz w:val="24"/>
                <w:szCs w:val="24"/>
                <w:color w:val="auto"/>
              </w:rPr>
            </w:pPr>
          </w:p>
        </w:tc>
        <w:tc>
          <w:tcPr>
            <w:tcW w:w="3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54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58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120" w:type="dxa"/>
            <w:vAlign w:val="bottom"/>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100"/>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9" w:lineRule="exact"/>
        <w:rPr>
          <w:sz w:val="24"/>
          <w:szCs w:val="24"/>
          <w:color w:val="auto"/>
        </w:rPr>
      </w:pPr>
    </w:p>
    <w:p>
      <w:pPr>
        <w:ind w:right="6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definition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25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88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26"/>
        </w:trPr>
        <w:tc>
          <w:tcPr>
            <w:tcW w:w="382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3780" w:type="dxa"/>
            <w:vAlign w:val="bottom"/>
          </w:tcPr>
          <w:p>
            <w:pPr>
              <w:spacing w:after="0"/>
              <w:rPr>
                <w:sz w:val="19"/>
                <w:szCs w:val="19"/>
                <w:color w:val="auto"/>
              </w:rPr>
            </w:pPr>
          </w:p>
        </w:tc>
      </w:tr>
    </w:tbl>
    <w:p>
      <w:pPr>
        <w:spacing w:after="0" w:line="41"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ind w:right="4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tabs>
          <w:tab w:leader="none" w:pos="72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6" w:lineRule="exact"/>
        <w:rPr>
          <w:sz w:val="24"/>
          <w:szCs w:val="24"/>
          <w:color w:val="auto"/>
        </w:rPr>
      </w:pPr>
    </w:p>
    <w:p>
      <w:pPr>
        <w:ind w:right="200"/>
        <w:spacing w:after="0" w:line="258" w:lineRule="auto"/>
        <w:rPr>
          <w:sz w:val="20"/>
          <w:szCs w:val="20"/>
          <w:color w:val="auto"/>
        </w:rPr>
      </w:pPr>
      <w:r>
        <w:rPr>
          <w:rFonts w:ascii="Arial" w:cs="Arial" w:eastAsia="Arial" w:hAnsi="Arial"/>
          <w:sz w:val="14"/>
          <w:szCs w:val="14"/>
          <w:color w:val="auto"/>
        </w:rPr>
        <w:t>The aggregate market value of the voting stock held by nonaffiliates of the Company at September 30, 2021 (the last business day of the registrant’s most recently completed second fiscal quarter) was approximately $5.3 billion.</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As of May 18, 2022, the number of outstanding shares of common stock was: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Class</w:t>
            </w:r>
          </w:p>
        </w:tc>
        <w:tc>
          <w:tcPr>
            <w:tcW w:w="220" w:type="dxa"/>
            <w:vAlign w:val="bottom"/>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Outstanding Shares</w:t>
            </w:r>
          </w:p>
        </w:tc>
      </w:tr>
      <w:tr>
        <w:trPr>
          <w:trHeight w:val="167"/>
        </w:trPr>
        <w:tc>
          <w:tcPr>
            <w:tcW w:w="5520" w:type="dxa"/>
            <w:vAlign w:val="bottom"/>
          </w:tcPr>
          <w:p>
            <w:pPr>
              <w:jc w:val="center"/>
              <w:spacing w:after="0"/>
              <w:rPr>
                <w:sz w:val="20"/>
                <w:szCs w:val="20"/>
                <w:color w:val="auto"/>
              </w:rPr>
            </w:pPr>
            <w:r>
              <w:rPr>
                <w:rFonts w:ascii="Arial" w:cs="Arial" w:eastAsia="Arial" w:hAnsi="Arial"/>
                <w:sz w:val="14"/>
                <w:szCs w:val="14"/>
                <w:color w:val="auto"/>
              </w:rPr>
              <w:t>Common Stock, $.01 Par Value</w:t>
            </w:r>
          </w:p>
        </w:tc>
        <w:tc>
          <w:tcPr>
            <w:tcW w:w="220" w:type="dxa"/>
            <w:vAlign w:val="bottom"/>
          </w:tcPr>
          <w:p>
            <w:pPr>
              <w:spacing w:after="0"/>
              <w:rPr>
                <w:sz w:val="14"/>
                <w:szCs w:val="14"/>
                <w:color w:val="auto"/>
              </w:rPr>
            </w:pPr>
          </w:p>
        </w:tc>
        <w:tc>
          <w:tcPr>
            <w:tcW w:w="5500" w:type="dxa"/>
            <w:vAlign w:val="bottom"/>
          </w:tcPr>
          <w:p>
            <w:pPr>
              <w:jc w:val="right"/>
              <w:ind w:right="2313"/>
              <w:spacing w:after="0"/>
              <w:rPr>
                <w:sz w:val="20"/>
                <w:szCs w:val="20"/>
                <w:color w:val="auto"/>
              </w:rPr>
            </w:pPr>
            <w:r>
              <w:rPr>
                <w:rFonts w:ascii="Arial" w:cs="Arial" w:eastAsia="Arial" w:hAnsi="Arial"/>
                <w:sz w:val="14"/>
                <w:szCs w:val="14"/>
                <w:color w:val="auto"/>
              </w:rPr>
              <w:t>38,199,438</w:t>
            </w:r>
          </w:p>
        </w:tc>
      </w:tr>
    </w:tbl>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82" w:lineRule="exact"/>
        <w:rPr>
          <w:sz w:val="24"/>
          <w:szCs w:val="24"/>
          <w:color w:val="auto"/>
        </w:rPr>
      </w:pPr>
    </w:p>
    <w:p>
      <w:pPr>
        <w:ind w:right="380"/>
        <w:spacing w:after="0" w:line="258" w:lineRule="auto"/>
        <w:rPr>
          <w:sz w:val="20"/>
          <w:szCs w:val="20"/>
          <w:color w:val="auto"/>
        </w:rPr>
      </w:pPr>
      <w:r>
        <w:rPr>
          <w:rFonts w:ascii="Arial" w:cs="Arial" w:eastAsia="Arial" w:hAnsi="Arial"/>
          <w:sz w:val="14"/>
          <w:szCs w:val="14"/>
          <w:color w:val="auto"/>
        </w:rPr>
        <w:t>Portions of the Proxy Statement for the Annual Meeting of Stockholders of Eagle Materials Inc. to be held on August 5, 2022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40" w:type="dxa"/>
            <w:vAlign w:val="bottom"/>
            <w:tcBorders>
              <w:bottom w:val="single" w:sz="8" w:color="auto"/>
            </w:tcBorders>
            <w:gridSpan w:val="2"/>
          </w:tcPr>
          <w:p>
            <w:pPr>
              <w:spacing w:after="0"/>
              <w:rPr>
                <w:rFonts w:ascii="Arial" w:cs="Arial" w:eastAsia="Arial" w:hAnsi="Arial"/>
                <w:sz w:val="20"/>
                <w:szCs w:val="20"/>
                <w:b w:val="1"/>
                <w:bCs w:val="1"/>
                <w:color w:val="auto"/>
                <w:w w:val="94"/>
              </w:rPr>
            </w:pPr>
            <w:hyperlink w:anchor="page3">
              <w:r>
                <w:rPr>
                  <w:rFonts w:ascii="Arial" w:cs="Arial" w:eastAsia="Arial" w:hAnsi="Arial"/>
                  <w:sz w:val="20"/>
                  <w:szCs w:val="20"/>
                  <w:b w:val="1"/>
                  <w:bCs w:val="1"/>
                  <w:color w:val="auto"/>
                  <w:w w:val="94"/>
                </w:rPr>
                <w:t>PART I</w:t>
              </w:r>
            </w:hyperlink>
          </w:p>
        </w:tc>
        <w:tc>
          <w:tcPr>
            <w:tcW w:w="680" w:type="dxa"/>
            <w:vAlign w:val="bottom"/>
            <w:gridSpan w:val="4"/>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30"/>
          </w:tcPr>
          <w:p>
            <w:pPr>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80" w:type="dxa"/>
            <w:vAlign w:val="bottom"/>
            <w:gridSpan w:val="29"/>
          </w:tcPr>
          <w:p>
            <w:pPr>
              <w:spacing w:after="0" w:line="156" w:lineRule="exact"/>
              <w:rPr>
                <w:rFonts w:ascii="Arial" w:cs="Arial" w:eastAsia="Arial" w:hAnsi="Arial"/>
                <w:sz w:val="18"/>
                <w:szCs w:val="18"/>
                <w:color w:val="auto"/>
              </w:rPr>
            </w:pPr>
            <w:hyperlink w:anchor="page3">
              <w:r>
                <w:rPr>
                  <w:rFonts w:ascii="Arial" w:cs="Arial" w:eastAsia="Arial" w:hAnsi="Arial"/>
                  <w:sz w:val="18"/>
                  <w:szCs w:val="18"/>
                  <w:color w:val="auto"/>
                </w:rPr>
                <w:t>Overview</w:t>
              </w:r>
            </w:hyperlink>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80" w:type="dxa"/>
            <w:vAlign w:val="bottom"/>
            <w:gridSpan w:val="29"/>
          </w:tcPr>
          <w:p>
            <w:pPr>
              <w:spacing w:after="0" w:line="156" w:lineRule="exact"/>
              <w:rPr>
                <w:rFonts w:ascii="Arial" w:cs="Arial" w:eastAsia="Arial" w:hAnsi="Arial"/>
                <w:sz w:val="18"/>
                <w:szCs w:val="18"/>
                <w:color w:val="auto"/>
              </w:rPr>
            </w:pPr>
            <w:hyperlink w:anchor="page5">
              <w:r>
                <w:rPr>
                  <w:rFonts w:ascii="Arial" w:cs="Arial" w:eastAsia="Arial" w:hAnsi="Arial"/>
                  <w:sz w:val="18"/>
                  <w:szCs w:val="18"/>
                  <w:color w:val="auto"/>
                </w:rPr>
                <w:t>Fiscal 2022 Highlights</w:t>
              </w:r>
            </w:hyperlink>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Human Capital</w:t>
              </w:r>
            </w:hyperlink>
          </w:p>
        </w:tc>
        <w:tc>
          <w:tcPr>
            <w:tcW w:w="56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80" w:type="dxa"/>
            <w:vAlign w:val="bottom"/>
            <w:gridSpan w:val="29"/>
          </w:tcPr>
          <w:p>
            <w:pPr>
              <w:spacing w:after="0" w:line="156" w:lineRule="exact"/>
              <w:rPr>
                <w:rFonts w:ascii="Arial" w:cs="Arial" w:eastAsia="Arial" w:hAnsi="Arial"/>
                <w:sz w:val="18"/>
                <w:szCs w:val="18"/>
                <w:color w:val="auto"/>
              </w:rPr>
            </w:pPr>
            <w:hyperlink w:anchor="page6">
              <w:r>
                <w:rPr>
                  <w:rFonts w:ascii="Arial" w:cs="Arial" w:eastAsia="Arial" w:hAnsi="Arial"/>
                  <w:sz w:val="18"/>
                  <w:szCs w:val="18"/>
                  <w:color w:val="auto"/>
                </w:rPr>
                <w:t>Industry Segment Information</w:t>
              </w:r>
            </w:hyperlink>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tcBorders>
              <w:top w:val="single" w:sz="8" w:color="0000EE"/>
            </w:tcBorders>
            <w:gridSpan w:val="16"/>
          </w:tcPr>
          <w:p>
            <w:pPr>
              <w:spacing w:after="0" w:line="156" w:lineRule="exact"/>
              <w:rPr>
                <w:rFonts w:ascii="Arial" w:cs="Arial" w:eastAsia="Arial" w:hAnsi="Arial"/>
                <w:sz w:val="18"/>
                <w:szCs w:val="18"/>
                <w:color w:val="auto"/>
              </w:rPr>
            </w:pPr>
            <w:hyperlink w:anchor="page23">
              <w:r>
                <w:rPr>
                  <w:rFonts w:ascii="Arial" w:cs="Arial" w:eastAsia="Arial" w:hAnsi="Arial"/>
                  <w:sz w:val="18"/>
                  <w:szCs w:val="18"/>
                  <w:color w:val="auto"/>
                </w:rPr>
                <w:t>Where You Can Find More</w:t>
              </w:r>
            </w:hyperlink>
          </w:p>
        </w:tc>
        <w:tc>
          <w:tcPr>
            <w:tcW w:w="6620" w:type="dxa"/>
            <w:vAlign w:val="bottom"/>
            <w:gridSpan w:val="13"/>
          </w:tcPr>
          <w:p>
            <w:pPr>
              <w:spacing w:after="0" w:line="156" w:lineRule="exact"/>
              <w:rPr>
                <w:rFonts w:ascii="Arial" w:cs="Arial" w:eastAsia="Arial" w:hAnsi="Arial"/>
                <w:sz w:val="18"/>
                <w:szCs w:val="18"/>
                <w:color w:val="auto"/>
              </w:rPr>
            </w:pPr>
            <w:hyperlink w:anchor="page23">
              <w:r>
                <w:rPr>
                  <w:rFonts w:ascii="Arial" w:cs="Arial" w:eastAsia="Arial" w:hAnsi="Arial"/>
                  <w:sz w:val="18"/>
                  <w:szCs w:val="18"/>
                  <w:color w:val="auto"/>
                </w:rPr>
                <w:t>Information</w:t>
              </w:r>
            </w:hyperlink>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6"/>
            <w:vMerge w:val="restart"/>
          </w:tcPr>
          <w:p>
            <w:pPr>
              <w:spacing w:after="0" w:line="176" w:lineRule="exact"/>
              <w:rPr>
                <w:sz w:val="20"/>
                <w:szCs w:val="20"/>
                <w:color w:val="auto"/>
              </w:rPr>
            </w:pPr>
            <w:r>
              <w:rPr>
                <w:rFonts w:ascii="Arial" w:cs="Arial" w:eastAsia="Arial" w:hAnsi="Arial"/>
                <w:sz w:val="18"/>
                <w:szCs w:val="18"/>
                <w:color w:val="auto"/>
              </w:rPr>
              <w:t>Item 1A.</w:t>
            </w: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vMerge w:val="continue"/>
          </w:tcPr>
          <w:p>
            <w:pPr>
              <w:spacing w:after="0"/>
              <w:rPr>
                <w:sz w:val="13"/>
                <w:szCs w:val="13"/>
                <w:color w:val="auto"/>
              </w:rPr>
            </w:pPr>
          </w:p>
        </w:tc>
        <w:tc>
          <w:tcPr>
            <w:tcW w:w="3280" w:type="dxa"/>
            <w:vAlign w:val="bottom"/>
            <w:gridSpan w:val="20"/>
          </w:tcPr>
          <w:p>
            <w:pPr>
              <w:spacing w:after="0" w:line="156" w:lineRule="exact"/>
              <w:rPr>
                <w:rFonts w:ascii="Arial" w:cs="Arial" w:eastAsia="Arial" w:hAnsi="Arial"/>
                <w:sz w:val="18"/>
                <w:szCs w:val="18"/>
                <w:color w:val="auto"/>
              </w:rPr>
            </w:pPr>
            <w:hyperlink w:anchor="page24">
              <w:r>
                <w:rPr>
                  <w:rFonts w:ascii="Arial" w:cs="Arial" w:eastAsia="Arial" w:hAnsi="Arial"/>
                  <w:sz w:val="18"/>
                  <w:szCs w:val="18"/>
                  <w:color w:val="auto"/>
                </w:rPr>
                <w:t>Risk Factors</w:t>
              </w:r>
            </w:hyperlink>
          </w:p>
        </w:tc>
        <w:tc>
          <w:tcPr>
            <w:tcW w:w="4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EE"/>
            </w:tcBorders>
            <w:gridSpan w:val="6"/>
          </w:tcPr>
          <w:p>
            <w:pPr>
              <w:spacing w:after="0" w:line="156" w:lineRule="exact"/>
              <w:rPr>
                <w:rFonts w:ascii="Arial" w:cs="Arial" w:eastAsia="Arial" w:hAnsi="Arial"/>
                <w:sz w:val="18"/>
                <w:szCs w:val="18"/>
                <w:color w:val="auto"/>
              </w:rPr>
            </w:pPr>
            <w:hyperlink w:anchor="page36">
              <w:r>
                <w:rPr>
                  <w:rFonts w:ascii="Arial" w:cs="Arial" w:eastAsia="Arial" w:hAnsi="Arial"/>
                  <w:sz w:val="18"/>
                  <w:szCs w:val="18"/>
                  <w:color w:val="auto"/>
                </w:rPr>
                <w:t>Unresolved</w:t>
              </w:r>
            </w:hyperlink>
          </w:p>
        </w:tc>
        <w:tc>
          <w:tcPr>
            <w:tcW w:w="8200" w:type="dxa"/>
            <w:vAlign w:val="bottom"/>
            <w:gridSpan w:val="24"/>
          </w:tcPr>
          <w:p>
            <w:pPr>
              <w:spacing w:after="0" w:line="156" w:lineRule="exact"/>
              <w:rPr>
                <w:rFonts w:ascii="Arial" w:cs="Arial" w:eastAsia="Arial" w:hAnsi="Arial"/>
                <w:sz w:val="18"/>
                <w:szCs w:val="18"/>
                <w:color w:val="auto"/>
              </w:rPr>
            </w:pPr>
            <w:hyperlink w:anchor="page36">
              <w:r>
                <w:rPr>
                  <w:rFonts w:ascii="Arial" w:cs="Arial" w:eastAsia="Arial" w:hAnsi="Arial"/>
                  <w:sz w:val="18"/>
                  <w:szCs w:val="18"/>
                  <w:color w:val="auto"/>
                </w:rPr>
                <w:t>Staff Comments</w:t>
              </w:r>
            </w:hyperlink>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auto"/>
                <w:w w:val="97"/>
              </w:rPr>
            </w:pPr>
            <w:hyperlink w:anchor="page36">
              <w:r>
                <w:rPr>
                  <w:rFonts w:ascii="Arial" w:cs="Arial" w:eastAsia="Arial" w:hAnsi="Arial"/>
                  <w:sz w:val="18"/>
                  <w:szCs w:val="18"/>
                  <w:color w:val="auto"/>
                  <w:w w:val="97"/>
                </w:rPr>
                <w:t>Properties</w:t>
              </w:r>
            </w:hyperlink>
          </w:p>
        </w:tc>
        <w:tc>
          <w:tcPr>
            <w:tcW w:w="1420" w:type="dxa"/>
            <w:vAlign w:val="bottom"/>
            <w:tcBorders>
              <w:top w:val="single" w:sz="8" w:color="0000EE"/>
            </w:tcBorders>
            <w:gridSpan w:val="12"/>
          </w:tcPr>
          <w:p>
            <w:pPr>
              <w:spacing w:after="0"/>
              <w:rPr>
                <w:sz w:val="13"/>
                <w:szCs w:val="13"/>
                <w:color w:val="auto"/>
              </w:rPr>
            </w:pPr>
          </w:p>
        </w:tc>
        <w:tc>
          <w:tcPr>
            <w:tcW w:w="9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3.</w:t>
            </w:r>
          </w:p>
        </w:tc>
        <w:tc>
          <w:tcPr>
            <w:tcW w:w="9200" w:type="dxa"/>
            <w:vAlign w:val="bottom"/>
            <w:gridSpan w:val="30"/>
          </w:tcPr>
          <w:p>
            <w:pPr>
              <w:spacing w:after="0" w:line="156" w:lineRule="exact"/>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6"/>
            <w:vMerge w:val="restart"/>
          </w:tcPr>
          <w:p>
            <w:pPr>
              <w:spacing w:after="0" w:line="176" w:lineRule="exact"/>
              <w:rPr>
                <w:sz w:val="20"/>
                <w:szCs w:val="20"/>
                <w:color w:val="auto"/>
              </w:rPr>
            </w:pPr>
            <w:r>
              <w:rPr>
                <w:rFonts w:ascii="Arial" w:cs="Arial" w:eastAsia="Arial" w:hAnsi="Arial"/>
                <w:sz w:val="18"/>
                <w:szCs w:val="18"/>
                <w:color w:val="auto"/>
              </w:rPr>
              <w:t>Item 4.</w:t>
            </w:r>
          </w:p>
        </w:tc>
        <w:tc>
          <w:tcPr>
            <w:tcW w:w="40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vMerge w:val="continue"/>
          </w:tcPr>
          <w:p>
            <w:pPr>
              <w:spacing w:after="0"/>
              <w:rPr>
                <w:sz w:val="13"/>
                <w:szCs w:val="13"/>
                <w:color w:val="auto"/>
              </w:rPr>
            </w:pPr>
          </w:p>
        </w:tc>
        <w:tc>
          <w:tcPr>
            <w:tcW w:w="9200" w:type="dxa"/>
            <w:vAlign w:val="bottom"/>
            <w:gridSpan w:val="30"/>
          </w:tcPr>
          <w:p>
            <w:pPr>
              <w:spacing w:after="0" w:line="157" w:lineRule="exact"/>
              <w:rPr>
                <w:rFonts w:ascii="Arial" w:cs="Arial" w:eastAsia="Arial" w:hAnsi="Arial"/>
                <w:sz w:val="18"/>
                <w:szCs w:val="18"/>
                <w:color w:val="auto"/>
              </w:rPr>
            </w:pPr>
            <w:hyperlink w:anchor="page37">
              <w:r>
                <w:rPr>
                  <w:rFonts w:ascii="Arial" w:cs="Arial" w:eastAsia="Arial" w:hAnsi="Arial"/>
                  <w:sz w:val="18"/>
                  <w:szCs w:val="18"/>
                  <w:color w:val="auto"/>
                </w:rPr>
                <w:t>Mine Safety Disclosures</w:t>
              </w:r>
            </w:hyperlink>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gridSpan w:val="6"/>
          </w:tcPr>
          <w:p>
            <w:pPr>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w:t>
              </w:r>
            </w:hyperlink>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5.</w:t>
            </w:r>
          </w:p>
        </w:tc>
        <w:tc>
          <w:tcPr>
            <w:tcW w:w="700" w:type="dxa"/>
            <w:vAlign w:val="bottom"/>
            <w:gridSpan w:val="5"/>
          </w:tcPr>
          <w:p>
            <w:pPr>
              <w:spacing w:after="0"/>
              <w:rPr>
                <w:sz w:val="24"/>
                <w:szCs w:val="24"/>
                <w:color w:val="auto"/>
              </w:rPr>
            </w:pPr>
          </w:p>
        </w:tc>
        <w:tc>
          <w:tcPr>
            <w:tcW w:w="9200" w:type="dxa"/>
            <w:vAlign w:val="bottom"/>
            <w:gridSpan w:val="30"/>
          </w:tcPr>
          <w:p>
            <w:pPr>
              <w:spacing w:after="0"/>
              <w:rPr>
                <w:rFonts w:ascii="Arial" w:cs="Arial" w:eastAsia="Arial" w:hAnsi="Arial"/>
                <w:sz w:val="18"/>
                <w:szCs w:val="18"/>
                <w:color w:val="auto"/>
              </w:rPr>
            </w:pPr>
            <w:hyperlink w:anchor="page38">
              <w:r>
                <w:rPr>
                  <w:rFonts w:ascii="Arial" w:cs="Arial" w:eastAsia="Arial" w:hAnsi="Arial"/>
                  <w:sz w:val="18"/>
                  <w:szCs w:val="18"/>
                  <w:color w:val="auto"/>
                </w:rPr>
                <w:t>Market for Registrant’s Common Equity, Related Stockholder Matters, and Issuer Purchases of Equity Securities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6.</w:t>
            </w:r>
          </w:p>
        </w:tc>
        <w:tc>
          <w:tcPr>
            <w:tcW w:w="8920" w:type="dxa"/>
            <w:vAlign w:val="bottom"/>
            <w:tcBorders>
              <w:top w:val="single" w:sz="8" w:color="0000EE"/>
            </w:tcBorders>
            <w:gridSpan w:val="29"/>
          </w:tcPr>
          <w:p>
            <w:pPr>
              <w:spacing w:after="0" w:line="156" w:lineRule="exact"/>
              <w:rPr>
                <w:rFonts w:ascii="Arial" w:cs="Arial" w:eastAsia="Arial" w:hAnsi="Arial"/>
                <w:sz w:val="18"/>
                <w:szCs w:val="18"/>
                <w:color w:val="auto"/>
              </w:rPr>
            </w:pPr>
            <w:hyperlink w:anchor="page40">
              <w:r>
                <w:rPr>
                  <w:rFonts w:ascii="Arial" w:cs="Arial" w:eastAsia="Arial" w:hAnsi="Arial"/>
                  <w:sz w:val="18"/>
                  <w:szCs w:val="18"/>
                  <w:color w:val="auto"/>
                </w:rPr>
                <w:t>Selected Financial Data</w:t>
              </w:r>
            </w:hyperlink>
          </w:p>
        </w:tc>
        <w:tc>
          <w:tcPr>
            <w:tcW w:w="28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7.</w:t>
            </w:r>
          </w:p>
        </w:tc>
        <w:tc>
          <w:tcPr>
            <w:tcW w:w="1900" w:type="dxa"/>
            <w:vAlign w:val="bottom"/>
            <w:tcBorders>
              <w:top w:val="single" w:sz="8" w:color="0000EE"/>
            </w:tcBorders>
            <w:gridSpan w:val="11"/>
          </w:tcPr>
          <w:p>
            <w:pPr>
              <w:spacing w:after="0" w:line="156" w:lineRule="exact"/>
              <w:rPr>
                <w:rFonts w:ascii="Arial" w:cs="Arial" w:eastAsia="Arial" w:hAnsi="Arial"/>
                <w:sz w:val="18"/>
                <w:szCs w:val="18"/>
                <w:color w:val="auto"/>
                <w:w w:val="89"/>
              </w:rPr>
            </w:pPr>
            <w:hyperlink w:anchor="page40">
              <w:r>
                <w:rPr>
                  <w:rFonts w:ascii="Arial" w:cs="Arial" w:eastAsia="Arial" w:hAnsi="Arial"/>
                  <w:sz w:val="18"/>
                  <w:szCs w:val="18"/>
                  <w:color w:val="auto"/>
                  <w:w w:val="89"/>
                </w:rPr>
                <w:t>Management’s Discussion</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gridSpan w:val="15"/>
          </w:tcPr>
          <w:p>
            <w:pPr>
              <w:ind w:left="120"/>
              <w:spacing w:after="0" w:line="156" w:lineRule="exact"/>
              <w:rPr>
                <w:rFonts w:ascii="Arial" w:cs="Arial" w:eastAsia="Arial" w:hAnsi="Arial"/>
                <w:sz w:val="18"/>
                <w:szCs w:val="18"/>
                <w:color w:val="auto"/>
              </w:rPr>
            </w:pPr>
            <w:hyperlink w:anchor="page40">
              <w:r>
                <w:rPr>
                  <w:rFonts w:ascii="Arial" w:cs="Arial" w:eastAsia="Arial" w:hAnsi="Arial"/>
                  <w:sz w:val="18"/>
                  <w:szCs w:val="18"/>
                  <w:color w:val="auto"/>
                </w:rPr>
                <w:t>and Analysis of Financial Condition and Results of Operations</w:t>
              </w:r>
            </w:hyperlink>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7A.</w:t>
            </w:r>
          </w:p>
        </w:tc>
        <w:tc>
          <w:tcPr>
            <w:tcW w:w="7060" w:type="dxa"/>
            <w:vAlign w:val="bottom"/>
            <w:tcBorders>
              <w:top w:val="single" w:sz="8" w:color="0000EE"/>
            </w:tcBorders>
            <w:gridSpan w:val="26"/>
          </w:tcPr>
          <w:p>
            <w:pPr>
              <w:spacing w:after="0" w:line="156" w:lineRule="exact"/>
              <w:rPr>
                <w:rFonts w:ascii="Arial" w:cs="Arial" w:eastAsia="Arial" w:hAnsi="Arial"/>
                <w:sz w:val="18"/>
                <w:szCs w:val="18"/>
                <w:color w:val="auto"/>
              </w:rPr>
            </w:pPr>
            <w:hyperlink w:anchor="page58">
              <w:r>
                <w:rPr>
                  <w:rFonts w:ascii="Arial" w:cs="Arial" w:eastAsia="Arial" w:hAnsi="Arial"/>
                  <w:sz w:val="18"/>
                  <w:szCs w:val="18"/>
                  <w:color w:val="auto"/>
                </w:rPr>
                <w:t>Quantitative and Qualitative Disclosures About Market Risk</w:t>
              </w:r>
            </w:hyperlink>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gridSpan w:val="2"/>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8.</w:t>
            </w:r>
          </w:p>
        </w:tc>
        <w:tc>
          <w:tcPr>
            <w:tcW w:w="4700" w:type="dxa"/>
            <w:vAlign w:val="bottom"/>
            <w:tcBorders>
              <w:top w:val="single" w:sz="8" w:color="0000EE"/>
            </w:tcBorders>
            <w:gridSpan w:val="23"/>
          </w:tcPr>
          <w:p>
            <w:pPr>
              <w:spacing w:after="0" w:line="156" w:lineRule="exact"/>
              <w:rPr>
                <w:rFonts w:ascii="Arial" w:cs="Arial" w:eastAsia="Arial" w:hAnsi="Arial"/>
                <w:sz w:val="18"/>
                <w:szCs w:val="18"/>
                <w:color w:val="auto"/>
              </w:rPr>
            </w:pPr>
            <w:hyperlink w:anchor="page59">
              <w:r>
                <w:rPr>
                  <w:rFonts w:ascii="Arial" w:cs="Arial" w:eastAsia="Arial" w:hAnsi="Arial"/>
                  <w:sz w:val="18"/>
                  <w:szCs w:val="18"/>
                  <w:color w:val="auto"/>
                </w:rPr>
                <w:t>Financial Statements and Supplementary Data</w:t>
              </w:r>
            </w:hyperlink>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gridSpan w:val="2"/>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9.</w:t>
            </w:r>
          </w:p>
        </w:tc>
        <w:tc>
          <w:tcPr>
            <w:tcW w:w="3720" w:type="dxa"/>
            <w:vAlign w:val="bottom"/>
            <w:tcBorders>
              <w:top w:val="single" w:sz="8" w:color="0000EE"/>
            </w:tcBorders>
            <w:gridSpan w:val="21"/>
          </w:tcPr>
          <w:p>
            <w:pPr>
              <w:spacing w:after="0" w:line="156" w:lineRule="exact"/>
              <w:rPr>
                <w:rFonts w:ascii="Arial" w:cs="Arial" w:eastAsia="Arial" w:hAnsi="Arial"/>
                <w:sz w:val="18"/>
                <w:szCs w:val="18"/>
                <w:color w:val="auto"/>
                <w:w w:val="94"/>
              </w:rPr>
            </w:pPr>
            <w:hyperlink w:anchor="page114">
              <w:r>
                <w:rPr>
                  <w:rFonts w:ascii="Arial" w:cs="Arial" w:eastAsia="Arial" w:hAnsi="Arial"/>
                  <w:sz w:val="18"/>
                  <w:szCs w:val="18"/>
                  <w:color w:val="auto"/>
                  <w:w w:val="94"/>
                </w:rPr>
                <w:t>Changes in and Disagreements with Accountants</w:t>
              </w:r>
            </w:hyperlink>
          </w:p>
        </w:tc>
        <w:tc>
          <w:tcPr>
            <w:tcW w:w="5480" w:type="dxa"/>
            <w:vAlign w:val="bottom"/>
            <w:gridSpan w:val="9"/>
          </w:tcPr>
          <w:p>
            <w:pPr>
              <w:ind w:left="260"/>
              <w:spacing w:after="0" w:line="156" w:lineRule="exact"/>
              <w:rPr>
                <w:rFonts w:ascii="Arial" w:cs="Arial" w:eastAsia="Arial" w:hAnsi="Arial"/>
                <w:sz w:val="18"/>
                <w:szCs w:val="18"/>
                <w:color w:val="auto"/>
              </w:rPr>
            </w:pPr>
            <w:hyperlink w:anchor="page114">
              <w:r>
                <w:rPr>
                  <w:rFonts w:ascii="Arial" w:cs="Arial" w:eastAsia="Arial" w:hAnsi="Arial"/>
                  <w:sz w:val="18"/>
                  <w:szCs w:val="18"/>
                  <w:color w:val="auto"/>
                </w:rPr>
                <w:t>on Accounting and Financial Disclosure</w:t>
              </w:r>
            </w:hyperlink>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27"/>
          </w:tcPr>
          <w:p>
            <w:pPr>
              <w:spacing w:after="0" w:line="156" w:lineRule="exact"/>
              <w:rPr>
                <w:rFonts w:ascii="Arial" w:cs="Arial" w:eastAsia="Arial" w:hAnsi="Arial"/>
                <w:sz w:val="18"/>
                <w:szCs w:val="18"/>
                <w:color w:val="auto"/>
              </w:rPr>
            </w:pPr>
            <w:hyperlink w:anchor="page114">
              <w:r>
                <w:rPr>
                  <w:rFonts w:ascii="Arial" w:cs="Arial" w:eastAsia="Arial" w:hAnsi="Arial"/>
                  <w:sz w:val="18"/>
                  <w:szCs w:val="18"/>
                  <w:color w:val="auto"/>
                </w:rPr>
                <w:t>Controls and Procedures</w:t>
              </w:r>
            </w:hyperlink>
          </w:p>
        </w:tc>
        <w:tc>
          <w:tcPr>
            <w:tcW w:w="880" w:type="dxa"/>
            <w:vAlign w:val="bottom"/>
          </w:tcPr>
          <w:p>
            <w:pPr>
              <w:spacing w:after="0"/>
              <w:rPr>
                <w:sz w:val="13"/>
                <w:szCs w:val="13"/>
                <w:color w:val="auto"/>
              </w:rPr>
            </w:pPr>
          </w:p>
        </w:tc>
        <w:tc>
          <w:tcPr>
            <w:tcW w:w="1200" w:type="dxa"/>
            <w:vAlign w:val="bottom"/>
            <w:gridSpan w:val="2"/>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auto"/>
                <w:w w:val="98"/>
              </w:rPr>
            </w:pPr>
            <w:hyperlink w:anchor="page116">
              <w:r>
                <w:rPr>
                  <w:rFonts w:ascii="Arial" w:cs="Arial" w:eastAsia="Arial" w:hAnsi="Arial"/>
                  <w:sz w:val="18"/>
                  <w:szCs w:val="18"/>
                  <w:color w:val="auto"/>
                  <w:w w:val="98"/>
                </w:rPr>
                <w:t>Other Information</w:t>
              </w:r>
            </w:hyperlink>
          </w:p>
        </w:tc>
        <w:tc>
          <w:tcPr>
            <w:tcW w:w="60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3"/>
          </w:tcPr>
          <w:p>
            <w:pPr>
              <w:spacing w:after="0"/>
              <w:rPr>
                <w:sz w:val="13"/>
                <w:szCs w:val="13"/>
                <w:color w:val="auto"/>
              </w:rPr>
            </w:pPr>
          </w:p>
        </w:tc>
        <w:tc>
          <w:tcPr>
            <w:tcW w:w="98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gridSpan w:val="3"/>
          </w:tcPr>
          <w:p>
            <w:pPr>
              <w:spacing w:after="0"/>
              <w:rPr>
                <w:sz w:val="13"/>
                <w:szCs w:val="13"/>
                <w:color w:val="auto"/>
              </w:rPr>
            </w:pPr>
          </w:p>
        </w:tc>
        <w:tc>
          <w:tcPr>
            <w:tcW w:w="1200" w:type="dxa"/>
            <w:vAlign w:val="bottom"/>
            <w:gridSpan w:val="2"/>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tcPr>
          <w:p>
            <w:pPr>
              <w:spacing w:after="0" w:line="157" w:lineRule="exact"/>
              <w:rPr>
                <w:sz w:val="20"/>
                <w:szCs w:val="20"/>
                <w:color w:val="auto"/>
              </w:rPr>
            </w:pPr>
            <w:r>
              <w:rPr>
                <w:rFonts w:ascii="Arial" w:cs="Arial" w:eastAsia="Arial" w:hAnsi="Arial"/>
                <w:sz w:val="18"/>
                <w:szCs w:val="18"/>
                <w:color w:val="auto"/>
              </w:rPr>
              <w:t>Item 9C.</w:t>
            </w:r>
          </w:p>
        </w:tc>
        <w:tc>
          <w:tcPr>
            <w:tcW w:w="9200" w:type="dxa"/>
            <w:vAlign w:val="bottom"/>
            <w:gridSpan w:val="30"/>
          </w:tcPr>
          <w:p>
            <w:pPr>
              <w:spacing w:after="0" w:line="157" w:lineRule="exact"/>
              <w:rPr>
                <w:rFonts w:ascii="Arial" w:cs="Arial" w:eastAsia="Arial" w:hAnsi="Arial"/>
                <w:sz w:val="18"/>
                <w:szCs w:val="18"/>
                <w:color w:val="auto"/>
              </w:rPr>
            </w:pPr>
            <w:hyperlink w:anchor="page116">
              <w:r>
                <w:rPr>
                  <w:rFonts w:ascii="Arial" w:cs="Arial" w:eastAsia="Arial" w:hAnsi="Arial"/>
                  <w:sz w:val="18"/>
                  <w:szCs w:val="18"/>
                  <w:color w:val="auto"/>
                </w:rPr>
                <w:t>Disclosure Regarding Foreign Jurisdictions That Prevent Inspections</w:t>
              </w:r>
            </w:hyperlink>
          </w:p>
        </w:tc>
        <w:tc>
          <w:tcPr>
            <w:tcW w:w="700" w:type="dxa"/>
            <w:vAlign w:val="bottom"/>
          </w:tcPr>
          <w:p>
            <w:pPr>
              <w:jc w:val="right"/>
              <w:spacing w:after="0" w:line="157"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8"/>
                <w:szCs w:val="18"/>
                <w:b w:val="1"/>
                <w:bCs w:val="1"/>
                <w:color w:val="auto"/>
                <w:w w:val="95"/>
              </w:rPr>
            </w:pPr>
            <w:hyperlink w:anchor="page117">
              <w:r>
                <w:rPr>
                  <w:rFonts w:ascii="Arial" w:cs="Arial" w:eastAsia="Arial" w:hAnsi="Arial"/>
                  <w:sz w:val="18"/>
                  <w:szCs w:val="18"/>
                  <w:b w:val="1"/>
                  <w:bCs w:val="1"/>
                  <w:color w:val="auto"/>
                  <w:w w:val="95"/>
                </w:rPr>
                <w:t>PART III</w:t>
              </w:r>
            </w:hyperlink>
          </w:p>
        </w:tc>
        <w:tc>
          <w:tcPr>
            <w:tcW w:w="640" w:type="dxa"/>
            <w:vAlign w:val="bottom"/>
            <w:gridSpan w:val="3"/>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9200" w:type="dxa"/>
            <w:vAlign w:val="bottom"/>
            <w:gridSpan w:val="30"/>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Directors, Executive Officers and Corporate Governance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11.</w:t>
            </w:r>
          </w:p>
        </w:tc>
        <w:tc>
          <w:tcPr>
            <w:tcW w:w="202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auto"/>
              </w:rPr>
            </w:pPr>
            <w:hyperlink w:anchor="page117">
              <w:r>
                <w:rPr>
                  <w:rFonts w:ascii="Arial" w:cs="Arial" w:eastAsia="Arial" w:hAnsi="Arial"/>
                  <w:sz w:val="18"/>
                  <w:szCs w:val="18"/>
                  <w:color w:val="auto"/>
                </w:rPr>
                <w:t>Executive Compensation</w:t>
              </w:r>
            </w:hyperlink>
          </w:p>
        </w:tc>
        <w:tc>
          <w:tcPr>
            <w:tcW w:w="2460" w:type="dxa"/>
            <w:vAlign w:val="bottom"/>
            <w:tcBorders>
              <w:top w:val="single" w:sz="8" w:color="0000EE"/>
            </w:tcBorders>
            <w:gridSpan w:val="7"/>
          </w:tcPr>
          <w:p>
            <w:pPr>
              <w:spacing w:after="0"/>
              <w:rPr>
                <w:sz w:val="13"/>
                <w:szCs w:val="13"/>
                <w:color w:val="auto"/>
              </w:rPr>
            </w:pPr>
          </w:p>
        </w:tc>
        <w:tc>
          <w:tcPr>
            <w:tcW w:w="1580" w:type="dxa"/>
            <w:vAlign w:val="bottom"/>
            <w:gridSpan w:val="3"/>
          </w:tcPr>
          <w:p>
            <w:pPr>
              <w:spacing w:after="0"/>
              <w:rPr>
                <w:sz w:val="13"/>
                <w:szCs w:val="13"/>
                <w:color w:val="auto"/>
              </w:rPr>
            </w:pPr>
          </w:p>
        </w:tc>
        <w:tc>
          <w:tcPr>
            <w:tcW w:w="1940" w:type="dxa"/>
            <w:vAlign w:val="bottom"/>
            <w:gridSpan w:val="3"/>
          </w:tcPr>
          <w:p>
            <w:pPr>
              <w:spacing w:after="0"/>
              <w:rPr>
                <w:sz w:val="13"/>
                <w:szCs w:val="13"/>
                <w:color w:val="auto"/>
              </w:rPr>
            </w:pPr>
          </w:p>
        </w:tc>
        <w:tc>
          <w:tcPr>
            <w:tcW w:w="1200" w:type="dxa"/>
            <w:vAlign w:val="bottom"/>
            <w:gridSpan w:val="2"/>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12.</w:t>
            </w:r>
          </w:p>
        </w:tc>
        <w:tc>
          <w:tcPr>
            <w:tcW w:w="9200" w:type="dxa"/>
            <w:vAlign w:val="bottom"/>
            <w:gridSpan w:val="30"/>
          </w:tcPr>
          <w:p>
            <w:pPr>
              <w:spacing w:after="0" w:line="156" w:lineRule="exact"/>
              <w:rPr>
                <w:rFonts w:ascii="Arial" w:cs="Arial" w:eastAsia="Arial" w:hAnsi="Arial"/>
                <w:sz w:val="18"/>
                <w:szCs w:val="18"/>
                <w:color w:val="auto"/>
              </w:rPr>
            </w:pPr>
            <w:hyperlink w:anchor="page117">
              <w:r>
                <w:rPr>
                  <w:rFonts w:ascii="Arial" w:cs="Arial" w:eastAsia="Arial" w:hAnsi="Arial"/>
                  <w:sz w:val="18"/>
                  <w:szCs w:val="18"/>
                  <w:color w:val="auto"/>
                </w:rPr>
                <w:t>Security Ownership of Certain Beneficial Owners and Management and Related Stockholder Matters</w:t>
              </w:r>
            </w:hyperlink>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20" w:type="dxa"/>
            <w:vAlign w:val="bottom"/>
            <w:gridSpan w:val="6"/>
          </w:tcPr>
          <w:p>
            <w:pPr>
              <w:spacing w:after="0" w:line="156"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28"/>
          </w:tcPr>
          <w:p>
            <w:pPr>
              <w:spacing w:after="0" w:line="156" w:lineRule="exact"/>
              <w:rPr>
                <w:rFonts w:ascii="Arial" w:cs="Arial" w:eastAsia="Arial" w:hAnsi="Arial"/>
                <w:sz w:val="18"/>
                <w:szCs w:val="18"/>
                <w:color w:val="auto"/>
              </w:rPr>
            </w:pPr>
            <w:hyperlink w:anchor="page118">
              <w:r>
                <w:rPr>
                  <w:rFonts w:ascii="Arial" w:cs="Arial" w:eastAsia="Arial" w:hAnsi="Arial"/>
                  <w:sz w:val="18"/>
                  <w:szCs w:val="18"/>
                  <w:color w:val="auto"/>
                </w:rPr>
                <w:t>Certain Relationships and Related Transactions, and Director Independence</w:t>
              </w:r>
            </w:hyperlink>
          </w:p>
        </w:tc>
        <w:tc>
          <w:tcPr>
            <w:tcW w:w="1200" w:type="dxa"/>
            <w:vAlign w:val="bottom"/>
            <w:gridSpan w:val="2"/>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6"/>
          </w:tcPr>
          <w:p>
            <w:pPr>
              <w:spacing w:after="0" w:line="157" w:lineRule="exact"/>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25"/>
          </w:tcPr>
          <w:p>
            <w:pPr>
              <w:spacing w:after="0" w:line="157" w:lineRule="exact"/>
              <w:rPr>
                <w:rFonts w:ascii="Arial" w:cs="Arial" w:eastAsia="Arial" w:hAnsi="Arial"/>
                <w:sz w:val="18"/>
                <w:szCs w:val="18"/>
                <w:color w:val="auto"/>
              </w:rPr>
            </w:pPr>
            <w:hyperlink w:anchor="page118">
              <w:r>
                <w:rPr>
                  <w:rFonts w:ascii="Arial" w:cs="Arial" w:eastAsia="Arial" w:hAnsi="Arial"/>
                  <w:sz w:val="18"/>
                  <w:szCs w:val="18"/>
                  <w:color w:val="auto"/>
                </w:rPr>
                <w:t>Principal Accounting Fees and Services</w:t>
              </w:r>
            </w:hyperlink>
          </w:p>
        </w:tc>
        <w:tc>
          <w:tcPr>
            <w:tcW w:w="3140" w:type="dxa"/>
            <w:vAlign w:val="bottom"/>
            <w:gridSpan w:val="5"/>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spacing w:after="0"/>
              <w:rPr>
                <w:rFonts w:ascii="Arial" w:cs="Arial" w:eastAsia="Arial" w:hAnsi="Arial"/>
                <w:sz w:val="18"/>
                <w:szCs w:val="18"/>
                <w:b w:val="1"/>
                <w:bCs w:val="1"/>
                <w:color w:val="auto"/>
                <w:w w:val="95"/>
              </w:rPr>
            </w:pPr>
            <w:hyperlink w:anchor="page119">
              <w:r>
                <w:rPr>
                  <w:rFonts w:ascii="Arial" w:cs="Arial" w:eastAsia="Arial" w:hAnsi="Arial"/>
                  <w:sz w:val="18"/>
                  <w:szCs w:val="18"/>
                  <w:b w:val="1"/>
                  <w:bCs w:val="1"/>
                  <w:color w:val="auto"/>
                  <w:w w:val="95"/>
                </w:rPr>
                <w:t>PART IV</w:t>
              </w:r>
            </w:hyperlink>
          </w:p>
        </w:tc>
        <w:tc>
          <w:tcPr>
            <w:tcW w:w="62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9200" w:type="dxa"/>
            <w:vAlign w:val="bottom"/>
            <w:gridSpan w:val="30"/>
          </w:tcPr>
          <w:p>
            <w:pPr>
              <w:spacing w:after="0"/>
              <w:rPr>
                <w:rFonts w:ascii="Arial" w:cs="Arial" w:eastAsia="Arial" w:hAnsi="Arial"/>
                <w:sz w:val="18"/>
                <w:szCs w:val="18"/>
                <w:color w:val="auto"/>
              </w:rPr>
            </w:pPr>
            <w:hyperlink w:anchor="page119">
              <w:r>
                <w:rPr>
                  <w:rFonts w:ascii="Arial" w:cs="Arial" w:eastAsia="Arial" w:hAnsi="Arial"/>
                  <w:sz w:val="18"/>
                  <w:szCs w:val="18"/>
                  <w:color w:val="auto"/>
                </w:rPr>
                <w:t>Exhibits, Financial Statement Schedules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0520" w:type="dxa"/>
            <w:vAlign w:val="bottom"/>
            <w:gridSpan w:val="36"/>
          </w:tcPr>
          <w:p>
            <w:pPr>
              <w:spacing w:after="0"/>
              <w:rPr>
                <w:rFonts w:ascii="Arial" w:cs="Arial" w:eastAsia="Arial" w:hAnsi="Arial"/>
                <w:sz w:val="18"/>
                <w:szCs w:val="18"/>
                <w:b w:val="1"/>
                <w:bCs w:val="1"/>
                <w:color w:val="auto"/>
              </w:rPr>
            </w:pPr>
            <w:hyperlink w:anchor="page120">
              <w:r>
                <w:rPr>
                  <w:rFonts w:ascii="Arial" w:cs="Arial" w:eastAsia="Arial" w:hAnsi="Arial"/>
                  <w:sz w:val="18"/>
                  <w:szCs w:val="18"/>
                  <w:b w:val="1"/>
                  <w:bCs w:val="1"/>
                  <w:color w:val="auto"/>
                </w:rPr>
                <w:t>INDEX TO EXHIBITS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7540" w:type="dxa"/>
            <w:vAlign w:val="bottom"/>
            <w:gridSpan w:val="2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9200" w:type="dxa"/>
            <w:vAlign w:val="bottom"/>
            <w:gridSpan w:val="30"/>
          </w:tcPr>
          <w:p>
            <w:pPr>
              <w:spacing w:after="0"/>
              <w:rPr>
                <w:rFonts w:ascii="Arial" w:cs="Arial" w:eastAsia="Arial" w:hAnsi="Arial"/>
                <w:sz w:val="18"/>
                <w:szCs w:val="18"/>
                <w:color w:val="auto"/>
              </w:rPr>
            </w:pPr>
            <w:hyperlink w:anchor="page125">
              <w:r>
                <w:rPr>
                  <w:rFonts w:ascii="Arial" w:cs="Arial" w:eastAsia="Arial" w:hAnsi="Arial"/>
                  <w:sz w:val="18"/>
                  <w:szCs w:val="18"/>
                  <w:color w:val="auto"/>
                </w:rPr>
                <w:t>Form 10-K Summary</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gridSpan w:val="6"/>
          </w:tcPr>
          <w:p>
            <w:pPr>
              <w:spacing w:after="0"/>
              <w:rPr>
                <w:rFonts w:ascii="Arial" w:cs="Arial" w:eastAsia="Arial" w:hAnsi="Arial"/>
                <w:sz w:val="18"/>
                <w:szCs w:val="18"/>
                <w:b w:val="1"/>
                <w:bCs w:val="1"/>
                <w:color w:val="auto"/>
              </w:rPr>
            </w:pPr>
            <w:hyperlink w:anchor="page126">
              <w:r>
                <w:rPr>
                  <w:rFonts w:ascii="Arial" w:cs="Arial" w:eastAsia="Arial" w:hAnsi="Arial"/>
                  <w:sz w:val="18"/>
                  <w:szCs w:val="18"/>
                  <w:b w:val="1"/>
                  <w:bCs w:val="1"/>
                  <w:color w:val="auto"/>
                </w:rPr>
                <w:t>SIGNATURES</w:t>
              </w:r>
            </w:hyperlink>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513"/>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Arial" w:cs="Arial" w:eastAsia="Arial" w:hAnsi="Arial"/>
          <w:sz w:val="23"/>
          <w:szCs w:val="23"/>
          <w:b w:val="1"/>
          <w:bCs w:val="1"/>
          <w:color w:val="auto"/>
        </w:rPr>
        <w:t>PART I</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OVERVIEW</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Eagle Materials Inc., through its subsidiaries, (the Company, which may be referred to as we, our, or us) is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w:t>
      </w:r>
    </w:p>
    <w:p>
      <w:pPr>
        <w:spacing w:after="0" w:line="98" w:lineRule="exact"/>
        <w:rPr>
          <w:sz w:val="20"/>
          <w:szCs w:val="20"/>
          <w:color w:val="auto"/>
        </w:rPr>
      </w:pPr>
    </w:p>
    <w:p>
      <w:pPr>
        <w:jc w:val="both"/>
        <w:ind w:right="380"/>
        <w:spacing w:after="0" w:line="287" w:lineRule="auto"/>
        <w:rPr>
          <w:sz w:val="20"/>
          <w:szCs w:val="20"/>
          <w:color w:val="auto"/>
        </w:rPr>
      </w:pPr>
      <w:r>
        <w:rPr>
          <w:rFonts w:ascii="Arial" w:cs="Arial" w:eastAsia="Arial" w:hAnsi="Arial"/>
          <w:sz w:val="18"/>
          <w:szCs w:val="18"/>
          <w:color w:val="auto"/>
        </w:rPr>
        <w:t>The Company was founded in 1963 as a building materials subsidiary of Centex Corporation (Centex). It operated as a public company under the name Centex Construction Products, Inc. from April 19, 1994 to January 30, 2004, at which time Centex completed a tax-free distribution of its shares to its shareholders, and the Company was renamed Eagle Materials Inc. (NYSE: EXP).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benefit from several competitive strengths that have enabled us to deliver consistently strong operating results and profitable growth.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These strengths include:</w:t>
      </w:r>
    </w:p>
    <w:p>
      <w:pPr>
        <w:spacing w:after="0" w:line="122" w:lineRule="exact"/>
        <w:rPr>
          <w:sz w:val="20"/>
          <w:szCs w:val="20"/>
          <w:color w:val="auto"/>
        </w:rPr>
      </w:pPr>
    </w:p>
    <w:p>
      <w:pPr>
        <w:jc w:val="both"/>
        <w:ind w:right="240"/>
        <w:spacing w:after="0" w:line="300" w:lineRule="auto"/>
        <w:rPr>
          <w:sz w:val="20"/>
          <w:szCs w:val="20"/>
          <w:color w:val="auto"/>
        </w:rPr>
      </w:pPr>
      <w:r>
        <w:rPr>
          <w:rFonts w:ascii="Arial" w:cs="Arial" w:eastAsia="Arial" w:hAnsi="Arial"/>
          <w:sz w:val="18"/>
          <w:szCs w:val="18"/>
          <w:b w:val="1"/>
          <w:bCs w:val="1"/>
          <w:color w:val="004483"/>
        </w:rPr>
        <w:t xml:space="preserve">Integrated plant network with a broad and diversified geographic reach </w:t>
      </w:r>
      <w:r>
        <w:rPr>
          <w:rFonts w:ascii="Arial" w:cs="Arial" w:eastAsia="Arial" w:hAnsi="Arial"/>
          <w:sz w:val="18"/>
          <w:szCs w:val="18"/>
          <w:color w:val="004483"/>
        </w:rPr>
        <w:t>-</w:t>
      </w:r>
      <w:r>
        <w:rPr>
          <w:rFonts w:ascii="Arial" w:cs="Arial" w:eastAsia="Arial" w:hAnsi="Arial"/>
          <w:sz w:val="18"/>
          <w:szCs w:val="18"/>
          <w:b w:val="1"/>
          <w:bCs w:val="1"/>
          <w:color w:val="004483"/>
        </w:rPr>
        <w:t xml:space="preserve"> </w:t>
      </w:r>
      <w:r>
        <w:rPr>
          <w:rFonts w:ascii="Arial" w:cs="Arial" w:eastAsia="Arial" w:hAnsi="Arial"/>
          <w:sz w:val="18"/>
          <w:szCs w:val="18"/>
          <w:color w:val="000000"/>
        </w:rPr>
        <w:t>our plants are located near both raw material reserves and</w:t>
      </w:r>
      <w:r>
        <w:rPr>
          <w:rFonts w:ascii="Arial" w:cs="Arial" w:eastAsia="Arial" w:hAnsi="Arial"/>
          <w:sz w:val="18"/>
          <w:szCs w:val="18"/>
          <w:b w:val="1"/>
          <w:bCs w:val="1"/>
          <w:color w:val="004483"/>
        </w:rPr>
        <w:t xml:space="preserve"> </w:t>
      </w:r>
      <w:r>
        <w:rPr>
          <w:rFonts w:ascii="Arial" w:cs="Arial" w:eastAsia="Arial" w:hAnsi="Arial"/>
          <w:sz w:val="18"/>
          <w:szCs w:val="18"/>
          <w:color w:val="000000"/>
        </w:rPr>
        <w:t>customers in high-growth U.S. markets. The location of our plants in various regions within the United States also provides geographical diversification which reduces exposure to individual regional construction cycles;</w:t>
      </w:r>
    </w:p>
    <w:p>
      <w:pPr>
        <w:spacing w:after="0" w:line="61" w:lineRule="exact"/>
        <w:rPr>
          <w:sz w:val="20"/>
          <w:szCs w:val="20"/>
          <w:color w:val="auto"/>
        </w:rPr>
      </w:pPr>
    </w:p>
    <w:p>
      <w:pPr>
        <w:ind w:right="180"/>
        <w:spacing w:after="0" w:line="318" w:lineRule="auto"/>
        <w:rPr>
          <w:sz w:val="20"/>
          <w:szCs w:val="20"/>
          <w:color w:val="auto"/>
        </w:rPr>
      </w:pPr>
      <w:r>
        <w:rPr>
          <w:rFonts w:ascii="Arial" w:cs="Arial" w:eastAsia="Arial" w:hAnsi="Arial"/>
          <w:sz w:val="18"/>
          <w:szCs w:val="18"/>
          <w:b w:val="1"/>
          <w:bCs w:val="1"/>
          <w:color w:val="004483"/>
        </w:rPr>
        <w:t xml:space="preserve">Low-cost producer position </w:t>
      </w:r>
      <w:r>
        <w:rPr>
          <w:rFonts w:ascii="Arial" w:cs="Arial" w:eastAsia="Arial" w:hAnsi="Arial"/>
          <w:sz w:val="18"/>
          <w:szCs w:val="18"/>
          <w:color w:val="000000"/>
        </w:rPr>
        <w:t>- our modern production lines, consistent maintenance programs, access to low-cost raw materials, and our</w:t>
      </w:r>
      <w:r>
        <w:rPr>
          <w:rFonts w:ascii="Arial" w:cs="Arial" w:eastAsia="Arial" w:hAnsi="Arial"/>
          <w:sz w:val="18"/>
          <w:szCs w:val="18"/>
          <w:b w:val="1"/>
          <w:bCs w:val="1"/>
          <w:color w:val="004483"/>
        </w:rPr>
        <w:t xml:space="preserve"> </w:t>
      </w:r>
      <w:r>
        <w:rPr>
          <w:rFonts w:ascii="Arial" w:cs="Arial" w:eastAsia="Arial" w:hAnsi="Arial"/>
          <w:sz w:val="18"/>
          <w:szCs w:val="18"/>
          <w:color w:val="000000"/>
        </w:rPr>
        <w:t>continuous focus on implementing cost reduction initiatives help us minimize production costs across the network;</w:t>
      </w:r>
    </w:p>
    <w:p>
      <w:pPr>
        <w:spacing w:after="0" w:line="45" w:lineRule="exact"/>
        <w:rPr>
          <w:sz w:val="20"/>
          <w:szCs w:val="20"/>
          <w:color w:val="auto"/>
        </w:rPr>
      </w:pPr>
    </w:p>
    <w:p>
      <w:pPr>
        <w:ind w:right="120"/>
        <w:spacing w:after="0" w:line="318" w:lineRule="auto"/>
        <w:rPr>
          <w:sz w:val="20"/>
          <w:szCs w:val="20"/>
          <w:color w:val="auto"/>
        </w:rPr>
      </w:pPr>
      <w:r>
        <w:rPr>
          <w:rFonts w:ascii="Arial" w:cs="Arial" w:eastAsia="Arial" w:hAnsi="Arial"/>
          <w:sz w:val="18"/>
          <w:szCs w:val="18"/>
          <w:b w:val="1"/>
          <w:bCs w:val="1"/>
          <w:color w:val="004483"/>
        </w:rPr>
        <w:t xml:space="preserve">Production flexibility </w:t>
      </w:r>
      <w:r>
        <w:rPr>
          <w:rFonts w:ascii="Arial" w:cs="Arial" w:eastAsia="Arial" w:hAnsi="Arial"/>
          <w:sz w:val="18"/>
          <w:szCs w:val="18"/>
          <w:color w:val="000000"/>
        </w:rPr>
        <w:t>- enabling us to operate at high utilization levels generally, quickly position for downturns, and efficiently ramp up for</w:t>
      </w:r>
      <w:r>
        <w:rPr>
          <w:rFonts w:ascii="Arial" w:cs="Arial" w:eastAsia="Arial" w:hAnsi="Arial"/>
          <w:sz w:val="18"/>
          <w:szCs w:val="18"/>
          <w:b w:val="1"/>
          <w:bCs w:val="1"/>
          <w:color w:val="004483"/>
        </w:rPr>
        <w:t xml:space="preserve"> </w:t>
      </w:r>
      <w:r>
        <w:rPr>
          <w:rFonts w:ascii="Arial" w:cs="Arial" w:eastAsia="Arial" w:hAnsi="Arial"/>
          <w:sz w:val="18"/>
          <w:szCs w:val="18"/>
          <w:color w:val="000000"/>
        </w:rPr>
        <w:t>demand rebounds;</w:t>
      </w:r>
    </w:p>
    <w:p>
      <w:pPr>
        <w:spacing w:after="0" w:line="45" w:lineRule="exact"/>
        <w:rPr>
          <w:sz w:val="20"/>
          <w:szCs w:val="20"/>
          <w:color w:val="auto"/>
        </w:rPr>
      </w:pPr>
    </w:p>
    <w:p>
      <w:pPr>
        <w:ind w:right="140"/>
        <w:spacing w:after="0" w:line="318" w:lineRule="auto"/>
        <w:rPr>
          <w:sz w:val="20"/>
          <w:szCs w:val="20"/>
          <w:color w:val="auto"/>
        </w:rPr>
      </w:pPr>
      <w:r>
        <w:rPr>
          <w:rFonts w:ascii="Arial" w:cs="Arial" w:eastAsia="Arial" w:hAnsi="Arial"/>
          <w:sz w:val="18"/>
          <w:szCs w:val="18"/>
          <w:b w:val="1"/>
          <w:bCs w:val="1"/>
          <w:color w:val="004483"/>
        </w:rPr>
        <w:t xml:space="preserve">Substantial raw material reserves and resources </w:t>
      </w:r>
      <w:r>
        <w:rPr>
          <w:rFonts w:ascii="Arial" w:cs="Arial" w:eastAsia="Arial" w:hAnsi="Arial"/>
          <w:sz w:val="18"/>
          <w:szCs w:val="18"/>
          <w:color w:val="004483"/>
        </w:rPr>
        <w:t>-</w:t>
      </w:r>
      <w:r>
        <w:rPr>
          <w:rFonts w:ascii="Arial" w:cs="Arial" w:eastAsia="Arial" w:hAnsi="Arial"/>
          <w:sz w:val="18"/>
          <w:szCs w:val="18"/>
          <w:b w:val="1"/>
          <w:bCs w:val="1"/>
          <w:color w:val="004483"/>
        </w:rPr>
        <w:t xml:space="preserve"> </w:t>
      </w:r>
      <w:r>
        <w:rPr>
          <w:rFonts w:ascii="Arial" w:cs="Arial" w:eastAsia="Arial" w:hAnsi="Arial"/>
          <w:sz w:val="18"/>
          <w:szCs w:val="18"/>
          <w:color w:val="000000"/>
        </w:rPr>
        <w:t>between 25 to 50 years of primary raw material reserves for each of our cement and</w:t>
      </w:r>
      <w:r>
        <w:rPr>
          <w:rFonts w:ascii="Arial" w:cs="Arial" w:eastAsia="Arial" w:hAnsi="Arial"/>
          <w:sz w:val="18"/>
          <w:szCs w:val="18"/>
          <w:b w:val="1"/>
          <w:bCs w:val="1"/>
          <w:color w:val="004483"/>
        </w:rPr>
        <w:t xml:space="preserve"> </w:t>
      </w:r>
      <w:r>
        <w:rPr>
          <w:rFonts w:ascii="Arial" w:cs="Arial" w:eastAsia="Arial" w:hAnsi="Arial"/>
          <w:sz w:val="18"/>
          <w:szCs w:val="18"/>
          <w:color w:val="000000"/>
        </w:rPr>
        <w:t>wallboard facilities, providing certainty of supply and enhancing our ability to control the cost of our primary raw materials; and</w:t>
      </w:r>
    </w:p>
    <w:p>
      <w:pPr>
        <w:spacing w:after="0" w:line="45"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color w:val="004483"/>
        </w:rPr>
        <w:t xml:space="preserve">Proven management - </w:t>
      </w:r>
      <w:r>
        <w:rPr>
          <w:rFonts w:ascii="Arial" w:cs="Arial" w:eastAsia="Arial" w:hAnsi="Arial"/>
          <w:sz w:val="18"/>
          <w:szCs w:val="18"/>
          <w:color w:val="000000"/>
        </w:rPr>
        <w:t>our current management team has significant and valuable expertise, with an average industry experience of more</w:t>
      </w:r>
      <w:r>
        <w:rPr>
          <w:rFonts w:ascii="Arial" w:cs="Arial" w:eastAsia="Arial" w:hAnsi="Arial"/>
          <w:sz w:val="18"/>
          <w:szCs w:val="18"/>
          <w:b w:val="1"/>
          <w:bCs w:val="1"/>
          <w:color w:val="004483"/>
        </w:rPr>
        <w:t xml:space="preserve"> </w:t>
      </w:r>
      <w:r>
        <w:rPr>
          <w:rFonts w:ascii="Arial" w:cs="Arial" w:eastAsia="Arial" w:hAnsi="Arial"/>
          <w:sz w:val="18"/>
          <w:szCs w:val="18"/>
          <w:color w:val="000000"/>
        </w:rPr>
        <w:t>than 20 years, spanning several business cycles. Management’s conservative balance sheet strategy focuses on maintaining prudent levels of leverage and liquidity through the business cycle, to protect the balance sheet through downturns and enable us to take advantage of growth opportunities, whether organic or through acquisitions.</w:t>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5" w:right="4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u w:val="single" w:color="auto"/>
          <w:color w:val="004483"/>
        </w:rPr>
        <w:t>Strategy</w:t>
      </w:r>
    </w:p>
    <w:p>
      <w:pPr>
        <w:spacing w:after="0" w:line="148"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We rigorously pursue the following overarching strategic objectives that consistently differentiate us from our competitors and contribute to our margin performance and growth: maintaining our position as a low-cost producer in all our markets, maintaining a decentralized operating structure, operating solely in the United States in regionally diverse and attractive markets, achieving profitable growth through both strategic acquisitions and the organic development of our asset network, and operating in a socially and environmentally responsible manner.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04483"/>
        </w:rPr>
        <w:t>Continuously innovate to advance our low-cost producer position</w:t>
      </w:r>
    </w:p>
    <w:p>
      <w:pPr>
        <w:spacing w:after="0" w:line="124"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Our goal and the bedrock of our strategy is to be a low-cost producer in each of the markets in which we compete. We have right-sized capacity to service the markets we cover, and we focus diligently on reducing costs and making our operations more efficient to manage free cash flow though the economic cycle. Maintaining our low-cost position provides meaningful competitive, financial, and environmental benefits. The products we make are basic necessities and competition is often based largely on price, with consistent quality and customer service also being important considerations. Thus, being a low-cost producer is a competitive advantage and can lead to higher margins, better returns and stronger free cash flow generation. Being a low-cost producer is not only key to our commercial success, it also aligns to a significant extent with our commitment to sustainable environmental practices. To maintain our low-cost producer position, we are always innovating our production processes with the aim of using fewer resources to make the same products. We regularly invest in technologies at our facilities to control emissions and to modify the fuels that we burn.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004483"/>
        </w:rPr>
        <w:t>Maintain a decentralized operating structure</w:t>
      </w:r>
    </w:p>
    <w:p>
      <w:pPr>
        <w:spacing w:after="0" w:line="124"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The Company operates through a decentralized structure: operations are managed separately, and products are branded and marketed by our individual companies. This regional-market strategy provides several benefits, including increased familiarity with our customers, higher brand recognition, and lower transportation costs, which is a meaningful advantage in the construction materials industry. We view our cement plant system and our wallboard plant system as discrete integrated networks, allowing us to ship products and minimize freight costs. The impact of regional construction cycles on our businesses is mitigated to some degree by our geographic diversification and integrated network of plants.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04483"/>
        </w:rPr>
        <w:t>Operate in regionally diverse and attractive markets</w:t>
      </w:r>
    </w:p>
    <w:p>
      <w:pPr>
        <w:spacing w:after="0" w:line="124"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Demand for our products depends on construction activity which tends to correlate with population growth. While the Company’s markets include most of the United States, approximately 65% of our total revenue is generated in ten states: Colorado, Illinois, Kansas, Kentucky, Missouri, Nebraska, Nevada, Ohio, Oklahoma, and Texas. Population growth is a major driver of construction products and building materials demand. Population is expected to increase approximately 11% between the 2020 census and 2050 for these ten states, compared with 8% population growth for the United States as a whole, according to the latest update in April 2022 by Moody’s Analytics.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004483"/>
        </w:rPr>
        <w:t>Achieve profitable growth through acquisition and organic development</w:t>
      </w:r>
    </w:p>
    <w:p>
      <w:pPr>
        <w:spacing w:after="0" w:line="12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seek to grow the Company through acquisitions and the organic development of our asset network. Since 2012, we have expanded the Heavy Materials sector principally through acquisitions, with total investments of approximately $2.0 billion. These investments have more than doubled our U.S. cement capacity, making us the largest independent U.S. cement producer.</w:t>
      </w:r>
    </w:p>
    <w:p>
      <w:pPr>
        <w:spacing w:after="0" w:line="9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These acquisitions have expanded our geographic footprint so that we now have a contiguous, integrated cement system from California to western Pennsylvania and south to Texas. We have completed additional bolt-on acquisitions, which also contribute to our expanded geographic footprint.</w:t>
      </w:r>
    </w:p>
    <w:p>
      <w:pPr>
        <w:spacing w:after="0" w:line="94"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color w:val="auto"/>
        </w:rPr>
        <w:t>The Company will continue to proactively pursue acquisition opportunities. Our free cash flow and balance sheet strength enable us to consider acquisitions and organic growth opportunities that align with our return on investment profitability objectives.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004483"/>
        </w:rPr>
        <w:t>Operate in a socially and environmentally responsible manner</w:t>
      </w:r>
    </w:p>
    <w:p>
      <w:pPr>
        <w:spacing w:after="0" w:line="12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aim to conduct all our operations in a way that enhances returns and maximizes positive social impact. We have articulated our agenda for environmental and social responsibility and our blueprint for improvement that encompasses land use, water, human resources, emissions, and the reduction of the carbon impacts of our products, which are all areas that we view as essential to our success. Our latest Environmental and Social Disclosure Report provides detail on our environmental and social initiatives such as improving our efficiency and long-term sustainability of our resources, ensuring the safety of our employees (see also Human Capital below), protecting human rights, and delivering value to our shareholders and society. The above reference to our Environmental and Social Disclosure Report does not mean that such report is incorporated by reference herein.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Capital allocation priorities</w:t>
      </w:r>
    </w:p>
    <w:p>
      <w:pPr>
        <w:spacing w:after="0" w:line="148"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Our capital allocation priorities are intended to enhance shareholder value and are as follows: 1. investing in growth opportunities that meet our financial return standards and are consistent with our strategic focus; 2. operating capital investments to maintain and strengthen our low-cost producer positions; and 3. returning excess cash to shareholders, through our share repurchase program and dividends. In the past three years, we have invested nearly $700.0 million in acquisitions, $260.0 million in organic capital expenditures and approximately $956.0 million in share repurchases and dividends. Since becoming a public company in 1994, our share count is down nearly 45% and we have returned approximately $2.8 billion to our shareholders through a combination of share repurchases and dividends.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FISCAL 2022 EVENTS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Financial Highlights</w:t>
      </w:r>
    </w:p>
    <w:p>
      <w:pPr>
        <w:spacing w:after="0" w:line="144"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Fiscal 2022 was a strong year for the Company, despite transportation disruptions, supply chain constraints, and the continuing COVID-19 pandemic. The following are some of the Company’s highlights for fiscal 2022 compared with fiscal 2021:</w:t>
      </w:r>
    </w:p>
    <w:p>
      <w:pPr>
        <w:spacing w:after="0" w:line="89" w:lineRule="exact"/>
        <w:rPr>
          <w:sz w:val="20"/>
          <w:szCs w:val="20"/>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Revenue of $1,861.5 million, up 15%.</w:t>
      </w:r>
    </w:p>
    <w:p>
      <w:pPr>
        <w:spacing w:after="0" w:line="144" w:lineRule="exact"/>
        <w:rPr>
          <w:rFonts w:ascii="Arial" w:cs="Arial" w:eastAsia="Arial" w:hAnsi="Arial"/>
          <w:sz w:val="18"/>
          <w:szCs w:val="18"/>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Earnings from Continuing Operations increased 12% to $374.2 million.</w:t>
      </w:r>
    </w:p>
    <w:p>
      <w:pPr>
        <w:spacing w:after="0" w:line="144" w:lineRule="exact"/>
        <w:rPr>
          <w:rFonts w:ascii="Arial" w:cs="Arial" w:eastAsia="Arial" w:hAnsi="Arial"/>
          <w:sz w:val="18"/>
          <w:szCs w:val="18"/>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gross profit margin by 270 bps to 27.9%.</w:t>
      </w:r>
    </w:p>
    <w:p>
      <w:pPr>
        <w:spacing w:after="0" w:line="144" w:lineRule="exact"/>
        <w:rPr>
          <w:rFonts w:ascii="Arial" w:cs="Arial" w:eastAsia="Arial" w:hAnsi="Arial"/>
          <w:sz w:val="18"/>
          <w:szCs w:val="18"/>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increased 14% to 9.14.</w:t>
      </w:r>
    </w:p>
    <w:p>
      <w:pPr>
        <w:spacing w:after="0" w:line="144" w:lineRule="exact"/>
        <w:rPr>
          <w:rFonts w:ascii="Arial" w:cs="Arial" w:eastAsia="Arial" w:hAnsi="Arial"/>
          <w:sz w:val="18"/>
          <w:szCs w:val="18"/>
          <w:color w:val="auto"/>
        </w:rPr>
      </w:pPr>
    </w:p>
    <w:p>
      <w:pPr>
        <w:ind w:left="940" w:hanging="383"/>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Repurchased approximately 4.0 million shares of our stock.</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5" w:name="page6"/>
    <w:bookmarkEnd w:id="5"/>
    <w:p>
      <w:pPr>
        <w:ind w:right="100"/>
        <w:spacing w:after="0" w:line="287" w:lineRule="auto"/>
        <w:rPr>
          <w:sz w:val="20"/>
          <w:szCs w:val="20"/>
          <w:color w:val="auto"/>
        </w:rPr>
      </w:pPr>
      <w:r>
        <w:rPr>
          <w:rFonts w:ascii="Arial" w:cs="Arial" w:eastAsia="Arial" w:hAnsi="Arial"/>
          <w:sz w:val="18"/>
          <w:szCs w:val="18"/>
          <w:color w:val="auto"/>
        </w:rPr>
        <w:t>During July 2021, we refinanced the principal components of our debt capital structure, in which we issued $750.0 million of 10-year senior notes with an interest rate of 2.5%, replacing our existing $350.0 million of 4.500% senior notes and our $665.0 million term loan, which was set to expire in August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SUBSEQUENT EVENTS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Amendment to the Revolving Credit Facility</w:t>
      </w:r>
    </w:p>
    <w:p>
      <w:pPr>
        <w:spacing w:after="0" w:line="14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On May 5, 2022, we amended our revolving credit facility to, among other things, add a $200.0 million term loan facility, extend the revolving credit facility to May 2027, establish the term loan maturity as May 2027, and to establish a SOFR-based reference rate in lieu of a LIBOR-based reference rate for the purpose of calculating interest on the loans outstanding under the Amended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Acquisition of Concrete and Aggregates Assets</w:t>
      </w:r>
    </w:p>
    <w:p>
      <w:pPr>
        <w:spacing w:after="0" w:line="14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On April 22, 2022, we acquired the assets of a readymix concrete and aggregates business in northern Colorado (the ConAgg Acquisition). The purchase price of the ConAgg Acquisition was approximately $121.2 million. The ConAgg Acquisition will be included in our Heavy Materials sector, in the Concrete and Aggregates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Footnote (B) to the Audited Consolidated Financial Statements for more information regarding the ConAgg Acquisition.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HUMAN CAPITAL</w:t>
      </w:r>
    </w:p>
    <w:p>
      <w:pPr>
        <w:spacing w:after="0" w:line="16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March 31, 2022, the Company had approximately 2,200 employees, of which approximately 650 are salaried and approximately 1,550 are hourly. Approximately 700 of the hourly employees are employed under collective bargaining agreements and various supplemental agreements with local unions.</w:t>
      </w:r>
    </w:p>
    <w:p>
      <w:pPr>
        <w:spacing w:after="0" w:line="94"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Recruiting, developing, and retaining qualified employees is essential to implement our strategy and maintain our low-cost position. All of our employees are provided with the training necessary to safely and effectively perform their responsibilities. The health and safety of our employees is the highest priority of management. In all our businesses we have implemented initiatives to improve safety in the workplace. We hold an annual safety conference during which we discuss a variety of topics, including training programs; sharing of best practices; and maintaining focus on leading indicators, such as near miss reporting, root cause analysis of all lost-time injuries, and sharing and discussing incidents that occurred during the past year. We also seek the assistance of outside parties in identifying potential safety trends and ways to mitigate identified risks.</w:t>
      </w:r>
    </w:p>
    <w:p>
      <w:pPr>
        <w:spacing w:after="0" w:line="101"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color w:val="auto"/>
        </w:rPr>
        <w:t>Management reviews a variety of safety metrics, including leading and lagging indicators, and updates are provided to corporate management by the business units monthly throughout the year. During fiscal 2022, all of our business segments recorded lower total recordable incident rate (TRIR) averages than the applicable industry average. These results can be attributed to the continued focus on proactive safety initiatives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INDUSTRY SEGMENT INFORMATION</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The primary end market for our Cement and Concrete and Aggregates segments is infrastructure. The primary end market for our Gypsum Wallboard and Recycled Paperboard segments is residential construction.</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 w:name="page7"/>
    <w:bookmarkEnd w:id="6"/>
    <w:p>
      <w:pPr>
        <w:ind w:right="740"/>
        <w:spacing w:after="0" w:line="324" w:lineRule="auto"/>
        <w:rPr>
          <w:sz w:val="20"/>
          <w:szCs w:val="20"/>
          <w:color w:val="auto"/>
        </w:rPr>
      </w:pPr>
      <w:r>
        <w:rPr>
          <w:rFonts w:ascii="Arial" w:cs="Arial" w:eastAsia="Arial" w:hAnsi="Arial"/>
          <w:sz w:val="17"/>
          <w:szCs w:val="17"/>
          <w:color w:val="auto"/>
        </w:rPr>
        <w:t>For information about the financial results of our business segments, including revenue, average net sales prices, sales volume and operating earnings, please see Item 7.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86191"/>
        </w:rPr>
        <w:t>Heavy Materials</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Our Heavy Materials sector provides cement and concrete and aggregates for use in infrastructure, commercial, and residential construction. This sector comprises the Cement and Concrete and Aggregates segments. Demand has been strong for these construction products over the last several years. Cement consumption in the United States, as estimated by the United States Geological Survey (USGS), was up 4% to approximately 117.8 million short tons in calendar 2021, compared with 113.1 million short tons in calendar 2020, and imported cement consumption was 15% of total sales in calendar 2021 compared with 14% in calendar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CEMENT</w:t>
      </w:r>
    </w:p>
    <w:p>
      <w:pPr>
        <w:spacing w:after="0" w:line="166"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Cement is the basic binding agent for concrete, a primary construction material. The principal sources of demand for cement are public infrastructure, commercial construction, and residential construction, with public infrastructure accounting for nearly 50% of cement demand. Because of its low value-to-weight ratio, the relative cost of transporting cement on land is high and limits the geographic area in which each producer can market its products profitably. Management believes shipments of cement by truck are generally limited to a 150-mile radius from each plant, with the shipping radius increasing to up to 300 miles by rail, and further by barge. Therefore, the U.S. cement industry comprises numerous regional markets rather than a single national market. Cement consumption is affected by the time of year and prevalent weather conditions. Cement sales are generally greatest from spring through the middle of autumn.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manufacturing process for portland cement primarily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5271770" cy="1080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7177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also produce and market other cementitious products, including slag cement and fly ash. Slag granules are obtained from a steel company and ground in our grinding facility. Slag is used in concrete mix designs to improve the durability of concrete and reduce future maintenance costs. Fly ash is a by-product of a coal-fired power plant and acts as an extender of cement in concrete.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Limestone Resources and Reserves</w:t>
      </w:r>
    </w:p>
    <w:p>
      <w:pPr>
        <w:spacing w:after="0" w:line="166" w:lineRule="exact"/>
        <w:rPr>
          <w:sz w:val="20"/>
          <w:szCs w:val="20"/>
          <w:color w:val="auto"/>
        </w:rPr>
      </w:pPr>
    </w:p>
    <w:p>
      <w:pPr>
        <w:ind w:right="320"/>
        <w:spacing w:after="0" w:line="284" w:lineRule="auto"/>
        <w:rPr>
          <w:sz w:val="20"/>
          <w:szCs w:val="20"/>
          <w:color w:val="auto"/>
        </w:rPr>
      </w:pPr>
      <w:r>
        <w:rPr>
          <w:rFonts w:ascii="Arial" w:cs="Arial" w:eastAsia="Arial" w:hAnsi="Arial"/>
          <w:sz w:val="18"/>
          <w:szCs w:val="18"/>
          <w:color w:val="auto"/>
        </w:rPr>
        <w:t>We mine primarily limestone at our quarry operations serving each of our cement plants. The limestone mined at our quarries is then converted to cement, as outlined above. Each of our cement plants has its own dedicated limestone quarries, all of which have adequate access to highways and/or waterways. All of our mines, with the exception of one, are surface mines, which are mined using open pit techniques. We have one underground mine serving our plant in Sugar Creek, Missouri. All of our limestone reserves are located on properties that are in the production stage.</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7" w:name="page8"/>
    <w:bookmarkEnd w:id="7"/>
    <w:p>
      <w:pPr>
        <w:ind w:right="40"/>
        <w:spacing w:after="0" w:line="282" w:lineRule="auto"/>
        <w:rPr>
          <w:sz w:val="20"/>
          <w:szCs w:val="20"/>
          <w:color w:val="auto"/>
        </w:rPr>
      </w:pPr>
      <w:r>
        <w:rPr>
          <w:rFonts w:ascii="Arial" w:cs="Arial" w:eastAsia="Arial" w:hAnsi="Arial"/>
          <w:sz w:val="18"/>
          <w:szCs w:val="18"/>
          <w:color w:val="auto"/>
        </w:rPr>
        <w:t>Mineral resources are defined as a concentration or occurrence of material of economic interest in or on the earth's crust in such form, grade or quality, and quantity that there are reasonable prospects for its economic extraction. The amount of resources is a reasonable estimate, taking into account such factors as grade, location, and mining dimensions, while also considering the economic cost of extraction. Mineral resources are classified into three categories, discussed below in decreasing level of confidence. Measured mineral resources are based on conclusive geological evidence and sampling, meaning that evidence is sufficient to test and confirm geological and grade or quality continuity. After applying modifying factors (as noted below in the discussion of mineral reserves), measured resources may be converted to either proven or probable reserves. Indicated resources are based on adequate geological evidence and sampling, meaning that evidence is sufficient to establish geological and grade or quality continuity with reasonable certainty. After applying modifying factors, measured resources may be converted to probable reserves. Inferred resources are based on limited geological evidence and sampling, meaning that evidence is sufficient only to establish that geological and grade or quality continuity is more likely than not. Inferred resources may not be converted to reserves.</w:t>
      </w:r>
    </w:p>
    <w:p>
      <w:pPr>
        <w:spacing w:after="0" w:line="10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Mineral reserves are defined as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 Mineral reserves are classified into two categories, discussed below in decreasing level of confidence. Proven mineral reserves are the economically mineable part of a measured mineral resource and only result from conversion of a measured mineral resource. Probable mineral reserves are the economically mineable part of an indicated and, in some cases, a measured mineral resource.</w:t>
      </w:r>
    </w:p>
    <w:p>
      <w:pPr>
        <w:spacing w:after="0" w:line="96"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As of March 31, 2022, we had 321.0 million tons of proven and probable limestone reserves, and 679.2 million tons of measured and indicated limestone resources, exclusive of limestone reserves. Approximately 83% of our total reserves are owned, with the rest leased. The point of reference for resources other than the underground properties associated with the Sugar Creek location is reported on an in situ basis. Sugar Creek underground resources are reported on a recoverable basis. The point of reference for reserves other than the Louisville and Buda locations are reported on a recoverable or "run-of-mine" basis. Louisville and Buda are reported on an in situ basis. We do not consider any of our individual quarries to be material for disclosure purposes. All of our individual locations have at least 25 years of reserves, with most of our locations having in excess of 50 years. We obtained technical reports from a third party qualified person for each of our locations during fiscal 2022. These technical reports were prepared in accordance with the requirements of the Modernization of Property Disclosures for Mining Registrants set forth in subpart 1300 of Regulation S-K.</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Below is a summary of our limestone resources, exclusive of limestone reserves, serving each of our cement plants at March 31, 2022:</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 xml:space="preserve">Limestone Resources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-6350</wp:posOffset>
            </wp:positionV>
            <wp:extent cx="4800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3"/>
          </w:tcPr>
          <w:p>
            <w:pPr>
              <w:ind w:left="1380"/>
              <w:spacing w:after="0"/>
              <w:rPr>
                <w:sz w:val="20"/>
                <w:szCs w:val="20"/>
                <w:color w:val="auto"/>
              </w:rPr>
            </w:pPr>
            <w:r>
              <w:rPr>
                <w:rFonts w:ascii="Arial" w:cs="Arial" w:eastAsia="Arial" w:hAnsi="Arial"/>
                <w:sz w:val="13"/>
                <w:szCs w:val="13"/>
                <w:color w:val="auto"/>
                <w:w w:val="88"/>
              </w:rPr>
              <w:t>(tons in thousands)</w:t>
            </w: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5"/>
              </w:rPr>
              <w:t>Total Measured &amp;</w:t>
            </w: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Location</w:t>
            </w:r>
          </w:p>
        </w:tc>
        <w:tc>
          <w:tcPr>
            <w:tcW w:w="1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Measured</w:t>
            </w:r>
          </w:p>
        </w:tc>
        <w:tc>
          <w:tcPr>
            <w:tcW w:w="80" w:type="dxa"/>
            <w:vAlign w:val="bottom"/>
          </w:tcPr>
          <w:p>
            <w:pPr>
              <w:spacing w:after="0"/>
              <w:rPr>
                <w:sz w:val="12"/>
                <w:szCs w:val="12"/>
                <w:color w:val="auto"/>
              </w:rPr>
            </w:pPr>
          </w:p>
        </w:tc>
        <w:tc>
          <w:tcPr>
            <w:tcW w:w="2380" w:type="dxa"/>
            <w:vAlign w:val="bottom"/>
            <w:gridSpan w:val="3"/>
            <w:vMerge w:val="restart"/>
          </w:tcPr>
          <w:p>
            <w:pPr>
              <w:ind w:left="1160"/>
              <w:spacing w:after="0"/>
              <w:rPr>
                <w:sz w:val="20"/>
                <w:szCs w:val="20"/>
                <w:color w:val="auto"/>
              </w:rPr>
            </w:pPr>
            <w:r>
              <w:rPr>
                <w:rFonts w:ascii="Arial" w:cs="Arial" w:eastAsia="Arial" w:hAnsi="Arial"/>
                <w:sz w:val="16"/>
                <w:szCs w:val="16"/>
                <w:b w:val="1"/>
                <w:bCs w:val="1"/>
                <w:color w:val="auto"/>
              </w:rPr>
              <w:t>Indicated</w:t>
            </w:r>
          </w:p>
        </w:tc>
        <w:tc>
          <w:tcPr>
            <w:tcW w:w="1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Inferred</w:t>
            </w:r>
          </w:p>
        </w:tc>
        <w:tc>
          <w:tcPr>
            <w:tcW w:w="0" w:type="dxa"/>
            <w:vAlign w:val="bottom"/>
          </w:tcPr>
          <w:p>
            <w:pPr>
              <w:spacing w:after="0"/>
              <w:rPr>
                <w:sz w:val="1"/>
                <w:szCs w:val="1"/>
                <w:color w:val="auto"/>
              </w:rPr>
            </w:pPr>
          </w:p>
        </w:tc>
      </w:tr>
      <w:tr>
        <w:trPr>
          <w:trHeight w:val="203"/>
        </w:trPr>
        <w:tc>
          <w:tcPr>
            <w:tcW w:w="360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3"/>
            <w:vMerge w:val="continue"/>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Indicated</w:t>
            </w:r>
          </w:p>
        </w:tc>
        <w:tc>
          <w:tcPr>
            <w:tcW w:w="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3983C5"/>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 xml:space="preserve">Buda, Texas </w:t>
            </w:r>
            <w:r>
              <w:rPr>
                <w:rFonts w:ascii="Arial" w:cs="Arial" w:eastAsia="Arial" w:hAnsi="Arial"/>
                <w:sz w:val="19"/>
                <w:szCs w:val="19"/>
                <w:b w:val="1"/>
                <w:bCs w:val="1"/>
                <w:color w:val="3983C5"/>
                <w:vertAlign w:val="superscript"/>
              </w:rPr>
              <w:t>(2)</w:t>
            </w:r>
          </w:p>
        </w:tc>
        <w:tc>
          <w:tcPr>
            <w:tcW w:w="1840" w:type="dxa"/>
            <w:vAlign w:val="bottom"/>
            <w:tcBorders>
              <w:top w:val="single" w:sz="8" w:color="3983C5"/>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51,840</w:t>
            </w:r>
          </w:p>
        </w:tc>
        <w:tc>
          <w:tcPr>
            <w:tcW w:w="80" w:type="dxa"/>
            <w:vAlign w:val="bottom"/>
          </w:tcPr>
          <w:p>
            <w:pPr>
              <w:spacing w:after="0"/>
              <w:rPr>
                <w:sz w:val="14"/>
                <w:szCs w:val="14"/>
                <w:color w:val="auto"/>
              </w:rPr>
            </w:pPr>
          </w:p>
        </w:tc>
        <w:tc>
          <w:tcPr>
            <w:tcW w:w="1840" w:type="dxa"/>
            <w:vAlign w:val="bottom"/>
            <w:tcBorders>
              <w:top w:val="single" w:sz="8" w:color="3983C5"/>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11,300</w:t>
            </w:r>
          </w:p>
        </w:tc>
        <w:tc>
          <w:tcPr>
            <w:tcW w:w="80" w:type="dxa"/>
            <w:vAlign w:val="bottom"/>
          </w:tcPr>
          <w:p>
            <w:pPr>
              <w:spacing w:after="0"/>
              <w:rPr>
                <w:sz w:val="14"/>
                <w:szCs w:val="14"/>
                <w:color w:val="auto"/>
              </w:rPr>
            </w:pPr>
          </w:p>
        </w:tc>
        <w:tc>
          <w:tcPr>
            <w:tcW w:w="460" w:type="dxa"/>
            <w:vAlign w:val="bottom"/>
            <w:tcBorders>
              <w:top w:val="single" w:sz="8" w:color="3983C5"/>
              <w:bottom w:val="single" w:sz="8" w:color="A6A6A6"/>
            </w:tcBorders>
          </w:tcPr>
          <w:p>
            <w:pPr>
              <w:spacing w:after="0"/>
              <w:rPr>
                <w:sz w:val="14"/>
                <w:szCs w:val="14"/>
                <w:color w:val="auto"/>
              </w:rPr>
            </w:pPr>
          </w:p>
        </w:tc>
        <w:tc>
          <w:tcPr>
            <w:tcW w:w="1360" w:type="dxa"/>
            <w:vAlign w:val="bottom"/>
            <w:tcBorders>
              <w:top w:val="single" w:sz="8" w:color="3983C5"/>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63,140</w:t>
            </w:r>
          </w:p>
        </w:tc>
        <w:tc>
          <w:tcPr>
            <w:tcW w:w="80" w:type="dxa"/>
            <w:vAlign w:val="bottom"/>
          </w:tcPr>
          <w:p>
            <w:pPr>
              <w:spacing w:after="0"/>
              <w:rPr>
                <w:sz w:val="14"/>
                <w:szCs w:val="14"/>
                <w:color w:val="auto"/>
              </w:rPr>
            </w:pPr>
          </w:p>
        </w:tc>
        <w:tc>
          <w:tcPr>
            <w:tcW w:w="1820" w:type="dxa"/>
            <w:vAlign w:val="bottom"/>
            <w:tcBorders>
              <w:top w:val="single" w:sz="8" w:color="3983C5"/>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LaSalle, Illinois</w:t>
            </w: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13,100</w:t>
            </w:r>
          </w:p>
        </w:tc>
        <w:tc>
          <w:tcPr>
            <w:tcW w:w="80" w:type="dxa"/>
            <w:vAlign w:val="bottom"/>
          </w:tcPr>
          <w:p>
            <w:pPr>
              <w:spacing w:after="0"/>
              <w:rPr>
                <w:sz w:val="14"/>
                <w:szCs w:val="14"/>
                <w:color w:val="auto"/>
              </w:rPr>
            </w:pP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7,700</w:t>
            </w:r>
          </w:p>
        </w:tc>
        <w:tc>
          <w:tcPr>
            <w:tcW w:w="80" w:type="dxa"/>
            <w:vAlign w:val="bottom"/>
          </w:tcPr>
          <w:p>
            <w:pPr>
              <w:spacing w:after="0"/>
              <w:rPr>
                <w:sz w:val="14"/>
                <w:szCs w:val="14"/>
                <w:color w:val="auto"/>
              </w:rPr>
            </w:pPr>
          </w:p>
        </w:tc>
        <w:tc>
          <w:tcPr>
            <w:tcW w:w="46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20,800</w:t>
            </w:r>
          </w:p>
        </w:tc>
        <w:tc>
          <w:tcPr>
            <w:tcW w:w="80" w:type="dxa"/>
            <w:vAlign w:val="bottom"/>
          </w:tcPr>
          <w:p>
            <w:pPr>
              <w:spacing w:after="0"/>
              <w:rPr>
                <w:sz w:val="14"/>
                <w:szCs w:val="14"/>
                <w:color w:val="auto"/>
              </w:rPr>
            </w:pPr>
          </w:p>
        </w:tc>
        <w:tc>
          <w:tcPr>
            <w:tcW w:w="182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Sugar Creek, Missouri</w:t>
            </w: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67,900</w:t>
            </w:r>
          </w:p>
        </w:tc>
        <w:tc>
          <w:tcPr>
            <w:tcW w:w="80" w:type="dxa"/>
            <w:vAlign w:val="bottom"/>
          </w:tcPr>
          <w:p>
            <w:pPr>
              <w:spacing w:after="0"/>
              <w:rPr>
                <w:sz w:val="14"/>
                <w:szCs w:val="14"/>
                <w:color w:val="auto"/>
              </w:rPr>
            </w:pP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66,000</w:t>
            </w:r>
          </w:p>
        </w:tc>
        <w:tc>
          <w:tcPr>
            <w:tcW w:w="80" w:type="dxa"/>
            <w:vAlign w:val="bottom"/>
          </w:tcPr>
          <w:p>
            <w:pPr>
              <w:spacing w:after="0"/>
              <w:rPr>
                <w:sz w:val="14"/>
                <w:szCs w:val="14"/>
                <w:color w:val="auto"/>
              </w:rPr>
            </w:pPr>
          </w:p>
        </w:tc>
        <w:tc>
          <w:tcPr>
            <w:tcW w:w="46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133,900</w:t>
            </w:r>
          </w:p>
        </w:tc>
        <w:tc>
          <w:tcPr>
            <w:tcW w:w="80" w:type="dxa"/>
            <w:vAlign w:val="bottom"/>
          </w:tcPr>
          <w:p>
            <w:pPr>
              <w:spacing w:after="0"/>
              <w:rPr>
                <w:sz w:val="14"/>
                <w:szCs w:val="14"/>
                <w:color w:val="auto"/>
              </w:rPr>
            </w:pPr>
          </w:p>
        </w:tc>
        <w:tc>
          <w:tcPr>
            <w:tcW w:w="182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32,300</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Laramie, Wyoming</w:t>
            </w: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60,100</w:t>
            </w:r>
          </w:p>
        </w:tc>
        <w:tc>
          <w:tcPr>
            <w:tcW w:w="80" w:type="dxa"/>
            <w:vAlign w:val="bottom"/>
          </w:tcPr>
          <w:p>
            <w:pPr>
              <w:spacing w:after="0"/>
              <w:rPr>
                <w:sz w:val="14"/>
                <w:szCs w:val="14"/>
                <w:color w:val="auto"/>
              </w:rPr>
            </w:pP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46,900</w:t>
            </w:r>
          </w:p>
        </w:tc>
        <w:tc>
          <w:tcPr>
            <w:tcW w:w="80" w:type="dxa"/>
            <w:vAlign w:val="bottom"/>
          </w:tcPr>
          <w:p>
            <w:pPr>
              <w:spacing w:after="0"/>
              <w:rPr>
                <w:sz w:val="14"/>
                <w:szCs w:val="14"/>
                <w:color w:val="auto"/>
              </w:rPr>
            </w:pPr>
          </w:p>
        </w:tc>
        <w:tc>
          <w:tcPr>
            <w:tcW w:w="46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107,000</w:t>
            </w:r>
          </w:p>
        </w:tc>
        <w:tc>
          <w:tcPr>
            <w:tcW w:w="80" w:type="dxa"/>
            <w:vAlign w:val="bottom"/>
          </w:tcPr>
          <w:p>
            <w:pPr>
              <w:spacing w:after="0"/>
              <w:rPr>
                <w:sz w:val="14"/>
                <w:szCs w:val="14"/>
                <w:color w:val="auto"/>
              </w:rPr>
            </w:pPr>
          </w:p>
        </w:tc>
        <w:tc>
          <w:tcPr>
            <w:tcW w:w="182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360,300</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Tulsa, Oklahoma</w:t>
            </w: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35,400</w:t>
            </w:r>
          </w:p>
        </w:tc>
        <w:tc>
          <w:tcPr>
            <w:tcW w:w="80" w:type="dxa"/>
            <w:vAlign w:val="bottom"/>
          </w:tcPr>
          <w:p>
            <w:pPr>
              <w:spacing w:after="0"/>
              <w:rPr>
                <w:sz w:val="14"/>
                <w:szCs w:val="14"/>
                <w:color w:val="auto"/>
              </w:rPr>
            </w:pP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10,300</w:t>
            </w:r>
          </w:p>
        </w:tc>
        <w:tc>
          <w:tcPr>
            <w:tcW w:w="80" w:type="dxa"/>
            <w:vAlign w:val="bottom"/>
          </w:tcPr>
          <w:p>
            <w:pPr>
              <w:spacing w:after="0"/>
              <w:rPr>
                <w:sz w:val="14"/>
                <w:szCs w:val="14"/>
                <w:color w:val="auto"/>
              </w:rPr>
            </w:pPr>
          </w:p>
        </w:tc>
        <w:tc>
          <w:tcPr>
            <w:tcW w:w="46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45,700</w:t>
            </w:r>
          </w:p>
        </w:tc>
        <w:tc>
          <w:tcPr>
            <w:tcW w:w="80" w:type="dxa"/>
            <w:vAlign w:val="bottom"/>
          </w:tcPr>
          <w:p>
            <w:pPr>
              <w:spacing w:after="0"/>
              <w:rPr>
                <w:sz w:val="14"/>
                <w:szCs w:val="14"/>
                <w:color w:val="auto"/>
              </w:rPr>
            </w:pPr>
          </w:p>
        </w:tc>
        <w:tc>
          <w:tcPr>
            <w:tcW w:w="182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Fernley, Nevada</w:t>
            </w: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78,400</w:t>
            </w:r>
          </w:p>
        </w:tc>
        <w:tc>
          <w:tcPr>
            <w:tcW w:w="80" w:type="dxa"/>
            <w:vAlign w:val="bottom"/>
          </w:tcPr>
          <w:p>
            <w:pPr>
              <w:spacing w:after="0"/>
              <w:rPr>
                <w:sz w:val="14"/>
                <w:szCs w:val="14"/>
                <w:color w:val="auto"/>
              </w:rPr>
            </w:pP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29,800</w:t>
            </w:r>
          </w:p>
        </w:tc>
        <w:tc>
          <w:tcPr>
            <w:tcW w:w="80" w:type="dxa"/>
            <w:vAlign w:val="bottom"/>
          </w:tcPr>
          <w:p>
            <w:pPr>
              <w:spacing w:after="0"/>
              <w:rPr>
                <w:sz w:val="14"/>
                <w:szCs w:val="14"/>
                <w:color w:val="auto"/>
              </w:rPr>
            </w:pPr>
          </w:p>
        </w:tc>
        <w:tc>
          <w:tcPr>
            <w:tcW w:w="46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108,200</w:t>
            </w:r>
          </w:p>
        </w:tc>
        <w:tc>
          <w:tcPr>
            <w:tcW w:w="80" w:type="dxa"/>
            <w:vAlign w:val="bottom"/>
          </w:tcPr>
          <w:p>
            <w:pPr>
              <w:spacing w:after="0"/>
              <w:rPr>
                <w:sz w:val="14"/>
                <w:szCs w:val="14"/>
                <w:color w:val="auto"/>
              </w:rPr>
            </w:pPr>
          </w:p>
        </w:tc>
        <w:tc>
          <w:tcPr>
            <w:tcW w:w="182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17,200</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Louisville, Kentucky</w:t>
            </w: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67,500</w:t>
            </w:r>
          </w:p>
        </w:tc>
        <w:tc>
          <w:tcPr>
            <w:tcW w:w="80" w:type="dxa"/>
            <w:vAlign w:val="bottom"/>
          </w:tcPr>
          <w:p>
            <w:pPr>
              <w:spacing w:after="0"/>
              <w:rPr>
                <w:sz w:val="14"/>
                <w:szCs w:val="14"/>
                <w:color w:val="auto"/>
              </w:rPr>
            </w:pPr>
          </w:p>
        </w:tc>
        <w:tc>
          <w:tcPr>
            <w:tcW w:w="18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99,900</w:t>
            </w:r>
          </w:p>
        </w:tc>
        <w:tc>
          <w:tcPr>
            <w:tcW w:w="80" w:type="dxa"/>
            <w:vAlign w:val="bottom"/>
          </w:tcPr>
          <w:p>
            <w:pPr>
              <w:spacing w:after="0"/>
              <w:rPr>
                <w:sz w:val="14"/>
                <w:szCs w:val="14"/>
                <w:color w:val="auto"/>
              </w:rPr>
            </w:pPr>
          </w:p>
        </w:tc>
        <w:tc>
          <w:tcPr>
            <w:tcW w:w="46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167,400</w:t>
            </w:r>
          </w:p>
        </w:tc>
        <w:tc>
          <w:tcPr>
            <w:tcW w:w="80" w:type="dxa"/>
            <w:vAlign w:val="bottom"/>
          </w:tcPr>
          <w:p>
            <w:pPr>
              <w:spacing w:after="0"/>
              <w:rPr>
                <w:sz w:val="14"/>
                <w:szCs w:val="14"/>
                <w:color w:val="auto"/>
              </w:rPr>
            </w:pPr>
          </w:p>
        </w:tc>
        <w:tc>
          <w:tcPr>
            <w:tcW w:w="182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119,200</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Fairborn, Ohio</w:t>
            </w:r>
          </w:p>
        </w:tc>
        <w:tc>
          <w:tcPr>
            <w:tcW w:w="184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color w:val="auto"/>
              </w:rPr>
              <w:t>13,900</w:t>
            </w:r>
          </w:p>
        </w:tc>
        <w:tc>
          <w:tcPr>
            <w:tcW w:w="80" w:type="dxa"/>
            <w:vAlign w:val="bottom"/>
          </w:tcPr>
          <w:p>
            <w:pPr>
              <w:spacing w:after="0"/>
              <w:rPr>
                <w:sz w:val="14"/>
                <w:szCs w:val="14"/>
                <w:color w:val="auto"/>
              </w:rPr>
            </w:pPr>
          </w:p>
        </w:tc>
        <w:tc>
          <w:tcPr>
            <w:tcW w:w="184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color w:val="auto"/>
              </w:rPr>
              <w:t>19,200</w:t>
            </w:r>
          </w:p>
        </w:tc>
        <w:tc>
          <w:tcPr>
            <w:tcW w:w="80" w:type="dxa"/>
            <w:vAlign w:val="bottom"/>
          </w:tcPr>
          <w:p>
            <w:pPr>
              <w:spacing w:after="0"/>
              <w:rPr>
                <w:sz w:val="14"/>
                <w:szCs w:val="14"/>
                <w:color w:val="auto"/>
              </w:rPr>
            </w:pPr>
          </w:p>
        </w:tc>
        <w:tc>
          <w:tcPr>
            <w:tcW w:w="460" w:type="dxa"/>
            <w:vAlign w:val="bottom"/>
            <w:tcBorders>
              <w:bottom w:val="single" w:sz="8" w:color="3983C5"/>
            </w:tcBorders>
          </w:tcPr>
          <w:p>
            <w:pPr>
              <w:spacing w:after="0"/>
              <w:rPr>
                <w:sz w:val="14"/>
                <w:szCs w:val="14"/>
                <w:color w:val="auto"/>
              </w:rPr>
            </w:pPr>
          </w:p>
        </w:tc>
        <w:tc>
          <w:tcPr>
            <w:tcW w:w="136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color w:val="auto"/>
              </w:rPr>
              <w:t>33,100</w:t>
            </w:r>
          </w:p>
        </w:tc>
        <w:tc>
          <w:tcPr>
            <w:tcW w:w="80" w:type="dxa"/>
            <w:vAlign w:val="bottom"/>
          </w:tcPr>
          <w:p>
            <w:pPr>
              <w:spacing w:after="0"/>
              <w:rPr>
                <w:sz w:val="14"/>
                <w:szCs w:val="14"/>
                <w:color w:val="auto"/>
              </w:rPr>
            </w:pPr>
          </w:p>
        </w:tc>
        <w:tc>
          <w:tcPr>
            <w:tcW w:w="182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color w:val="auto"/>
              </w:rPr>
              <w:t>1,700</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84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388,140</w:t>
            </w:r>
          </w:p>
        </w:tc>
        <w:tc>
          <w:tcPr>
            <w:tcW w:w="80" w:type="dxa"/>
            <w:vAlign w:val="bottom"/>
          </w:tcPr>
          <w:p>
            <w:pPr>
              <w:spacing w:after="0"/>
              <w:rPr>
                <w:sz w:val="14"/>
                <w:szCs w:val="14"/>
                <w:color w:val="auto"/>
              </w:rPr>
            </w:pPr>
          </w:p>
        </w:tc>
        <w:tc>
          <w:tcPr>
            <w:tcW w:w="184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291,100</w:t>
            </w:r>
          </w:p>
        </w:tc>
        <w:tc>
          <w:tcPr>
            <w:tcW w:w="80" w:type="dxa"/>
            <w:vAlign w:val="bottom"/>
          </w:tcPr>
          <w:p>
            <w:pPr>
              <w:spacing w:after="0"/>
              <w:rPr>
                <w:sz w:val="14"/>
                <w:szCs w:val="14"/>
                <w:color w:val="auto"/>
              </w:rPr>
            </w:pPr>
          </w:p>
        </w:tc>
        <w:tc>
          <w:tcPr>
            <w:tcW w:w="460" w:type="dxa"/>
            <w:vAlign w:val="bottom"/>
            <w:tcBorders>
              <w:bottom w:val="single" w:sz="8" w:color="3983C5"/>
            </w:tcBorders>
          </w:tcPr>
          <w:p>
            <w:pPr>
              <w:spacing w:after="0"/>
              <w:rPr>
                <w:sz w:val="14"/>
                <w:szCs w:val="14"/>
                <w:color w:val="auto"/>
              </w:rPr>
            </w:pPr>
          </w:p>
        </w:tc>
        <w:tc>
          <w:tcPr>
            <w:tcW w:w="136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679,240</w:t>
            </w:r>
          </w:p>
        </w:tc>
        <w:tc>
          <w:tcPr>
            <w:tcW w:w="80" w:type="dxa"/>
            <w:vAlign w:val="bottom"/>
          </w:tcPr>
          <w:p>
            <w:pPr>
              <w:spacing w:after="0"/>
              <w:rPr>
                <w:sz w:val="14"/>
                <w:szCs w:val="14"/>
                <w:color w:val="auto"/>
              </w:rPr>
            </w:pPr>
          </w:p>
        </w:tc>
        <w:tc>
          <w:tcPr>
            <w:tcW w:w="182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535,200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tcBorders>
              <w:bottom w:val="single" w:sz="8" w:color="3983C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3983C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3983C5"/>
            </w:tcBorders>
          </w:tcPr>
          <w:p>
            <w:pPr>
              <w:spacing w:after="0" w:line="20" w:lineRule="exact"/>
              <w:rPr>
                <w:sz w:val="1"/>
                <w:szCs w:val="1"/>
                <w:color w:val="auto"/>
              </w:rPr>
            </w:pPr>
          </w:p>
        </w:tc>
        <w:tc>
          <w:tcPr>
            <w:tcW w:w="1360" w:type="dxa"/>
            <w:vAlign w:val="bottom"/>
            <w:tcBorders>
              <w:bottom w:val="single" w:sz="8" w:color="3983C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3983C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400" w:firstLine="8"/>
        <w:spacing w:after="0" w:line="196" w:lineRule="auto"/>
        <w:tabs>
          <w:tab w:leader="none" w:pos="197"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Measured, Indicated and Inferred resources are based on an initial assessment using average selling price assumptions ranging from $13.00 to $18.00, depending on location and market.</w:t>
      </w:r>
    </w:p>
    <w:p>
      <w:pPr>
        <w:ind w:left="200" w:hanging="192"/>
        <w:spacing w:after="0" w:line="187" w:lineRule="auto"/>
        <w:tabs>
          <w:tab w:leader="none" w:pos="20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Reflects the Company's 50% ownership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limestone reserves serving each of our cement plants at March 31, 2022:</w:t>
      </w:r>
    </w:p>
    <w:p>
      <w:pPr>
        <w:spacing w:after="0" w:line="239"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 xml:space="preserve">Limestone Reserves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-6350</wp:posOffset>
            </wp:positionV>
            <wp:extent cx="4749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gridSpan w:val="3"/>
          </w:tcPr>
          <w:p>
            <w:pPr>
              <w:jc w:val="right"/>
              <w:ind w:right="1503"/>
              <w:spacing w:after="0"/>
              <w:rPr>
                <w:sz w:val="20"/>
                <w:szCs w:val="20"/>
                <w:color w:val="auto"/>
              </w:rPr>
            </w:pPr>
            <w:r>
              <w:rPr>
                <w:rFonts w:ascii="Arial" w:cs="Arial" w:eastAsia="Arial" w:hAnsi="Arial"/>
                <w:sz w:val="13"/>
                <w:szCs w:val="13"/>
                <w:color w:val="auto"/>
              </w:rPr>
              <w:t>(tons in thousands)</w:t>
            </w:r>
          </w:p>
        </w:tc>
        <w:tc>
          <w:tcPr>
            <w:tcW w:w="8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Fiscal 2022 tons</w:t>
            </w:r>
          </w:p>
        </w:tc>
        <w:tc>
          <w:tcPr>
            <w:tcW w:w="0" w:type="dxa"/>
            <w:vAlign w:val="bottom"/>
          </w:tcPr>
          <w:p>
            <w:pPr>
              <w:spacing w:after="0"/>
              <w:rPr>
                <w:sz w:val="1"/>
                <w:szCs w:val="1"/>
                <w:color w:val="auto"/>
              </w:rPr>
            </w:pPr>
          </w:p>
        </w:tc>
      </w:tr>
      <w:tr>
        <w:trPr>
          <w:trHeight w:val="141"/>
        </w:trPr>
        <w:tc>
          <w:tcPr>
            <w:tcW w:w="3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Location</w:t>
            </w:r>
          </w:p>
        </w:tc>
        <w:tc>
          <w:tcPr>
            <w:tcW w:w="1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Proven</w:t>
            </w:r>
          </w:p>
        </w:tc>
        <w:tc>
          <w:tcPr>
            <w:tcW w:w="100" w:type="dxa"/>
            <w:vAlign w:val="bottom"/>
          </w:tcPr>
          <w:p>
            <w:pPr>
              <w:spacing w:after="0"/>
              <w:rPr>
                <w:sz w:val="12"/>
                <w:szCs w:val="12"/>
                <w:color w:val="auto"/>
              </w:rPr>
            </w:pPr>
          </w:p>
        </w:tc>
        <w:tc>
          <w:tcPr>
            <w:tcW w:w="1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Probable</w:t>
            </w:r>
          </w:p>
        </w:tc>
        <w:tc>
          <w:tcPr>
            <w:tcW w:w="80" w:type="dxa"/>
            <w:vAlign w:val="bottom"/>
          </w:tcPr>
          <w:p>
            <w:pPr>
              <w:spacing w:after="0"/>
              <w:rPr>
                <w:sz w:val="12"/>
                <w:szCs w:val="12"/>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5"/>
              </w:rPr>
              <w:t>Total Proven &amp; Probable</w:t>
            </w:r>
          </w:p>
        </w:tc>
        <w:tc>
          <w:tcPr>
            <w:tcW w:w="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80" w:type="dxa"/>
            <w:vAlign w:val="bottom"/>
            <w:tcBorders>
              <w:bottom w:val="single" w:sz="8" w:color="3983C5"/>
            </w:tcBorders>
            <w:vMerge w:val="continue"/>
          </w:tcPr>
          <w:p>
            <w:pPr>
              <w:spacing w:after="0"/>
              <w:rPr>
                <w:sz w:val="17"/>
                <w:szCs w:val="17"/>
                <w:color w:val="auto"/>
              </w:rPr>
            </w:pPr>
          </w:p>
        </w:tc>
        <w:tc>
          <w:tcPr>
            <w:tcW w:w="1880" w:type="dxa"/>
            <w:vAlign w:val="bottom"/>
            <w:tcBorders>
              <w:bottom w:val="single" w:sz="8" w:color="3983C5"/>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3983C5"/>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Borders>
              <w:bottom w:val="single" w:sz="8" w:color="3983C5"/>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bottom w:val="single" w:sz="8" w:color="3983C5"/>
            </w:tcBorders>
          </w:tcPr>
          <w:p>
            <w:pPr>
              <w:jc w:val="right"/>
              <w:spacing w:after="0"/>
              <w:rPr>
                <w:sz w:val="20"/>
                <w:szCs w:val="20"/>
                <w:color w:val="auto"/>
              </w:rPr>
            </w:pPr>
            <w:r>
              <w:rPr>
                <w:rFonts w:ascii="Arial" w:cs="Arial" w:eastAsia="Arial" w:hAnsi="Arial"/>
                <w:sz w:val="16"/>
                <w:szCs w:val="16"/>
                <w:b w:val="1"/>
                <w:bCs w:val="1"/>
                <w:color w:val="auto"/>
              </w:rPr>
              <w:t>mined</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 xml:space="preserve">Buda, Texas </w:t>
            </w:r>
            <w:r>
              <w:rPr>
                <w:rFonts w:ascii="Arial" w:cs="Arial" w:eastAsia="Arial" w:hAnsi="Arial"/>
                <w:sz w:val="19"/>
                <w:szCs w:val="19"/>
                <w:b w:val="1"/>
                <w:bCs w:val="1"/>
                <w:color w:val="3983C5"/>
                <w:vertAlign w:val="superscript"/>
              </w:rPr>
              <w:t>(2)</w:t>
            </w: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29,600</w:t>
            </w:r>
          </w:p>
        </w:tc>
        <w:tc>
          <w:tcPr>
            <w:tcW w:w="100" w:type="dxa"/>
            <w:vAlign w:val="bottom"/>
          </w:tcPr>
          <w:p>
            <w:pPr>
              <w:spacing w:after="0"/>
              <w:rPr>
                <w:sz w:val="14"/>
                <w:szCs w:val="14"/>
                <w:color w:val="auto"/>
              </w:rPr>
            </w:pP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10,000</w:t>
            </w:r>
          </w:p>
        </w:tc>
        <w:tc>
          <w:tcPr>
            <w:tcW w:w="80" w:type="dxa"/>
            <w:vAlign w:val="bottom"/>
          </w:tcPr>
          <w:p>
            <w:pPr>
              <w:spacing w:after="0"/>
              <w:rPr>
                <w:sz w:val="14"/>
                <w:szCs w:val="14"/>
                <w:color w:val="auto"/>
              </w:rPr>
            </w:pPr>
          </w:p>
        </w:tc>
        <w:tc>
          <w:tcPr>
            <w:tcW w:w="18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39,600</w:t>
            </w:r>
          </w:p>
        </w:tc>
        <w:tc>
          <w:tcPr>
            <w:tcW w:w="80" w:type="dxa"/>
            <w:vAlign w:val="bottom"/>
          </w:tcPr>
          <w:p>
            <w:pPr>
              <w:spacing w:after="0"/>
              <w:rPr>
                <w:sz w:val="14"/>
                <w:szCs w:val="14"/>
                <w:color w:val="auto"/>
              </w:rPr>
            </w:pPr>
          </w:p>
        </w:tc>
        <w:tc>
          <w:tcPr>
            <w:tcW w:w="160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1,600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LaSalle, Illinois</w:t>
            </w: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15,400</w:t>
            </w:r>
          </w:p>
        </w:tc>
        <w:tc>
          <w:tcPr>
            <w:tcW w:w="100" w:type="dxa"/>
            <w:vAlign w:val="bottom"/>
          </w:tcPr>
          <w:p>
            <w:pPr>
              <w:spacing w:after="0"/>
              <w:rPr>
                <w:sz w:val="14"/>
                <w:szCs w:val="14"/>
                <w:color w:val="auto"/>
              </w:rPr>
            </w:pP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4,800</w:t>
            </w:r>
          </w:p>
        </w:tc>
        <w:tc>
          <w:tcPr>
            <w:tcW w:w="80" w:type="dxa"/>
            <w:vAlign w:val="bottom"/>
          </w:tcPr>
          <w:p>
            <w:pPr>
              <w:spacing w:after="0"/>
              <w:rPr>
                <w:sz w:val="14"/>
                <w:szCs w:val="14"/>
                <w:color w:val="auto"/>
              </w:rPr>
            </w:pPr>
          </w:p>
        </w:tc>
        <w:tc>
          <w:tcPr>
            <w:tcW w:w="18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20,200</w:t>
            </w:r>
          </w:p>
        </w:tc>
        <w:tc>
          <w:tcPr>
            <w:tcW w:w="80" w:type="dxa"/>
            <w:vAlign w:val="bottom"/>
          </w:tcPr>
          <w:p>
            <w:pPr>
              <w:spacing w:after="0"/>
              <w:rPr>
                <w:sz w:val="14"/>
                <w:szCs w:val="14"/>
                <w:color w:val="auto"/>
              </w:rPr>
            </w:pPr>
          </w:p>
        </w:tc>
        <w:tc>
          <w:tcPr>
            <w:tcW w:w="160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980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Sugar Creek, Missouri</w:t>
            </w: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24,400</w:t>
            </w:r>
          </w:p>
        </w:tc>
        <w:tc>
          <w:tcPr>
            <w:tcW w:w="100" w:type="dxa"/>
            <w:vAlign w:val="bottom"/>
          </w:tcPr>
          <w:p>
            <w:pPr>
              <w:spacing w:after="0"/>
              <w:rPr>
                <w:sz w:val="14"/>
                <w:szCs w:val="14"/>
                <w:color w:val="auto"/>
              </w:rPr>
            </w:pP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7,700</w:t>
            </w:r>
          </w:p>
        </w:tc>
        <w:tc>
          <w:tcPr>
            <w:tcW w:w="80" w:type="dxa"/>
            <w:vAlign w:val="bottom"/>
          </w:tcPr>
          <w:p>
            <w:pPr>
              <w:spacing w:after="0"/>
              <w:rPr>
                <w:sz w:val="14"/>
                <w:szCs w:val="14"/>
                <w:color w:val="auto"/>
              </w:rPr>
            </w:pPr>
          </w:p>
        </w:tc>
        <w:tc>
          <w:tcPr>
            <w:tcW w:w="18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32,100</w:t>
            </w:r>
          </w:p>
        </w:tc>
        <w:tc>
          <w:tcPr>
            <w:tcW w:w="80" w:type="dxa"/>
            <w:vAlign w:val="bottom"/>
          </w:tcPr>
          <w:p>
            <w:pPr>
              <w:spacing w:after="0"/>
              <w:rPr>
                <w:sz w:val="14"/>
                <w:szCs w:val="14"/>
                <w:color w:val="auto"/>
              </w:rPr>
            </w:pPr>
          </w:p>
        </w:tc>
        <w:tc>
          <w:tcPr>
            <w:tcW w:w="160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1,130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Laramie, Wyoming</w:t>
            </w: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39,700</w:t>
            </w:r>
          </w:p>
        </w:tc>
        <w:tc>
          <w:tcPr>
            <w:tcW w:w="100" w:type="dxa"/>
            <w:vAlign w:val="bottom"/>
          </w:tcPr>
          <w:p>
            <w:pPr>
              <w:spacing w:after="0"/>
              <w:rPr>
                <w:sz w:val="14"/>
                <w:szCs w:val="14"/>
                <w:color w:val="auto"/>
              </w:rPr>
            </w:pP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25,400</w:t>
            </w:r>
          </w:p>
        </w:tc>
        <w:tc>
          <w:tcPr>
            <w:tcW w:w="80" w:type="dxa"/>
            <w:vAlign w:val="bottom"/>
          </w:tcPr>
          <w:p>
            <w:pPr>
              <w:spacing w:after="0"/>
              <w:rPr>
                <w:sz w:val="14"/>
                <w:szCs w:val="14"/>
                <w:color w:val="auto"/>
              </w:rPr>
            </w:pPr>
          </w:p>
        </w:tc>
        <w:tc>
          <w:tcPr>
            <w:tcW w:w="18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65,100</w:t>
            </w:r>
          </w:p>
        </w:tc>
        <w:tc>
          <w:tcPr>
            <w:tcW w:w="80" w:type="dxa"/>
            <w:vAlign w:val="bottom"/>
          </w:tcPr>
          <w:p>
            <w:pPr>
              <w:spacing w:after="0"/>
              <w:rPr>
                <w:sz w:val="14"/>
                <w:szCs w:val="14"/>
                <w:color w:val="auto"/>
              </w:rPr>
            </w:pPr>
          </w:p>
        </w:tc>
        <w:tc>
          <w:tcPr>
            <w:tcW w:w="160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1,140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Tulsa, Oklahoma</w:t>
            </w: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28,400</w:t>
            </w:r>
          </w:p>
        </w:tc>
        <w:tc>
          <w:tcPr>
            <w:tcW w:w="100" w:type="dxa"/>
            <w:vAlign w:val="bottom"/>
          </w:tcPr>
          <w:p>
            <w:pPr>
              <w:spacing w:after="0"/>
              <w:rPr>
                <w:sz w:val="14"/>
                <w:szCs w:val="14"/>
                <w:color w:val="auto"/>
              </w:rPr>
            </w:pP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4,600</w:t>
            </w:r>
          </w:p>
        </w:tc>
        <w:tc>
          <w:tcPr>
            <w:tcW w:w="80" w:type="dxa"/>
            <w:vAlign w:val="bottom"/>
          </w:tcPr>
          <w:p>
            <w:pPr>
              <w:spacing w:after="0"/>
              <w:rPr>
                <w:sz w:val="14"/>
                <w:szCs w:val="14"/>
                <w:color w:val="auto"/>
              </w:rPr>
            </w:pPr>
          </w:p>
        </w:tc>
        <w:tc>
          <w:tcPr>
            <w:tcW w:w="18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33,000</w:t>
            </w:r>
          </w:p>
        </w:tc>
        <w:tc>
          <w:tcPr>
            <w:tcW w:w="80" w:type="dxa"/>
            <w:vAlign w:val="bottom"/>
          </w:tcPr>
          <w:p>
            <w:pPr>
              <w:spacing w:after="0"/>
              <w:rPr>
                <w:sz w:val="14"/>
                <w:szCs w:val="14"/>
                <w:color w:val="auto"/>
              </w:rPr>
            </w:pPr>
          </w:p>
        </w:tc>
        <w:tc>
          <w:tcPr>
            <w:tcW w:w="160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890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Fernley, Nevada</w:t>
            </w: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18,600</w:t>
            </w:r>
          </w:p>
        </w:tc>
        <w:tc>
          <w:tcPr>
            <w:tcW w:w="100" w:type="dxa"/>
            <w:vAlign w:val="bottom"/>
          </w:tcPr>
          <w:p>
            <w:pPr>
              <w:spacing w:after="0"/>
              <w:rPr>
                <w:sz w:val="14"/>
                <w:szCs w:val="14"/>
                <w:color w:val="auto"/>
              </w:rPr>
            </w:pP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6,500</w:t>
            </w:r>
          </w:p>
        </w:tc>
        <w:tc>
          <w:tcPr>
            <w:tcW w:w="80" w:type="dxa"/>
            <w:vAlign w:val="bottom"/>
          </w:tcPr>
          <w:p>
            <w:pPr>
              <w:spacing w:after="0"/>
              <w:rPr>
                <w:sz w:val="14"/>
                <w:szCs w:val="14"/>
                <w:color w:val="auto"/>
              </w:rPr>
            </w:pPr>
          </w:p>
        </w:tc>
        <w:tc>
          <w:tcPr>
            <w:tcW w:w="18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25,100</w:t>
            </w:r>
          </w:p>
        </w:tc>
        <w:tc>
          <w:tcPr>
            <w:tcW w:w="80" w:type="dxa"/>
            <w:vAlign w:val="bottom"/>
          </w:tcPr>
          <w:p>
            <w:pPr>
              <w:spacing w:after="0"/>
              <w:rPr>
                <w:sz w:val="14"/>
                <w:szCs w:val="14"/>
                <w:color w:val="auto"/>
              </w:rPr>
            </w:pPr>
          </w:p>
        </w:tc>
        <w:tc>
          <w:tcPr>
            <w:tcW w:w="160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Louisville, Kentucky</w:t>
            </w: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29,600</w:t>
            </w:r>
          </w:p>
        </w:tc>
        <w:tc>
          <w:tcPr>
            <w:tcW w:w="100" w:type="dxa"/>
            <w:vAlign w:val="bottom"/>
          </w:tcPr>
          <w:p>
            <w:pPr>
              <w:spacing w:after="0"/>
              <w:rPr>
                <w:sz w:val="14"/>
                <w:szCs w:val="14"/>
                <w:color w:val="auto"/>
              </w:rPr>
            </w:pPr>
          </w:p>
        </w:tc>
        <w:tc>
          <w:tcPr>
            <w:tcW w:w="188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49,850</w:t>
            </w:r>
          </w:p>
        </w:tc>
        <w:tc>
          <w:tcPr>
            <w:tcW w:w="80" w:type="dxa"/>
            <w:vAlign w:val="bottom"/>
          </w:tcPr>
          <w:p>
            <w:pPr>
              <w:spacing w:after="0"/>
              <w:rPr>
                <w:sz w:val="14"/>
                <w:szCs w:val="14"/>
                <w:color w:val="auto"/>
              </w:rPr>
            </w:pPr>
          </w:p>
        </w:tc>
        <w:tc>
          <w:tcPr>
            <w:tcW w:w="186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79,450</w:t>
            </w:r>
          </w:p>
        </w:tc>
        <w:tc>
          <w:tcPr>
            <w:tcW w:w="80" w:type="dxa"/>
            <w:vAlign w:val="bottom"/>
          </w:tcPr>
          <w:p>
            <w:pPr>
              <w:spacing w:after="0"/>
              <w:rPr>
                <w:sz w:val="14"/>
                <w:szCs w:val="14"/>
                <w:color w:val="auto"/>
              </w:rPr>
            </w:pPr>
          </w:p>
        </w:tc>
        <w:tc>
          <w:tcPr>
            <w:tcW w:w="160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Fairborn, Ohio</w:t>
            </w:r>
          </w:p>
        </w:tc>
        <w:tc>
          <w:tcPr>
            <w:tcW w:w="188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color w:val="auto"/>
              </w:rPr>
              <w:t>26,400</w:t>
            </w:r>
          </w:p>
        </w:tc>
        <w:tc>
          <w:tcPr>
            <w:tcW w:w="100" w:type="dxa"/>
            <w:vAlign w:val="bottom"/>
          </w:tcPr>
          <w:p>
            <w:pPr>
              <w:spacing w:after="0"/>
              <w:rPr>
                <w:sz w:val="14"/>
                <w:szCs w:val="14"/>
                <w:color w:val="auto"/>
              </w:rPr>
            </w:pPr>
          </w:p>
        </w:tc>
        <w:tc>
          <w:tcPr>
            <w:tcW w:w="188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86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color w:val="auto"/>
              </w:rPr>
              <w:t>26,400</w:t>
            </w:r>
          </w:p>
        </w:tc>
        <w:tc>
          <w:tcPr>
            <w:tcW w:w="80" w:type="dxa"/>
            <w:vAlign w:val="bottom"/>
          </w:tcPr>
          <w:p>
            <w:pPr>
              <w:spacing w:after="0"/>
              <w:rPr>
                <w:sz w:val="14"/>
                <w:szCs w:val="14"/>
                <w:color w:val="auto"/>
              </w:rPr>
            </w:pPr>
          </w:p>
        </w:tc>
        <w:tc>
          <w:tcPr>
            <w:tcW w:w="160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color w:val="auto"/>
              </w:rPr>
              <w:t>920</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88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212,100</w:t>
            </w:r>
          </w:p>
        </w:tc>
        <w:tc>
          <w:tcPr>
            <w:tcW w:w="100" w:type="dxa"/>
            <w:vAlign w:val="bottom"/>
          </w:tcPr>
          <w:p>
            <w:pPr>
              <w:spacing w:after="0"/>
              <w:rPr>
                <w:sz w:val="14"/>
                <w:szCs w:val="14"/>
                <w:color w:val="auto"/>
              </w:rPr>
            </w:pPr>
          </w:p>
        </w:tc>
        <w:tc>
          <w:tcPr>
            <w:tcW w:w="188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108,850</w:t>
            </w:r>
          </w:p>
        </w:tc>
        <w:tc>
          <w:tcPr>
            <w:tcW w:w="80" w:type="dxa"/>
            <w:vAlign w:val="bottom"/>
          </w:tcPr>
          <w:p>
            <w:pPr>
              <w:spacing w:after="0"/>
              <w:rPr>
                <w:sz w:val="14"/>
                <w:szCs w:val="14"/>
                <w:color w:val="auto"/>
              </w:rPr>
            </w:pPr>
          </w:p>
        </w:tc>
        <w:tc>
          <w:tcPr>
            <w:tcW w:w="186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320,950</w:t>
            </w:r>
          </w:p>
        </w:tc>
        <w:tc>
          <w:tcPr>
            <w:tcW w:w="80" w:type="dxa"/>
            <w:vAlign w:val="bottom"/>
          </w:tcPr>
          <w:p>
            <w:pPr>
              <w:spacing w:after="0"/>
              <w:rPr>
                <w:sz w:val="14"/>
                <w:szCs w:val="14"/>
                <w:color w:val="auto"/>
              </w:rPr>
            </w:pPr>
          </w:p>
        </w:tc>
        <w:tc>
          <w:tcPr>
            <w:tcW w:w="160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9,260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80" w:type="dxa"/>
            <w:vAlign w:val="bottom"/>
            <w:tcBorders>
              <w:bottom w:val="single" w:sz="8" w:color="3983C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3983C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3983C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3983C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The economic viability of our reserves were determined using average limestone prices ranging from $13.00 to $18.00 per ton, depending on location and market.</w:t>
      </w:r>
    </w:p>
    <w:p>
      <w:pPr>
        <w:spacing w:after="0" w:line="30" w:lineRule="exact"/>
        <w:rPr>
          <w:rFonts w:ascii="Arial" w:cs="Arial" w:eastAsia="Arial" w:hAnsi="Arial"/>
          <w:sz w:val="23"/>
          <w:szCs w:val="23"/>
          <w:color w:val="auto"/>
          <w:vertAlign w:val="superscript"/>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Reflects the Company's 50% ownership interest</w:t>
      </w:r>
      <w:r>
        <w:rPr>
          <w:rFonts w:ascii="Arial" w:cs="Arial" w:eastAsia="Arial" w:hAnsi="Arial"/>
          <w:sz w:val="23"/>
          <w:szCs w:val="23"/>
          <w:color w:val="auto"/>
          <w:vertAlign w:val="superscript"/>
        </w:rPr>
        <w:t>.</w:t>
      </w:r>
    </w:p>
    <w:p>
      <w:pPr>
        <w:spacing w:after="0" w:line="135"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All of our quarries are close to our operating facilities. See Item 2. Properties for the map showing the location of all of the companies operating facilities.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Internal Controls</w:t>
      </w:r>
    </w:p>
    <w:p>
      <w:pPr>
        <w:spacing w:after="0" w:line="162"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have compiled reserve and resource estimates with the assistance of third party qualified persons (QP). In general, the procedure for developing these estimates was a collaboration between site personnel and the QP for the individual site. Past exploration data was field verified and quality was verified by reviewing on-site lab certification or third party testing. Third party resource modeling was developed using verified past exploration data and field observations. Where applicable, site specific ore density, recovery, and loss parameters were used in order to calculate reserves. Property ownership, permit status, and lease evaluations were performed by the third party QP to evaluate the legal right to mine. When evaluating economic viability past income statements and operating costs were reviewed, as well as future operating and capital cost estimates. Commodity pricing was either taken from published USGS reports or from reasonable expected pricing given site location and haulage rates.</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3"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277EBF"/>
        </w:rPr>
        <w:t>Cement Plants</w:t>
      </w:r>
    </w:p>
    <w:p>
      <w:pPr>
        <w:spacing w:after="0" w:line="166"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We operate eight modern cement plants (one of which is operated through a joint venture), and one slag grinding facility. Our clinker capacity is approximately 6.7 million tons, which is approximately 6% of total U.S. clinker capacity (clinker is the intermediary product before it is ground into cement powder). All of our cement plants use dry-process technology, and approximately 80% of our clinker capacity is produced from preheater or preheater/pre-calciner kilns, which are generally more energy-efficient kiln types. In addition to production facilities, we also operate 29 cement storage and distribution terminals.</w:t>
      </w:r>
    </w:p>
    <w:p>
      <w:pPr>
        <w:spacing w:after="0" w:line="98"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Our cement companies focus on the U.S. heartland and operate as an integrated network selling product mainly in Colorado, Illinois, Kansas, Kentucky, Indiana, Iowa, Missouri, Nebraska, Nevada, Ohio, Oklahoma, and Texas. Our joint venture includes a minority interest in an import terminal in Houston, Texas, from which we can purchase up to 495,000 short tons annually. Our slag facility is located near Chicago, Illinois and has 500,000 tons annual grinding capacity.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cement plants at March 31, 2022 (tons are in thousands of short tons):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Rated Annual</w:t>
            </w:r>
          </w:p>
        </w:tc>
        <w:tc>
          <w:tcPr>
            <w:tcW w:w="1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Annual</w:t>
            </w:r>
          </w:p>
        </w:tc>
        <w:tc>
          <w:tcPr>
            <w:tcW w:w="100" w:type="dxa"/>
            <w:vAlign w:val="bottom"/>
          </w:tcPr>
          <w:p>
            <w:pPr>
              <w:spacing w:after="0"/>
              <w:rPr>
                <w:sz w:val="13"/>
                <w:szCs w:val="13"/>
                <w:color w:val="auto"/>
              </w:rPr>
            </w:pPr>
          </w:p>
        </w:tc>
        <w:tc>
          <w:tcPr>
            <w:tcW w:w="2880" w:type="dxa"/>
            <w:vAlign w:val="bottom"/>
            <w:vMerge w:val="restart"/>
          </w:tcPr>
          <w:p>
            <w:pPr>
              <w:spacing w:after="0"/>
              <w:rPr>
                <w:sz w:val="20"/>
                <w:szCs w:val="20"/>
                <w:color w:val="auto"/>
              </w:rPr>
            </w:pPr>
            <w:r>
              <w:rPr>
                <w:rFonts w:ascii="Arial" w:cs="Arial" w:eastAsia="Arial" w:hAnsi="Arial"/>
                <w:sz w:val="13"/>
                <w:szCs w:val="13"/>
                <w:b w:val="1"/>
                <w:bCs w:val="1"/>
                <w:color w:val="auto"/>
              </w:rPr>
              <w:t>Manufacturing</w:t>
            </w:r>
          </w:p>
        </w:tc>
        <w:tc>
          <w:tcPr>
            <w:tcW w:w="134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Number</w:t>
            </w:r>
          </w:p>
        </w:tc>
        <w:tc>
          <w:tcPr>
            <w:tcW w:w="1400" w:type="dxa"/>
            <w:vAlign w:val="bottom"/>
          </w:tcPr>
          <w:p>
            <w:pPr>
              <w:ind w:left="280"/>
              <w:spacing w:after="0"/>
              <w:rPr>
                <w:sz w:val="20"/>
                <w:szCs w:val="20"/>
                <w:color w:val="auto"/>
              </w:rPr>
            </w:pPr>
            <w:r>
              <w:rPr>
                <w:rFonts w:ascii="Arial" w:cs="Arial" w:eastAsia="Arial" w:hAnsi="Arial"/>
                <w:sz w:val="13"/>
                <w:szCs w:val="13"/>
                <w:b w:val="1"/>
                <w:bCs w:val="1"/>
                <w:color w:val="auto"/>
              </w:rPr>
              <w:t>Kiln</w:t>
            </w:r>
          </w:p>
        </w:tc>
        <w:tc>
          <w:tcPr>
            <w:tcW w:w="0" w:type="dxa"/>
            <w:vAlign w:val="bottom"/>
          </w:tcPr>
          <w:p>
            <w:pPr>
              <w:spacing w:after="0"/>
              <w:rPr>
                <w:sz w:val="1"/>
                <w:szCs w:val="1"/>
                <w:color w:val="auto"/>
              </w:rPr>
            </w:pPr>
          </w:p>
        </w:tc>
      </w:tr>
      <w:tr>
        <w:trPr>
          <w:trHeight w:val="121"/>
        </w:trPr>
        <w:tc>
          <w:tcPr>
            <w:tcW w:w="2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Plant Location</w:t>
            </w:r>
          </w:p>
        </w:tc>
        <w:tc>
          <w:tcPr>
            <w:tcW w:w="15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Clinker</w:t>
            </w:r>
          </w:p>
        </w:tc>
        <w:tc>
          <w:tcPr>
            <w:tcW w:w="100" w:type="dxa"/>
            <w:vAlign w:val="bottom"/>
          </w:tcPr>
          <w:p>
            <w:pPr>
              <w:spacing w:after="0"/>
              <w:rPr>
                <w:sz w:val="10"/>
                <w:szCs w:val="10"/>
                <w:color w:val="auto"/>
              </w:rPr>
            </w:pPr>
          </w:p>
        </w:tc>
        <w:tc>
          <w:tcPr>
            <w:tcW w:w="1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Grinding</w:t>
            </w:r>
          </w:p>
        </w:tc>
        <w:tc>
          <w:tcPr>
            <w:tcW w:w="10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00" w:type="dxa"/>
            <w:vAlign w:val="bottom"/>
          </w:tcPr>
          <w:p>
            <w:pPr>
              <w:ind w:left="280"/>
              <w:spacing w:after="0" w:line="122" w:lineRule="exact"/>
              <w:rPr>
                <w:sz w:val="20"/>
                <w:szCs w:val="20"/>
                <w:color w:val="auto"/>
              </w:rPr>
            </w:pPr>
            <w:r>
              <w:rPr>
                <w:rFonts w:ascii="Arial" w:cs="Arial" w:eastAsia="Arial" w:hAnsi="Arial"/>
                <w:sz w:val="13"/>
                <w:szCs w:val="13"/>
                <w:b w:val="1"/>
                <w:bCs w:val="1"/>
                <w:color w:val="auto"/>
              </w:rPr>
              <w:t>Dedication</w:t>
            </w:r>
          </w:p>
        </w:tc>
        <w:tc>
          <w:tcPr>
            <w:tcW w:w="0" w:type="dxa"/>
            <w:vAlign w:val="bottom"/>
          </w:tcPr>
          <w:p>
            <w:pPr>
              <w:spacing w:after="0"/>
              <w:rPr>
                <w:sz w:val="1"/>
                <w:szCs w:val="1"/>
                <w:color w:val="auto"/>
              </w:rPr>
            </w:pPr>
          </w:p>
        </w:tc>
      </w:tr>
      <w:tr>
        <w:trPr>
          <w:trHeight w:val="162"/>
        </w:trPr>
        <w:tc>
          <w:tcPr>
            <w:tcW w:w="2240" w:type="dxa"/>
            <w:vAlign w:val="bottom"/>
            <w:tcBorders>
              <w:bottom w:val="single" w:sz="8" w:color="3983C5"/>
            </w:tcBorders>
            <w:vMerge w:val="continue"/>
          </w:tcPr>
          <w:p>
            <w:pPr>
              <w:spacing w:after="0"/>
              <w:rPr>
                <w:sz w:val="14"/>
                <w:szCs w:val="14"/>
                <w:color w:val="auto"/>
              </w:rPr>
            </w:pPr>
          </w:p>
        </w:tc>
        <w:tc>
          <w:tcPr>
            <w:tcW w:w="1540" w:type="dxa"/>
            <w:vAlign w:val="bottom"/>
            <w:tcBorders>
              <w:bottom w:val="single" w:sz="8" w:color="3983C5"/>
            </w:tcBorders>
          </w:tcPr>
          <w:p>
            <w:pPr>
              <w:jc w:val="right"/>
              <w:spacing w:after="0" w:line="162" w:lineRule="exact"/>
              <w:rPr>
                <w:sz w:val="20"/>
                <w:szCs w:val="20"/>
                <w:color w:val="auto"/>
              </w:rPr>
            </w:pPr>
            <w:r>
              <w:rPr>
                <w:rFonts w:ascii="Arial" w:cs="Arial" w:eastAsia="Arial" w:hAnsi="Arial"/>
                <w:sz w:val="13"/>
                <w:szCs w:val="13"/>
                <w:b w:val="1"/>
                <w:bCs w:val="1"/>
                <w:color w:val="auto"/>
              </w:rPr>
              <w:t xml:space="preserve">Capacity </w:t>
            </w:r>
            <w:r>
              <w:rPr>
                <w:rFonts w:ascii="Arial" w:cs="Arial" w:eastAsia="Arial" w:hAnsi="Arial"/>
                <w:sz w:val="16"/>
                <w:szCs w:val="16"/>
                <w:b w:val="1"/>
                <w:bCs w:val="1"/>
                <w:color w:val="auto"/>
                <w:vertAlign w:val="superscript"/>
              </w:rPr>
              <w:t>(1)</w:t>
            </w:r>
          </w:p>
        </w:tc>
        <w:tc>
          <w:tcPr>
            <w:tcW w:w="100" w:type="dxa"/>
            <w:vAlign w:val="bottom"/>
          </w:tcPr>
          <w:p>
            <w:pPr>
              <w:spacing w:after="0"/>
              <w:rPr>
                <w:sz w:val="14"/>
                <w:szCs w:val="14"/>
                <w:color w:val="auto"/>
              </w:rPr>
            </w:pPr>
          </w:p>
        </w:tc>
        <w:tc>
          <w:tcPr>
            <w:tcW w:w="1640" w:type="dxa"/>
            <w:vAlign w:val="bottom"/>
            <w:tcBorders>
              <w:bottom w:val="single" w:sz="8" w:color="3983C5"/>
            </w:tcBorders>
          </w:tcPr>
          <w:p>
            <w:pPr>
              <w:jc w:val="right"/>
              <w:spacing w:after="0"/>
              <w:rPr>
                <w:sz w:val="20"/>
                <w:szCs w:val="20"/>
                <w:color w:val="auto"/>
              </w:rPr>
            </w:pPr>
            <w:r>
              <w:rPr>
                <w:rFonts w:ascii="Arial" w:cs="Arial" w:eastAsia="Arial" w:hAnsi="Arial"/>
                <w:sz w:val="13"/>
                <w:szCs w:val="13"/>
                <w:b w:val="1"/>
                <w:bCs w:val="1"/>
                <w:color w:val="auto"/>
              </w:rPr>
              <w:t>Capacity</w:t>
            </w:r>
          </w:p>
        </w:tc>
        <w:tc>
          <w:tcPr>
            <w:tcW w:w="100" w:type="dxa"/>
            <w:vAlign w:val="bottom"/>
          </w:tcPr>
          <w:p>
            <w:pPr>
              <w:spacing w:after="0"/>
              <w:rPr>
                <w:sz w:val="14"/>
                <w:szCs w:val="14"/>
                <w:color w:val="auto"/>
              </w:rPr>
            </w:pPr>
          </w:p>
        </w:tc>
        <w:tc>
          <w:tcPr>
            <w:tcW w:w="2880" w:type="dxa"/>
            <w:vAlign w:val="bottom"/>
            <w:tcBorders>
              <w:bottom w:val="single" w:sz="8" w:color="3983C5"/>
            </w:tcBorders>
          </w:tcPr>
          <w:p>
            <w:pPr>
              <w:spacing w:after="0"/>
              <w:rPr>
                <w:sz w:val="20"/>
                <w:szCs w:val="20"/>
                <w:color w:val="auto"/>
              </w:rPr>
            </w:pPr>
            <w:r>
              <w:rPr>
                <w:rFonts w:ascii="Arial" w:cs="Arial" w:eastAsia="Arial" w:hAnsi="Arial"/>
                <w:sz w:val="13"/>
                <w:szCs w:val="13"/>
                <w:b w:val="1"/>
                <w:bCs w:val="1"/>
                <w:color w:val="auto"/>
              </w:rPr>
              <w:t>Process</w:t>
            </w:r>
          </w:p>
        </w:tc>
        <w:tc>
          <w:tcPr>
            <w:tcW w:w="1340" w:type="dxa"/>
            <w:vAlign w:val="bottom"/>
            <w:tcBorders>
              <w:bottom w:val="single" w:sz="8" w:color="3983C5"/>
            </w:tcBorders>
          </w:tcPr>
          <w:p>
            <w:pPr>
              <w:ind w:left="620"/>
              <w:spacing w:after="0"/>
              <w:rPr>
                <w:sz w:val="20"/>
                <w:szCs w:val="20"/>
                <w:color w:val="auto"/>
              </w:rPr>
            </w:pPr>
            <w:r>
              <w:rPr>
                <w:rFonts w:ascii="Arial" w:cs="Arial" w:eastAsia="Arial" w:hAnsi="Arial"/>
                <w:sz w:val="13"/>
                <w:szCs w:val="13"/>
                <w:b w:val="1"/>
                <w:bCs w:val="1"/>
                <w:color w:val="auto"/>
              </w:rPr>
              <w:t>of Kilns</w:t>
            </w:r>
          </w:p>
        </w:tc>
        <w:tc>
          <w:tcPr>
            <w:tcW w:w="1400" w:type="dxa"/>
            <w:vAlign w:val="bottom"/>
            <w:tcBorders>
              <w:bottom w:val="single" w:sz="8" w:color="3983C5"/>
            </w:tcBorders>
          </w:tcPr>
          <w:p>
            <w:pPr>
              <w:ind w:left="28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29"/>
        </w:trPr>
        <w:tc>
          <w:tcPr>
            <w:tcW w:w="2240" w:type="dxa"/>
            <w:vAlign w:val="bottom"/>
          </w:tcPr>
          <w:p>
            <w:pPr>
              <w:ind w:left="20"/>
              <w:spacing w:after="0" w:line="129" w:lineRule="exact"/>
              <w:rPr>
                <w:sz w:val="20"/>
                <w:szCs w:val="20"/>
                <w:color w:val="auto"/>
              </w:rPr>
            </w:pPr>
            <w:r>
              <w:rPr>
                <w:rFonts w:ascii="Arial" w:cs="Arial" w:eastAsia="Arial" w:hAnsi="Arial"/>
                <w:sz w:val="11"/>
                <w:szCs w:val="11"/>
                <w:b w:val="1"/>
                <w:bCs w:val="1"/>
                <w:color w:val="3983C5"/>
              </w:rPr>
              <w:t xml:space="preserve">Buda, TX </w:t>
            </w:r>
            <w:r>
              <w:rPr>
                <w:rFonts w:ascii="Arial" w:cs="Arial" w:eastAsia="Arial" w:hAnsi="Arial"/>
                <w:sz w:val="14"/>
                <w:szCs w:val="14"/>
                <w:b w:val="1"/>
                <w:bCs w:val="1"/>
                <w:color w:val="3983C5"/>
                <w:vertAlign w:val="superscript"/>
              </w:rPr>
              <w:t>(2)</w:t>
            </w:r>
          </w:p>
        </w:tc>
        <w:tc>
          <w:tcPr>
            <w:tcW w:w="1540" w:type="dxa"/>
            <w:vAlign w:val="bottom"/>
          </w:tcPr>
          <w:p>
            <w:pPr>
              <w:jc w:val="right"/>
              <w:spacing w:after="0" w:line="129" w:lineRule="exact"/>
              <w:rPr>
                <w:sz w:val="20"/>
                <w:szCs w:val="20"/>
                <w:color w:val="auto"/>
              </w:rPr>
            </w:pPr>
            <w:r>
              <w:rPr>
                <w:rFonts w:ascii="Arial" w:cs="Arial" w:eastAsia="Arial" w:hAnsi="Arial"/>
                <w:sz w:val="14"/>
                <w:szCs w:val="14"/>
                <w:color w:val="auto"/>
              </w:rPr>
              <w:t>1,300</w:t>
            </w:r>
          </w:p>
        </w:tc>
        <w:tc>
          <w:tcPr>
            <w:tcW w:w="100" w:type="dxa"/>
            <w:vAlign w:val="bottom"/>
          </w:tcPr>
          <w:p>
            <w:pPr>
              <w:spacing w:after="0"/>
              <w:rPr>
                <w:sz w:val="11"/>
                <w:szCs w:val="11"/>
                <w:color w:val="auto"/>
              </w:rPr>
            </w:pPr>
          </w:p>
        </w:tc>
        <w:tc>
          <w:tcPr>
            <w:tcW w:w="1640" w:type="dxa"/>
            <w:vAlign w:val="bottom"/>
          </w:tcPr>
          <w:p>
            <w:pPr>
              <w:jc w:val="right"/>
              <w:spacing w:after="0" w:line="129" w:lineRule="exact"/>
              <w:rPr>
                <w:sz w:val="20"/>
                <w:szCs w:val="20"/>
                <w:color w:val="auto"/>
              </w:rPr>
            </w:pPr>
            <w:r>
              <w:rPr>
                <w:rFonts w:ascii="Arial" w:cs="Arial" w:eastAsia="Arial" w:hAnsi="Arial"/>
                <w:sz w:val="14"/>
                <w:szCs w:val="14"/>
                <w:color w:val="auto"/>
              </w:rPr>
              <w:t>1,435</w:t>
            </w:r>
          </w:p>
        </w:tc>
        <w:tc>
          <w:tcPr>
            <w:tcW w:w="100" w:type="dxa"/>
            <w:vAlign w:val="bottom"/>
          </w:tcPr>
          <w:p>
            <w:pPr>
              <w:spacing w:after="0"/>
              <w:rPr>
                <w:sz w:val="11"/>
                <w:szCs w:val="11"/>
                <w:color w:val="auto"/>
              </w:rPr>
            </w:pPr>
          </w:p>
        </w:tc>
        <w:tc>
          <w:tcPr>
            <w:tcW w:w="2880" w:type="dxa"/>
            <w:vAlign w:val="bottom"/>
          </w:tcPr>
          <w:p>
            <w:pPr>
              <w:spacing w:after="0" w:line="129" w:lineRule="exact"/>
              <w:rPr>
                <w:sz w:val="20"/>
                <w:szCs w:val="20"/>
                <w:color w:val="auto"/>
              </w:rPr>
            </w:pPr>
            <w:r>
              <w:rPr>
                <w:rFonts w:ascii="Arial" w:cs="Arial" w:eastAsia="Arial" w:hAnsi="Arial"/>
                <w:sz w:val="14"/>
                <w:szCs w:val="14"/>
                <w:color w:val="auto"/>
              </w:rPr>
              <w:t>Dry – 4 Stage Preheater/</w:t>
            </w:r>
          </w:p>
        </w:tc>
        <w:tc>
          <w:tcPr>
            <w:tcW w:w="1340" w:type="dxa"/>
            <w:vAlign w:val="bottom"/>
          </w:tcPr>
          <w:p>
            <w:pPr>
              <w:ind w:left="620"/>
              <w:spacing w:after="0" w:line="129" w:lineRule="exact"/>
              <w:rPr>
                <w:sz w:val="20"/>
                <w:szCs w:val="20"/>
                <w:color w:val="auto"/>
              </w:rPr>
            </w:pPr>
            <w:r>
              <w:rPr>
                <w:rFonts w:ascii="Arial" w:cs="Arial" w:eastAsia="Arial" w:hAnsi="Arial"/>
                <w:sz w:val="14"/>
                <w:szCs w:val="14"/>
                <w:color w:val="auto"/>
              </w:rPr>
              <w:t>1</w:t>
            </w:r>
          </w:p>
        </w:tc>
        <w:tc>
          <w:tcPr>
            <w:tcW w:w="1400" w:type="dxa"/>
            <w:vAlign w:val="bottom"/>
          </w:tcPr>
          <w:p>
            <w:pPr>
              <w:ind w:left="280"/>
              <w:spacing w:after="0" w:line="129" w:lineRule="exact"/>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A6A6A6"/>
            </w:tcBorders>
          </w:tcPr>
          <w:p>
            <w:pPr>
              <w:spacing w:after="0"/>
              <w:rPr>
                <w:sz w:val="16"/>
                <w:szCs w:val="16"/>
                <w:color w:val="auto"/>
              </w:rPr>
            </w:pPr>
          </w:p>
        </w:tc>
        <w:tc>
          <w:tcPr>
            <w:tcW w:w="15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Borders>
              <w:bottom w:val="single" w:sz="8" w:color="A6A6A6"/>
            </w:tcBorders>
          </w:tcPr>
          <w:p>
            <w:pPr>
              <w:spacing w:after="0"/>
              <w:rPr>
                <w:sz w:val="20"/>
                <w:szCs w:val="20"/>
                <w:color w:val="auto"/>
              </w:rPr>
            </w:pPr>
            <w:r>
              <w:rPr>
                <w:rFonts w:ascii="Arial" w:cs="Arial" w:eastAsia="Arial" w:hAnsi="Arial"/>
                <w:sz w:val="15"/>
                <w:szCs w:val="15"/>
                <w:color w:val="auto"/>
              </w:rPr>
              <w:t>Pre-calciner</w:t>
            </w:r>
          </w:p>
        </w:tc>
        <w:tc>
          <w:tcPr>
            <w:tcW w:w="1340" w:type="dxa"/>
            <w:vAlign w:val="bottom"/>
            <w:tcBorders>
              <w:bottom w:val="single" w:sz="8" w:color="A6A6A6"/>
            </w:tcBorders>
          </w:tcPr>
          <w:p>
            <w:pPr>
              <w:spacing w:after="0"/>
              <w:rPr>
                <w:sz w:val="16"/>
                <w:szCs w:val="16"/>
                <w:color w:val="auto"/>
              </w:rPr>
            </w:pPr>
          </w:p>
        </w:tc>
        <w:tc>
          <w:tcPr>
            <w:tcW w:w="140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4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LaSalle, IL</w:t>
            </w:r>
          </w:p>
        </w:tc>
        <w:tc>
          <w:tcPr>
            <w:tcW w:w="15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1,000</w:t>
            </w:r>
          </w:p>
        </w:tc>
        <w:tc>
          <w:tcPr>
            <w:tcW w:w="100" w:type="dxa"/>
            <w:vAlign w:val="bottom"/>
          </w:tcPr>
          <w:p>
            <w:pPr>
              <w:spacing w:after="0"/>
              <w:rPr>
                <w:sz w:val="14"/>
                <w:szCs w:val="14"/>
                <w:color w:val="auto"/>
              </w:rPr>
            </w:pPr>
          </w:p>
        </w:tc>
        <w:tc>
          <w:tcPr>
            <w:tcW w:w="16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1,100</w:t>
            </w:r>
          </w:p>
        </w:tc>
        <w:tc>
          <w:tcPr>
            <w:tcW w:w="100" w:type="dxa"/>
            <w:vAlign w:val="bottom"/>
          </w:tcPr>
          <w:p>
            <w:pPr>
              <w:spacing w:after="0"/>
              <w:rPr>
                <w:sz w:val="14"/>
                <w:szCs w:val="14"/>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5 Stage Preheater/Pre-calciner</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2006</w:t>
            </w:r>
          </w:p>
        </w:tc>
        <w:tc>
          <w:tcPr>
            <w:tcW w:w="0" w:type="dxa"/>
            <w:vAlign w:val="bottom"/>
          </w:tcPr>
          <w:p>
            <w:pPr>
              <w:spacing w:after="0"/>
              <w:rPr>
                <w:sz w:val="1"/>
                <w:szCs w:val="1"/>
                <w:color w:val="auto"/>
              </w:rPr>
            </w:pPr>
          </w:p>
        </w:tc>
      </w:tr>
      <w:tr>
        <w:trPr>
          <w:trHeight w:val="169"/>
        </w:trPr>
        <w:tc>
          <w:tcPr>
            <w:tcW w:w="224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Sugar Creek, MO</w:t>
            </w:r>
          </w:p>
        </w:tc>
        <w:tc>
          <w:tcPr>
            <w:tcW w:w="15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1,000</w:t>
            </w:r>
          </w:p>
        </w:tc>
        <w:tc>
          <w:tcPr>
            <w:tcW w:w="100" w:type="dxa"/>
            <w:vAlign w:val="bottom"/>
          </w:tcPr>
          <w:p>
            <w:pPr>
              <w:spacing w:after="0"/>
              <w:rPr>
                <w:sz w:val="14"/>
                <w:szCs w:val="14"/>
                <w:color w:val="auto"/>
              </w:rPr>
            </w:pPr>
          </w:p>
        </w:tc>
        <w:tc>
          <w:tcPr>
            <w:tcW w:w="16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1,300</w:t>
            </w:r>
          </w:p>
        </w:tc>
        <w:tc>
          <w:tcPr>
            <w:tcW w:w="100" w:type="dxa"/>
            <w:vAlign w:val="bottom"/>
          </w:tcPr>
          <w:p>
            <w:pPr>
              <w:spacing w:after="0"/>
              <w:rPr>
                <w:sz w:val="14"/>
                <w:szCs w:val="14"/>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5 Stage Preheater/Pre-calciner</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2002</w:t>
            </w: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line="169" w:lineRule="exact"/>
              <w:rPr>
                <w:sz w:val="20"/>
                <w:szCs w:val="20"/>
                <w:color w:val="auto"/>
              </w:rPr>
            </w:pPr>
            <w:r>
              <w:rPr>
                <w:rFonts w:ascii="Arial" w:cs="Arial" w:eastAsia="Arial" w:hAnsi="Arial"/>
                <w:sz w:val="15"/>
                <w:szCs w:val="15"/>
                <w:b w:val="1"/>
                <w:bCs w:val="1"/>
                <w:color w:val="3983C5"/>
              </w:rPr>
              <w:t>Laramie, WY</w:t>
            </w:r>
          </w:p>
        </w:tc>
        <w:tc>
          <w:tcPr>
            <w:tcW w:w="15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650</w:t>
            </w:r>
          </w:p>
        </w:tc>
        <w:tc>
          <w:tcPr>
            <w:tcW w:w="100" w:type="dxa"/>
            <w:vAlign w:val="bottom"/>
          </w:tcPr>
          <w:p>
            <w:pPr>
              <w:spacing w:after="0"/>
              <w:rPr>
                <w:sz w:val="14"/>
                <w:szCs w:val="14"/>
                <w:color w:val="auto"/>
              </w:rPr>
            </w:pPr>
          </w:p>
        </w:tc>
        <w:tc>
          <w:tcPr>
            <w:tcW w:w="16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800</w:t>
            </w:r>
          </w:p>
        </w:tc>
        <w:tc>
          <w:tcPr>
            <w:tcW w:w="100" w:type="dxa"/>
            <w:vAlign w:val="bottom"/>
          </w:tcPr>
          <w:p>
            <w:pPr>
              <w:spacing w:after="0"/>
              <w:rPr>
                <w:sz w:val="14"/>
                <w:szCs w:val="14"/>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2 Stage Preheater</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169"/>
        </w:trPr>
        <w:tc>
          <w:tcPr>
            <w:tcW w:w="2240" w:type="dxa"/>
            <w:vAlign w:val="bottom"/>
            <w:tcBorders>
              <w:bottom w:val="single" w:sz="8" w:color="A6A6A6"/>
            </w:tcBorders>
          </w:tcPr>
          <w:p>
            <w:pPr>
              <w:spacing w:after="0"/>
              <w:rPr>
                <w:sz w:val="14"/>
                <w:szCs w:val="14"/>
                <w:color w:val="auto"/>
              </w:rPr>
            </w:pPr>
          </w:p>
        </w:tc>
        <w:tc>
          <w:tcPr>
            <w:tcW w:w="15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Long Dry Kiln</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1996</w:t>
            </w: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line="169" w:lineRule="exact"/>
              <w:rPr>
                <w:sz w:val="20"/>
                <w:szCs w:val="20"/>
                <w:color w:val="auto"/>
              </w:rPr>
            </w:pPr>
            <w:r>
              <w:rPr>
                <w:rFonts w:ascii="Arial" w:cs="Arial" w:eastAsia="Arial" w:hAnsi="Arial"/>
                <w:sz w:val="15"/>
                <w:szCs w:val="15"/>
                <w:b w:val="1"/>
                <w:bCs w:val="1"/>
                <w:color w:val="3983C5"/>
              </w:rPr>
              <w:t>Tulsa, OK</w:t>
            </w:r>
          </w:p>
        </w:tc>
        <w:tc>
          <w:tcPr>
            <w:tcW w:w="15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600</w:t>
            </w:r>
          </w:p>
        </w:tc>
        <w:tc>
          <w:tcPr>
            <w:tcW w:w="100" w:type="dxa"/>
            <w:vAlign w:val="bottom"/>
          </w:tcPr>
          <w:p>
            <w:pPr>
              <w:spacing w:after="0"/>
              <w:rPr>
                <w:sz w:val="14"/>
                <w:szCs w:val="14"/>
                <w:color w:val="auto"/>
              </w:rPr>
            </w:pPr>
          </w:p>
        </w:tc>
        <w:tc>
          <w:tcPr>
            <w:tcW w:w="16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900</w:t>
            </w:r>
          </w:p>
        </w:tc>
        <w:tc>
          <w:tcPr>
            <w:tcW w:w="100" w:type="dxa"/>
            <w:vAlign w:val="bottom"/>
          </w:tcPr>
          <w:p>
            <w:pPr>
              <w:spacing w:after="0"/>
              <w:rPr>
                <w:sz w:val="14"/>
                <w:szCs w:val="14"/>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Long Dry Kiln</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1961</w:t>
            </w:r>
          </w:p>
        </w:tc>
        <w:tc>
          <w:tcPr>
            <w:tcW w:w="0" w:type="dxa"/>
            <w:vAlign w:val="bottom"/>
          </w:tcPr>
          <w:p>
            <w:pPr>
              <w:spacing w:after="0"/>
              <w:rPr>
                <w:sz w:val="1"/>
                <w:szCs w:val="1"/>
                <w:color w:val="auto"/>
              </w:rPr>
            </w:pPr>
          </w:p>
        </w:tc>
      </w:tr>
      <w:tr>
        <w:trPr>
          <w:trHeight w:val="169"/>
        </w:trPr>
        <w:tc>
          <w:tcPr>
            <w:tcW w:w="2240" w:type="dxa"/>
            <w:vAlign w:val="bottom"/>
            <w:tcBorders>
              <w:bottom w:val="single" w:sz="8" w:color="A6A6A6"/>
            </w:tcBorders>
          </w:tcPr>
          <w:p>
            <w:pPr>
              <w:spacing w:after="0"/>
              <w:rPr>
                <w:sz w:val="14"/>
                <w:szCs w:val="14"/>
                <w:color w:val="auto"/>
              </w:rPr>
            </w:pPr>
          </w:p>
        </w:tc>
        <w:tc>
          <w:tcPr>
            <w:tcW w:w="15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Long Dry Kiln</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line="169" w:lineRule="exact"/>
              <w:rPr>
                <w:sz w:val="20"/>
                <w:szCs w:val="20"/>
                <w:color w:val="auto"/>
              </w:rPr>
            </w:pPr>
            <w:r>
              <w:rPr>
                <w:rFonts w:ascii="Arial" w:cs="Arial" w:eastAsia="Arial" w:hAnsi="Arial"/>
                <w:sz w:val="15"/>
                <w:szCs w:val="15"/>
                <w:b w:val="1"/>
                <w:bCs w:val="1"/>
                <w:color w:val="3983C5"/>
              </w:rPr>
              <w:t>Fernley, NV</w:t>
            </w:r>
          </w:p>
        </w:tc>
        <w:tc>
          <w:tcPr>
            <w:tcW w:w="15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14"/>
                <w:szCs w:val="14"/>
                <w:color w:val="auto"/>
              </w:rPr>
            </w:pPr>
          </w:p>
        </w:tc>
        <w:tc>
          <w:tcPr>
            <w:tcW w:w="16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550</w:t>
            </w:r>
          </w:p>
        </w:tc>
        <w:tc>
          <w:tcPr>
            <w:tcW w:w="100" w:type="dxa"/>
            <w:vAlign w:val="bottom"/>
          </w:tcPr>
          <w:p>
            <w:pPr>
              <w:spacing w:after="0"/>
              <w:rPr>
                <w:sz w:val="14"/>
                <w:szCs w:val="14"/>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Long Dry Kiln</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169"/>
        </w:trPr>
        <w:tc>
          <w:tcPr>
            <w:tcW w:w="2240" w:type="dxa"/>
            <w:vAlign w:val="bottom"/>
            <w:tcBorders>
              <w:bottom w:val="single" w:sz="8" w:color="A6A6A6"/>
            </w:tcBorders>
          </w:tcPr>
          <w:p>
            <w:pPr>
              <w:spacing w:after="0"/>
              <w:rPr>
                <w:sz w:val="14"/>
                <w:szCs w:val="14"/>
                <w:color w:val="auto"/>
              </w:rPr>
            </w:pPr>
          </w:p>
        </w:tc>
        <w:tc>
          <w:tcPr>
            <w:tcW w:w="15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bottom w:val="single" w:sz="8" w:color="A6A6A6"/>
            </w:tcBorders>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1 Stage Preheater</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1969</w:t>
            </w:r>
          </w:p>
        </w:tc>
        <w:tc>
          <w:tcPr>
            <w:tcW w:w="0" w:type="dxa"/>
            <w:vAlign w:val="bottom"/>
          </w:tcPr>
          <w:p>
            <w:pPr>
              <w:spacing w:after="0"/>
              <w:rPr>
                <w:sz w:val="1"/>
                <w:szCs w:val="1"/>
                <w:color w:val="auto"/>
              </w:rPr>
            </w:pPr>
          </w:p>
        </w:tc>
      </w:tr>
      <w:tr>
        <w:trPr>
          <w:trHeight w:val="169"/>
        </w:trPr>
        <w:tc>
          <w:tcPr>
            <w:tcW w:w="224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Louisville, KY</w:t>
            </w:r>
          </w:p>
        </w:tc>
        <w:tc>
          <w:tcPr>
            <w:tcW w:w="15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1,550</w:t>
            </w:r>
          </w:p>
        </w:tc>
        <w:tc>
          <w:tcPr>
            <w:tcW w:w="100" w:type="dxa"/>
            <w:vAlign w:val="bottom"/>
          </w:tcPr>
          <w:p>
            <w:pPr>
              <w:spacing w:after="0"/>
              <w:rPr>
                <w:sz w:val="14"/>
                <w:szCs w:val="14"/>
                <w:color w:val="auto"/>
              </w:rPr>
            </w:pPr>
          </w:p>
        </w:tc>
        <w:tc>
          <w:tcPr>
            <w:tcW w:w="1640" w:type="dxa"/>
            <w:vAlign w:val="bottom"/>
            <w:tcBorders>
              <w:bottom w:val="single" w:sz="8" w:color="A6A6A6"/>
            </w:tcBorders>
          </w:tcPr>
          <w:p>
            <w:pPr>
              <w:jc w:val="right"/>
              <w:spacing w:after="0" w:line="169" w:lineRule="exact"/>
              <w:rPr>
                <w:sz w:val="20"/>
                <w:szCs w:val="20"/>
                <w:color w:val="auto"/>
              </w:rPr>
            </w:pPr>
            <w:r>
              <w:rPr>
                <w:rFonts w:ascii="Arial" w:cs="Arial" w:eastAsia="Arial" w:hAnsi="Arial"/>
                <w:sz w:val="15"/>
                <w:szCs w:val="15"/>
                <w:color w:val="auto"/>
              </w:rPr>
              <w:t>1,800</w:t>
            </w:r>
          </w:p>
        </w:tc>
        <w:tc>
          <w:tcPr>
            <w:tcW w:w="100" w:type="dxa"/>
            <w:vAlign w:val="bottom"/>
          </w:tcPr>
          <w:p>
            <w:pPr>
              <w:spacing w:after="0"/>
              <w:rPr>
                <w:sz w:val="14"/>
                <w:szCs w:val="14"/>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- 4 Stage Preheater/Pre-calciner</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1999</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3983C5"/>
              </w:rPr>
              <w:t>Fairborn, OH</w:t>
            </w:r>
          </w:p>
        </w:tc>
        <w:tc>
          <w:tcPr>
            <w:tcW w:w="1540" w:type="dxa"/>
            <w:vAlign w:val="bottom"/>
            <w:tcBorders>
              <w:bottom w:val="single" w:sz="8" w:color="004483"/>
            </w:tcBorders>
          </w:tcPr>
          <w:p>
            <w:pPr>
              <w:jc w:val="right"/>
              <w:spacing w:after="0" w:line="169" w:lineRule="exact"/>
              <w:rPr>
                <w:sz w:val="20"/>
                <w:szCs w:val="20"/>
                <w:color w:val="auto"/>
              </w:rPr>
            </w:pPr>
            <w:r>
              <w:rPr>
                <w:rFonts w:ascii="Arial" w:cs="Arial" w:eastAsia="Arial" w:hAnsi="Arial"/>
                <w:sz w:val="15"/>
                <w:szCs w:val="15"/>
                <w:color w:val="auto"/>
              </w:rPr>
              <w:t>730</w:t>
            </w:r>
          </w:p>
        </w:tc>
        <w:tc>
          <w:tcPr>
            <w:tcW w:w="100" w:type="dxa"/>
            <w:vAlign w:val="bottom"/>
          </w:tcPr>
          <w:p>
            <w:pPr>
              <w:spacing w:after="0"/>
              <w:rPr>
                <w:sz w:val="17"/>
                <w:szCs w:val="17"/>
                <w:color w:val="auto"/>
              </w:rPr>
            </w:pPr>
          </w:p>
        </w:tc>
        <w:tc>
          <w:tcPr>
            <w:tcW w:w="1640" w:type="dxa"/>
            <w:vAlign w:val="bottom"/>
            <w:tcBorders>
              <w:bottom w:val="single" w:sz="8" w:color="004483"/>
            </w:tcBorders>
          </w:tcPr>
          <w:p>
            <w:pPr>
              <w:jc w:val="right"/>
              <w:spacing w:after="0" w:line="169" w:lineRule="exact"/>
              <w:rPr>
                <w:sz w:val="20"/>
                <w:szCs w:val="20"/>
                <w:color w:val="auto"/>
              </w:rPr>
            </w:pPr>
            <w:r>
              <w:rPr>
                <w:rFonts w:ascii="Arial" w:cs="Arial" w:eastAsia="Arial" w:hAnsi="Arial"/>
                <w:sz w:val="15"/>
                <w:szCs w:val="15"/>
                <w:color w:val="auto"/>
              </w:rPr>
              <w:t>980</w:t>
            </w:r>
          </w:p>
        </w:tc>
        <w:tc>
          <w:tcPr>
            <w:tcW w:w="100" w:type="dxa"/>
            <w:vAlign w:val="bottom"/>
          </w:tcPr>
          <w:p>
            <w:pPr>
              <w:spacing w:after="0"/>
              <w:rPr>
                <w:sz w:val="17"/>
                <w:szCs w:val="17"/>
                <w:color w:val="auto"/>
              </w:rPr>
            </w:pPr>
          </w:p>
        </w:tc>
        <w:tc>
          <w:tcPr>
            <w:tcW w:w="2880" w:type="dxa"/>
            <w:vAlign w:val="bottom"/>
            <w:tcBorders>
              <w:bottom w:val="single" w:sz="8" w:color="A6A6A6"/>
            </w:tcBorders>
          </w:tcPr>
          <w:p>
            <w:pPr>
              <w:spacing w:after="0" w:line="169" w:lineRule="exact"/>
              <w:rPr>
                <w:sz w:val="20"/>
                <w:szCs w:val="20"/>
                <w:color w:val="auto"/>
              </w:rPr>
            </w:pPr>
            <w:r>
              <w:rPr>
                <w:rFonts w:ascii="Arial" w:cs="Arial" w:eastAsia="Arial" w:hAnsi="Arial"/>
                <w:sz w:val="15"/>
                <w:szCs w:val="15"/>
                <w:color w:val="auto"/>
              </w:rPr>
              <w:t>Dry – 4 Stage Preheater</w:t>
            </w:r>
          </w:p>
        </w:tc>
        <w:tc>
          <w:tcPr>
            <w:tcW w:w="1340" w:type="dxa"/>
            <w:vAlign w:val="bottom"/>
            <w:tcBorders>
              <w:bottom w:val="single" w:sz="8" w:color="A6A6A6"/>
            </w:tcBorders>
          </w:tcPr>
          <w:p>
            <w:pPr>
              <w:ind w:left="620"/>
              <w:spacing w:after="0" w:line="169" w:lineRule="exact"/>
              <w:rPr>
                <w:sz w:val="20"/>
                <w:szCs w:val="20"/>
                <w:color w:val="auto"/>
              </w:rPr>
            </w:pPr>
            <w:r>
              <w:rPr>
                <w:rFonts w:ascii="Arial" w:cs="Arial" w:eastAsia="Arial" w:hAnsi="Arial"/>
                <w:sz w:val="15"/>
                <w:szCs w:val="15"/>
                <w:color w:val="auto"/>
              </w:rPr>
              <w:t>1</w:t>
            </w:r>
          </w:p>
        </w:tc>
        <w:tc>
          <w:tcPr>
            <w:tcW w:w="1400" w:type="dxa"/>
            <w:vAlign w:val="bottom"/>
            <w:tcBorders>
              <w:bottom w:val="single" w:sz="8" w:color="A6A6A6"/>
            </w:tcBorders>
          </w:tcPr>
          <w:p>
            <w:pPr>
              <w:ind w:left="280"/>
              <w:spacing w:after="0" w:line="169" w:lineRule="exact"/>
              <w:rPr>
                <w:sz w:val="20"/>
                <w:szCs w:val="20"/>
                <w:color w:val="auto"/>
              </w:rPr>
            </w:pPr>
            <w:r>
              <w:rPr>
                <w:rFonts w:ascii="Arial" w:cs="Arial" w:eastAsia="Arial" w:hAnsi="Arial"/>
                <w:sz w:val="15"/>
                <w:szCs w:val="15"/>
                <w:color w:val="auto"/>
              </w:rPr>
              <w:t>1974</w:t>
            </w: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line="169" w:lineRule="exact"/>
              <w:rPr>
                <w:sz w:val="20"/>
                <w:szCs w:val="20"/>
                <w:color w:val="auto"/>
              </w:rPr>
            </w:pPr>
            <w:r>
              <w:rPr>
                <w:rFonts w:ascii="Arial" w:cs="Arial" w:eastAsia="Arial" w:hAnsi="Arial"/>
                <w:sz w:val="15"/>
                <w:szCs w:val="15"/>
                <w:b w:val="1"/>
                <w:bCs w:val="1"/>
                <w:color w:val="3983C5"/>
              </w:rPr>
              <w:t>Total-Gross</w:t>
            </w:r>
          </w:p>
        </w:tc>
        <w:tc>
          <w:tcPr>
            <w:tcW w:w="1540" w:type="dxa"/>
            <w:vAlign w:val="bottom"/>
          </w:tcPr>
          <w:p>
            <w:pPr>
              <w:jc w:val="right"/>
              <w:spacing w:after="0" w:line="169" w:lineRule="exact"/>
              <w:rPr>
                <w:sz w:val="20"/>
                <w:szCs w:val="20"/>
                <w:color w:val="auto"/>
              </w:rPr>
            </w:pPr>
            <w:r>
              <w:rPr>
                <w:rFonts w:ascii="Arial" w:cs="Arial" w:eastAsia="Arial" w:hAnsi="Arial"/>
                <w:sz w:val="15"/>
                <w:szCs w:val="15"/>
                <w:color w:val="auto"/>
              </w:rPr>
              <w:t>7,330</w:t>
            </w:r>
          </w:p>
        </w:tc>
        <w:tc>
          <w:tcPr>
            <w:tcW w:w="100" w:type="dxa"/>
            <w:vAlign w:val="bottom"/>
          </w:tcPr>
          <w:p>
            <w:pPr>
              <w:spacing w:after="0"/>
              <w:rPr>
                <w:sz w:val="14"/>
                <w:szCs w:val="14"/>
                <w:color w:val="auto"/>
              </w:rPr>
            </w:pPr>
          </w:p>
        </w:tc>
        <w:tc>
          <w:tcPr>
            <w:tcW w:w="1640" w:type="dxa"/>
            <w:vAlign w:val="bottom"/>
          </w:tcPr>
          <w:p>
            <w:pPr>
              <w:jc w:val="right"/>
              <w:spacing w:after="0" w:line="169" w:lineRule="exact"/>
              <w:rPr>
                <w:sz w:val="20"/>
                <w:szCs w:val="20"/>
                <w:color w:val="auto"/>
              </w:rPr>
            </w:pPr>
            <w:r>
              <w:rPr>
                <w:rFonts w:ascii="Arial" w:cs="Arial" w:eastAsia="Arial" w:hAnsi="Arial"/>
                <w:sz w:val="15"/>
                <w:szCs w:val="15"/>
                <w:color w:val="auto"/>
              </w:rPr>
              <w:t>8,865</w:t>
            </w: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6A6A6"/>
            </w:tcBorders>
          </w:tcPr>
          <w:p>
            <w:pPr>
              <w:spacing w:after="0"/>
              <w:rPr>
                <w:sz w:val="2"/>
                <w:szCs w:val="2"/>
                <w:color w:val="auto"/>
              </w:rPr>
            </w:pPr>
          </w:p>
        </w:tc>
        <w:tc>
          <w:tcPr>
            <w:tcW w:w="154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6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Borders>
              <w:bottom w:val="single" w:sz="8" w:color="A6A6A6"/>
            </w:tcBorders>
          </w:tcPr>
          <w:p>
            <w:pPr>
              <w:spacing w:after="0"/>
              <w:rPr>
                <w:sz w:val="2"/>
                <w:szCs w:val="2"/>
                <w:color w:val="auto"/>
              </w:rPr>
            </w:pPr>
          </w:p>
        </w:tc>
        <w:tc>
          <w:tcPr>
            <w:tcW w:w="1340" w:type="dxa"/>
            <w:vAlign w:val="bottom"/>
            <w:tcBorders>
              <w:bottom w:val="single" w:sz="8" w:color="A6A6A6"/>
            </w:tcBorders>
          </w:tcPr>
          <w:p>
            <w:pPr>
              <w:spacing w:after="0"/>
              <w:rPr>
                <w:sz w:val="2"/>
                <w:szCs w:val="2"/>
                <w:color w:val="auto"/>
              </w:rPr>
            </w:pPr>
          </w:p>
        </w:tc>
        <w:tc>
          <w:tcPr>
            <w:tcW w:w="140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line="169" w:lineRule="exact"/>
              <w:rPr>
                <w:sz w:val="20"/>
                <w:szCs w:val="20"/>
                <w:color w:val="auto"/>
              </w:rPr>
            </w:pPr>
            <w:r>
              <w:rPr>
                <w:rFonts w:ascii="Arial" w:cs="Arial" w:eastAsia="Arial" w:hAnsi="Arial"/>
                <w:sz w:val="15"/>
                <w:szCs w:val="15"/>
                <w:b w:val="1"/>
                <w:bCs w:val="1"/>
                <w:color w:val="3983C5"/>
              </w:rPr>
              <w:t xml:space="preserve">Total-Net </w:t>
            </w:r>
            <w:r>
              <w:rPr>
                <w:rFonts w:ascii="Arial" w:cs="Arial" w:eastAsia="Arial" w:hAnsi="Arial"/>
                <w:sz w:val="19"/>
                <w:szCs w:val="19"/>
                <w:b w:val="1"/>
                <w:bCs w:val="1"/>
                <w:color w:val="3983C5"/>
                <w:vertAlign w:val="superscript"/>
              </w:rPr>
              <w:t>(3)</w:t>
            </w:r>
          </w:p>
        </w:tc>
        <w:tc>
          <w:tcPr>
            <w:tcW w:w="154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6,680</w:t>
            </w:r>
          </w:p>
        </w:tc>
        <w:tc>
          <w:tcPr>
            <w:tcW w:w="100" w:type="dxa"/>
            <w:vAlign w:val="bottom"/>
            <w:vMerge w:val="continue"/>
          </w:tcPr>
          <w:p>
            <w:pPr>
              <w:spacing w:after="0"/>
              <w:rPr>
                <w:sz w:val="14"/>
                <w:szCs w:val="14"/>
                <w:color w:val="auto"/>
              </w:rPr>
            </w:pPr>
          </w:p>
        </w:tc>
        <w:tc>
          <w:tcPr>
            <w:tcW w:w="1640" w:type="dxa"/>
            <w:vAlign w:val="bottom"/>
            <w:tcBorders>
              <w:bottom w:val="single" w:sz="8" w:color="3983C5"/>
            </w:tcBorders>
          </w:tcPr>
          <w:p>
            <w:pPr>
              <w:jc w:val="right"/>
              <w:spacing w:after="0" w:line="169" w:lineRule="exact"/>
              <w:rPr>
                <w:sz w:val="20"/>
                <w:szCs w:val="20"/>
                <w:color w:val="auto"/>
              </w:rPr>
            </w:pPr>
            <w:r>
              <w:rPr>
                <w:rFonts w:ascii="Arial" w:cs="Arial" w:eastAsia="Arial" w:hAnsi="Arial"/>
                <w:sz w:val="15"/>
                <w:szCs w:val="15"/>
                <w:b w:val="1"/>
                <w:bCs w:val="1"/>
                <w:color w:val="auto"/>
              </w:rPr>
              <w:t>8,150</w:t>
            </w: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40" w:type="dxa"/>
            <w:vAlign w:val="bottom"/>
            <w:tcBorders>
              <w:bottom w:val="single" w:sz="8" w:color="3983C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3983C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One short ton equals 2,000 pounds.</w:t>
      </w:r>
    </w:p>
    <w:p>
      <w:pPr>
        <w:spacing w:after="0" w:line="225" w:lineRule="auto"/>
        <w:tabs>
          <w:tab w:leader="none" w:pos="8420" w:val="left"/>
        </w:tabs>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The amount shown represents 100% of plant capacity. This plant is owned by a separate limited partnership in which the</w:t>
      </w:r>
      <w:r>
        <w:rPr>
          <w:sz w:val="20"/>
          <w:szCs w:val="20"/>
          <w:color w:val="auto"/>
        </w:rPr>
        <w:tab/>
      </w:r>
      <w:r>
        <w:rPr>
          <w:rFonts w:ascii="Arial" w:cs="Arial" w:eastAsia="Arial" w:hAnsi="Arial"/>
          <w:sz w:val="14"/>
          <w:szCs w:val="14"/>
          <w:color w:val="auto"/>
        </w:rPr>
        <w:t>Company has a 50% interest.</w:t>
      </w:r>
    </w:p>
    <w:p>
      <w:pPr>
        <w:ind w:left="220" w:hanging="212"/>
        <w:spacing w:after="0" w:line="202" w:lineRule="auto"/>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Net of partner’s 50% interest in the Buda, Texas plant.</w:t>
      </w:r>
    </w:p>
    <w:p>
      <w:pPr>
        <w:spacing w:after="0" w:line="106"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color w:val="auto"/>
        </w:rPr>
        <w:t>All of our cement subsidiaries are wholly owned except the Buda, Texas plant (the Joint Venture), which is owned by Texas Lehigh Cement Company LP, a limited partnership joint venture owned 50% by us, and 50% by Lehigh Cement Company LLC, a subsidiary of Heidelberg Cement AG.</w:t>
      </w:r>
    </w:p>
    <w:p>
      <w:pPr>
        <w:spacing w:after="0" w:line="94"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Our cement production, including our 50% share of the cement Joint Venture production, totaled 6.9 million short tons for both fiscal 2022 and fiscal 2021, and 5.4 million short tons for fiscal 2020. Total net cement sales, including our 50% share of cement sales from the Joint Venture, were 7.5 million in both fiscal 2022 and fiscal 2021. Total net cement sales exceeds production due primarily to imports through the Houston import terminal.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Demand, Sales, and Distribution</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principal sources of demand for cement and slag are public infrastructure, private non-residential construction, and residential construction, with public infrastructure comprising nearly 50% of total demand. Cement consumption in the U.S. increased approximately 4% during calendar 2021 from calendar 2020, and the Portland Cement Association (PCA) forecasts cement consumption will increase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0" w:name="page11"/>
    <w:bookmarkEnd w:id="10"/>
    <w:p>
      <w:pPr>
        <w:ind w:right="220"/>
        <w:spacing w:after="0" w:line="287" w:lineRule="auto"/>
        <w:rPr>
          <w:sz w:val="20"/>
          <w:szCs w:val="20"/>
          <w:color w:val="auto"/>
        </w:rPr>
      </w:pPr>
      <w:r>
        <w:rPr>
          <w:rFonts w:ascii="Arial" w:cs="Arial" w:eastAsia="Arial" w:hAnsi="Arial"/>
          <w:sz w:val="18"/>
          <w:szCs w:val="18"/>
          <w:color w:val="auto"/>
        </w:rPr>
        <w:t>slightly calendar 2022. Demand for cement is seasonal, particularly in northern states where inclement winter weather often affects construction activity. Cement sales are generally greatest from spring through the middle of autumn. Demand for slag has increased as the availability of fly ash has decreased due to the reduction in the use of coal to generate power.</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Because of cement’s low value-to-weight ratio, the relative cost of transporting cement on land is high and limits the geographic area in which each company can market its products profitably. The low value-to-weight ratio generally limits shipments by truck to a 150-mile radius from each plant, up to 300 miles by rail, and further by barge. Consequently, the U.S. cement industry is made up of regional markets rather than a single national selling market. No single cement company has a distribution of plants extensive enough to serve all geographic areas, so profitability is sensitive to shifts in the balance between regional supply and demand.</w:t>
      </w:r>
    </w:p>
    <w:p>
      <w:pPr>
        <w:spacing w:after="0" w:line="98"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Environmental and zoning regulations have made it increasingly difficult for the U.S. cement industry to expand existing facilities and to build new cement facilities. Although we cannot predict which policies will be adopted in the future by federal, state, and local governmental bodies, we anticipate that future restrictions will likely continue to make zoning and permitting of new capacity additions difficult. This could potentially enhance the value of our existing facilities. Furthermore, cost-efficient alternatives to cement are currently limited, and the availability of some alternatives is diminishing. For example, the availability of fly ash, a cement replacement, has decreased because of the retirement of coal-fired power plants and the conversion of power plants from coal to natural gas and other forms of energy.</w:t>
      </w:r>
    </w:p>
    <w:p>
      <w:pPr>
        <w:spacing w:after="0" w:line="96"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The difficulty in adding cement capacity, coupled with limited alternatives, leads to high U.S. cement manufacturing utilization rates, as well as the need for imported cement when demand levels are high. Cement imports into the U.S. occur mostly to supplement domestic cement production or to supply a particular region. Cement is typically imported into deep water ports along the coast or on the Great Lakes, or transported on the Mississippi River system near major population centers. Our position in the U.S. heartland, away from most import terminals, provides a degree of insulation from coastal imports, given the expense of transporting cement from deep water ports into the heartland regions. This geographic position further enhances the value of our plant network.</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USGS estimates that imports represented approximately 15% of cement used in the U.S. during calendar 2021, compared with 14% in calendar 2020. Based on the normal distribution of cement into the market, we believe that no less than approximately 5% to 10% of the total U.S. consumption will consistently be served by imported cement.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 w:name="page12"/>
    <w:bookmarkEnd w:id="11"/>
    <w:p>
      <w:pPr>
        <w:ind w:right="240"/>
        <w:spacing w:after="0" w:line="287" w:lineRule="auto"/>
        <w:rPr>
          <w:sz w:val="20"/>
          <w:szCs w:val="20"/>
          <w:color w:val="auto"/>
        </w:rPr>
      </w:pPr>
      <w:r>
        <w:rPr>
          <w:rFonts w:ascii="Arial" w:cs="Arial" w:eastAsia="Arial" w:hAnsi="Arial"/>
          <w:sz w:val="18"/>
          <w:szCs w:val="18"/>
          <w:color w:val="auto"/>
        </w:rPr>
        <w:t>The following table sets forth information regarding the geographic areas served by each of our cement and slag plants and the location of our distribution terminals in each area. We have 29 cement storage and distribution terminals that are strategically located to extend the sales areas of our plants.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Borders>
              <w:bottom w:val="single" w:sz="8" w:color="3983C5"/>
            </w:tcBorders>
          </w:tcPr>
          <w:p>
            <w:pPr>
              <w:ind w:left="20"/>
              <w:spacing w:after="0"/>
              <w:rPr>
                <w:sz w:val="20"/>
                <w:szCs w:val="20"/>
                <w:color w:val="auto"/>
              </w:rPr>
            </w:pPr>
            <w:r>
              <w:rPr>
                <w:rFonts w:ascii="Arial" w:cs="Arial" w:eastAsia="Arial" w:hAnsi="Arial"/>
                <w:sz w:val="13"/>
                <w:szCs w:val="13"/>
                <w:b w:val="1"/>
                <w:bCs w:val="1"/>
                <w:color w:val="auto"/>
              </w:rPr>
              <w:t>Plant Location</w:t>
            </w:r>
          </w:p>
        </w:tc>
        <w:tc>
          <w:tcPr>
            <w:tcW w:w="980" w:type="dxa"/>
            <w:vAlign w:val="bottom"/>
            <w:tcBorders>
              <w:bottom w:val="single" w:sz="8" w:color="3983C5"/>
            </w:tcBorders>
          </w:tcPr>
          <w:p>
            <w:pPr>
              <w:ind w:left="120"/>
              <w:spacing w:after="0"/>
              <w:rPr>
                <w:sz w:val="20"/>
                <w:szCs w:val="20"/>
                <w:color w:val="auto"/>
              </w:rPr>
            </w:pPr>
            <w:r>
              <w:rPr>
                <w:rFonts w:ascii="Arial" w:cs="Arial" w:eastAsia="Arial" w:hAnsi="Arial"/>
                <w:sz w:val="13"/>
                <w:szCs w:val="13"/>
                <w:b w:val="1"/>
                <w:bCs w:val="1"/>
                <w:color w:val="auto"/>
              </w:rPr>
              <w:t>Type of Plant</w:t>
            </w:r>
          </w:p>
        </w:tc>
        <w:tc>
          <w:tcPr>
            <w:tcW w:w="2180" w:type="dxa"/>
            <w:vAlign w:val="bottom"/>
            <w:tcBorders>
              <w:bottom w:val="single" w:sz="8" w:color="3983C5"/>
            </w:tcBorders>
          </w:tcPr>
          <w:p>
            <w:pPr>
              <w:ind w:left="160"/>
              <w:spacing w:after="0"/>
              <w:rPr>
                <w:sz w:val="20"/>
                <w:szCs w:val="20"/>
                <w:color w:val="auto"/>
              </w:rPr>
            </w:pPr>
            <w:r>
              <w:rPr>
                <w:rFonts w:ascii="Arial" w:cs="Arial" w:eastAsia="Arial" w:hAnsi="Arial"/>
                <w:sz w:val="13"/>
                <w:szCs w:val="13"/>
                <w:b w:val="1"/>
                <w:bCs w:val="1"/>
                <w:color w:val="auto"/>
              </w:rPr>
              <w:t>Operating Company Name</w:t>
            </w:r>
          </w:p>
        </w:tc>
        <w:tc>
          <w:tcPr>
            <w:tcW w:w="2440" w:type="dxa"/>
            <w:vAlign w:val="bottom"/>
            <w:tcBorders>
              <w:bottom w:val="single" w:sz="8" w:color="3983C5"/>
            </w:tcBorders>
          </w:tcPr>
          <w:p>
            <w:pPr>
              <w:ind w:left="180"/>
              <w:spacing w:after="0"/>
              <w:rPr>
                <w:sz w:val="20"/>
                <w:szCs w:val="20"/>
                <w:color w:val="auto"/>
              </w:rPr>
            </w:pPr>
            <w:r>
              <w:rPr>
                <w:rFonts w:ascii="Arial" w:cs="Arial" w:eastAsia="Arial" w:hAnsi="Arial"/>
                <w:sz w:val="13"/>
                <w:szCs w:val="13"/>
                <w:b w:val="1"/>
                <w:bCs w:val="1"/>
                <w:color w:val="auto"/>
              </w:rPr>
              <w:t>Principal Geographic Areas</w:t>
            </w:r>
          </w:p>
        </w:tc>
        <w:tc>
          <w:tcPr>
            <w:tcW w:w="4080" w:type="dxa"/>
            <w:vAlign w:val="bottom"/>
            <w:tcBorders>
              <w:bottom w:val="single" w:sz="8" w:color="3983C5"/>
            </w:tcBorders>
          </w:tcPr>
          <w:p>
            <w:pPr>
              <w:ind w:left="100"/>
              <w:spacing w:after="0"/>
              <w:rPr>
                <w:sz w:val="20"/>
                <w:szCs w:val="20"/>
                <w:color w:val="auto"/>
              </w:rPr>
            </w:pPr>
            <w:r>
              <w:rPr>
                <w:rFonts w:ascii="Arial" w:cs="Arial" w:eastAsia="Arial" w:hAnsi="Arial"/>
                <w:sz w:val="13"/>
                <w:szCs w:val="13"/>
                <w:b w:val="1"/>
                <w:bCs w:val="1"/>
                <w:color w:val="auto"/>
              </w:rPr>
              <w:t xml:space="preserve">Distribution Terminals </w:t>
            </w:r>
            <w:r>
              <w:rPr>
                <w:rFonts w:ascii="Arial" w:cs="Arial" w:eastAsia="Arial" w:hAnsi="Arial"/>
                <w:sz w:val="16"/>
                <w:szCs w:val="16"/>
                <w:b w:val="1"/>
                <w:bCs w:val="1"/>
                <w:color w:val="auto"/>
                <w:vertAlign w:val="superscript"/>
              </w:rPr>
              <w:t>(1)</w:t>
            </w:r>
          </w:p>
        </w:tc>
      </w:tr>
      <w:tr>
        <w:trPr>
          <w:trHeight w:val="146"/>
        </w:trPr>
        <w:tc>
          <w:tcPr>
            <w:tcW w:w="1560" w:type="dxa"/>
            <w:vAlign w:val="bottom"/>
          </w:tcPr>
          <w:p>
            <w:pPr>
              <w:ind w:left="20"/>
              <w:spacing w:after="0" w:line="146" w:lineRule="exact"/>
              <w:rPr>
                <w:sz w:val="20"/>
                <w:szCs w:val="20"/>
                <w:color w:val="auto"/>
              </w:rPr>
            </w:pPr>
            <w:r>
              <w:rPr>
                <w:rFonts w:ascii="Arial" w:cs="Arial" w:eastAsia="Arial" w:hAnsi="Arial"/>
                <w:sz w:val="16"/>
                <w:szCs w:val="16"/>
                <w:b w:val="1"/>
                <w:bCs w:val="1"/>
                <w:color w:val="3983C5"/>
              </w:rPr>
              <w:t>Buda, Texas</w:t>
            </w:r>
          </w:p>
        </w:tc>
        <w:tc>
          <w:tcPr>
            <w:tcW w:w="980" w:type="dxa"/>
            <w:vAlign w:val="bottom"/>
          </w:tcPr>
          <w:p>
            <w:pPr>
              <w:ind w:left="120"/>
              <w:spacing w:after="0" w:line="146" w:lineRule="exact"/>
              <w:rPr>
                <w:sz w:val="20"/>
                <w:szCs w:val="20"/>
                <w:color w:val="auto"/>
              </w:rPr>
            </w:pPr>
            <w:r>
              <w:rPr>
                <w:rFonts w:ascii="Arial" w:cs="Arial" w:eastAsia="Arial" w:hAnsi="Arial"/>
                <w:sz w:val="16"/>
                <w:szCs w:val="16"/>
                <w:color w:val="auto"/>
              </w:rPr>
              <w:t>Cement</w:t>
            </w:r>
          </w:p>
        </w:tc>
        <w:tc>
          <w:tcPr>
            <w:tcW w:w="2180" w:type="dxa"/>
            <w:vAlign w:val="bottom"/>
          </w:tcPr>
          <w:p>
            <w:pPr>
              <w:ind w:left="160"/>
              <w:spacing w:after="0" w:line="146" w:lineRule="exact"/>
              <w:rPr>
                <w:sz w:val="20"/>
                <w:szCs w:val="20"/>
                <w:color w:val="auto"/>
              </w:rPr>
            </w:pPr>
            <w:r>
              <w:rPr>
                <w:rFonts w:ascii="Arial" w:cs="Arial" w:eastAsia="Arial" w:hAnsi="Arial"/>
                <w:sz w:val="16"/>
                <w:szCs w:val="16"/>
                <w:color w:val="auto"/>
              </w:rPr>
              <w:t>Texas Lehigh Cement</w:t>
            </w:r>
          </w:p>
        </w:tc>
        <w:tc>
          <w:tcPr>
            <w:tcW w:w="2440" w:type="dxa"/>
            <w:vAlign w:val="bottom"/>
          </w:tcPr>
          <w:p>
            <w:pPr>
              <w:ind w:left="180"/>
              <w:spacing w:after="0" w:line="146" w:lineRule="exact"/>
              <w:rPr>
                <w:sz w:val="20"/>
                <w:szCs w:val="20"/>
                <w:color w:val="auto"/>
              </w:rPr>
            </w:pPr>
            <w:r>
              <w:rPr>
                <w:rFonts w:ascii="Arial" w:cs="Arial" w:eastAsia="Arial" w:hAnsi="Arial"/>
                <w:sz w:val="16"/>
                <w:szCs w:val="16"/>
                <w:color w:val="auto"/>
              </w:rPr>
              <w:t>Texas and western</w:t>
            </w:r>
          </w:p>
        </w:tc>
        <w:tc>
          <w:tcPr>
            <w:tcW w:w="4080" w:type="dxa"/>
            <w:vAlign w:val="bottom"/>
          </w:tcPr>
          <w:p>
            <w:pPr>
              <w:ind w:left="100"/>
              <w:spacing w:after="0" w:line="146" w:lineRule="exact"/>
              <w:rPr>
                <w:sz w:val="20"/>
                <w:szCs w:val="20"/>
                <w:color w:val="auto"/>
              </w:rPr>
            </w:pPr>
            <w:r>
              <w:rPr>
                <w:rFonts w:ascii="Arial" w:cs="Arial" w:eastAsia="Arial" w:hAnsi="Arial"/>
                <w:sz w:val="16"/>
                <w:szCs w:val="16"/>
                <w:color w:val="auto"/>
              </w:rPr>
              <w:t>Corpus Christi, Texas; Houston, Texas;</w:t>
            </w:r>
          </w:p>
        </w:tc>
      </w:tr>
      <w:tr>
        <w:trPr>
          <w:trHeight w:val="162"/>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tcPr>
          <w:p>
            <w:pPr>
              <w:ind w:left="160"/>
              <w:spacing w:after="0" w:line="162" w:lineRule="exact"/>
              <w:rPr>
                <w:sz w:val="20"/>
                <w:szCs w:val="20"/>
                <w:color w:val="auto"/>
              </w:rPr>
            </w:pPr>
            <w:r>
              <w:rPr>
                <w:rFonts w:ascii="Arial" w:cs="Arial" w:eastAsia="Arial" w:hAnsi="Arial"/>
                <w:sz w:val="16"/>
                <w:szCs w:val="16"/>
                <w:color w:val="auto"/>
              </w:rPr>
              <w:t>Company LP</w:t>
            </w:r>
          </w:p>
        </w:tc>
        <w:tc>
          <w:tcPr>
            <w:tcW w:w="2440" w:type="dxa"/>
            <w:vAlign w:val="bottom"/>
          </w:tcPr>
          <w:p>
            <w:pPr>
              <w:ind w:left="180"/>
              <w:spacing w:after="0" w:line="162" w:lineRule="exact"/>
              <w:rPr>
                <w:sz w:val="20"/>
                <w:szCs w:val="20"/>
                <w:color w:val="auto"/>
              </w:rPr>
            </w:pPr>
            <w:r>
              <w:rPr>
                <w:rFonts w:ascii="Arial" w:cs="Arial" w:eastAsia="Arial" w:hAnsi="Arial"/>
                <w:sz w:val="16"/>
                <w:szCs w:val="16"/>
                <w:color w:val="auto"/>
              </w:rPr>
              <w:t>Louisiana</w:t>
            </w:r>
          </w:p>
        </w:tc>
        <w:tc>
          <w:tcPr>
            <w:tcW w:w="4080" w:type="dxa"/>
            <w:vAlign w:val="bottom"/>
          </w:tcPr>
          <w:p>
            <w:pPr>
              <w:ind w:left="100"/>
              <w:spacing w:after="0" w:line="162" w:lineRule="exact"/>
              <w:rPr>
                <w:sz w:val="20"/>
                <w:szCs w:val="20"/>
                <w:color w:val="auto"/>
              </w:rPr>
            </w:pPr>
            <w:r>
              <w:rPr>
                <w:rFonts w:ascii="Arial" w:cs="Arial" w:eastAsia="Arial" w:hAnsi="Arial"/>
                <w:sz w:val="16"/>
                <w:szCs w:val="16"/>
                <w:color w:val="auto"/>
              </w:rPr>
              <w:t>Roanoke (Fort Worth), Texas; Waco,</w:t>
            </w:r>
          </w:p>
        </w:tc>
      </w:tr>
      <w:tr>
        <w:trPr>
          <w:trHeight w:val="162"/>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80" w:type="dxa"/>
            <w:vAlign w:val="bottom"/>
          </w:tcPr>
          <w:p>
            <w:pPr>
              <w:ind w:left="100"/>
              <w:spacing w:after="0" w:line="162" w:lineRule="exact"/>
              <w:rPr>
                <w:sz w:val="20"/>
                <w:szCs w:val="20"/>
                <w:color w:val="auto"/>
              </w:rPr>
            </w:pPr>
            <w:r>
              <w:rPr>
                <w:rFonts w:ascii="Arial" w:cs="Arial" w:eastAsia="Arial" w:hAnsi="Arial"/>
                <w:sz w:val="16"/>
                <w:szCs w:val="16"/>
                <w:color w:val="auto"/>
              </w:rPr>
              <w:t>Texas; Houston Cement Company</w:t>
            </w:r>
          </w:p>
        </w:tc>
      </w:tr>
      <w:tr>
        <w:trPr>
          <w:trHeight w:val="199"/>
        </w:trPr>
        <w:tc>
          <w:tcPr>
            <w:tcW w:w="1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2180" w:type="dxa"/>
            <w:vAlign w:val="bottom"/>
            <w:tcBorders>
              <w:bottom w:val="single" w:sz="8" w:color="A6A6A6"/>
            </w:tcBorders>
          </w:tcPr>
          <w:p>
            <w:pPr>
              <w:spacing w:after="0"/>
              <w:rPr>
                <w:sz w:val="17"/>
                <w:szCs w:val="17"/>
                <w:color w:val="auto"/>
              </w:rPr>
            </w:pPr>
          </w:p>
        </w:tc>
        <w:tc>
          <w:tcPr>
            <w:tcW w:w="2440" w:type="dxa"/>
            <w:vAlign w:val="bottom"/>
            <w:tcBorders>
              <w:bottom w:val="single" w:sz="8" w:color="A6A6A6"/>
            </w:tcBorders>
          </w:tcPr>
          <w:p>
            <w:pPr>
              <w:spacing w:after="0"/>
              <w:rPr>
                <w:sz w:val="17"/>
                <w:szCs w:val="17"/>
                <w:color w:val="auto"/>
              </w:rPr>
            </w:pPr>
          </w:p>
        </w:tc>
        <w:tc>
          <w:tcPr>
            <w:tcW w:w="408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(Joint Venture), Houston, Texas</w:t>
            </w:r>
          </w:p>
        </w:tc>
      </w:tr>
      <w:tr>
        <w:trPr>
          <w:trHeight w:val="146"/>
        </w:trPr>
        <w:tc>
          <w:tcPr>
            <w:tcW w:w="1560" w:type="dxa"/>
            <w:vAlign w:val="bottom"/>
          </w:tcPr>
          <w:p>
            <w:pPr>
              <w:ind w:left="20"/>
              <w:spacing w:after="0" w:line="146" w:lineRule="exact"/>
              <w:rPr>
                <w:sz w:val="20"/>
                <w:szCs w:val="20"/>
                <w:color w:val="auto"/>
              </w:rPr>
            </w:pPr>
            <w:r>
              <w:rPr>
                <w:rFonts w:ascii="Arial" w:cs="Arial" w:eastAsia="Arial" w:hAnsi="Arial"/>
                <w:sz w:val="16"/>
                <w:szCs w:val="16"/>
                <w:b w:val="1"/>
                <w:bCs w:val="1"/>
                <w:color w:val="3983C5"/>
              </w:rPr>
              <w:t>LaSalle, Illinois</w:t>
            </w:r>
          </w:p>
        </w:tc>
        <w:tc>
          <w:tcPr>
            <w:tcW w:w="980" w:type="dxa"/>
            <w:vAlign w:val="bottom"/>
          </w:tcPr>
          <w:p>
            <w:pPr>
              <w:ind w:left="120"/>
              <w:spacing w:after="0" w:line="146" w:lineRule="exact"/>
              <w:rPr>
                <w:sz w:val="20"/>
                <w:szCs w:val="20"/>
                <w:color w:val="auto"/>
              </w:rPr>
            </w:pPr>
            <w:r>
              <w:rPr>
                <w:rFonts w:ascii="Arial" w:cs="Arial" w:eastAsia="Arial" w:hAnsi="Arial"/>
                <w:sz w:val="16"/>
                <w:szCs w:val="16"/>
                <w:color w:val="auto"/>
              </w:rPr>
              <w:t>Cement</w:t>
            </w:r>
          </w:p>
        </w:tc>
        <w:tc>
          <w:tcPr>
            <w:tcW w:w="2180" w:type="dxa"/>
            <w:vAlign w:val="bottom"/>
          </w:tcPr>
          <w:p>
            <w:pPr>
              <w:ind w:left="160"/>
              <w:spacing w:after="0" w:line="146" w:lineRule="exact"/>
              <w:rPr>
                <w:sz w:val="20"/>
                <w:szCs w:val="20"/>
                <w:color w:val="auto"/>
              </w:rPr>
            </w:pPr>
            <w:r>
              <w:rPr>
                <w:rFonts w:ascii="Arial" w:cs="Arial" w:eastAsia="Arial" w:hAnsi="Arial"/>
                <w:sz w:val="16"/>
                <w:szCs w:val="16"/>
                <w:color w:val="auto"/>
              </w:rPr>
              <w:t>Illinois Cement Company</w:t>
            </w:r>
          </w:p>
        </w:tc>
        <w:tc>
          <w:tcPr>
            <w:tcW w:w="2440" w:type="dxa"/>
            <w:vAlign w:val="bottom"/>
          </w:tcPr>
          <w:p>
            <w:pPr>
              <w:ind w:left="180"/>
              <w:spacing w:after="0" w:line="146" w:lineRule="exact"/>
              <w:rPr>
                <w:sz w:val="20"/>
                <w:szCs w:val="20"/>
                <w:color w:val="auto"/>
              </w:rPr>
            </w:pPr>
            <w:r>
              <w:rPr>
                <w:rFonts w:ascii="Arial" w:cs="Arial" w:eastAsia="Arial" w:hAnsi="Arial"/>
                <w:sz w:val="16"/>
                <w:szCs w:val="16"/>
                <w:color w:val="auto"/>
              </w:rPr>
              <w:t>Illinois, Michigan and</w:t>
            </w:r>
          </w:p>
        </w:tc>
        <w:tc>
          <w:tcPr>
            <w:tcW w:w="4080" w:type="dxa"/>
            <w:vAlign w:val="bottom"/>
          </w:tcPr>
          <w:p>
            <w:pPr>
              <w:ind w:left="100"/>
              <w:spacing w:after="0" w:line="146" w:lineRule="exact"/>
              <w:rPr>
                <w:sz w:val="20"/>
                <w:szCs w:val="20"/>
                <w:color w:val="auto"/>
              </w:rPr>
            </w:pPr>
            <w:r>
              <w:rPr>
                <w:rFonts w:ascii="Arial" w:cs="Arial" w:eastAsia="Arial" w:hAnsi="Arial"/>
                <w:sz w:val="16"/>
                <w:szCs w:val="16"/>
                <w:color w:val="auto"/>
              </w:rPr>
              <w:t>Hartland, Wisconsin; South Beloit, Illinois;</w:t>
            </w:r>
          </w:p>
        </w:tc>
      </w:tr>
      <w:tr>
        <w:trPr>
          <w:trHeight w:val="199"/>
        </w:trPr>
        <w:tc>
          <w:tcPr>
            <w:tcW w:w="1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2180" w:type="dxa"/>
            <w:vAlign w:val="bottom"/>
            <w:tcBorders>
              <w:bottom w:val="single" w:sz="8" w:color="A6A6A6"/>
            </w:tcBorders>
          </w:tcPr>
          <w:p>
            <w:pPr>
              <w:spacing w:after="0"/>
              <w:rPr>
                <w:sz w:val="17"/>
                <w:szCs w:val="17"/>
                <w:color w:val="auto"/>
              </w:rPr>
            </w:pPr>
          </w:p>
        </w:tc>
        <w:tc>
          <w:tcPr>
            <w:tcW w:w="2440" w:type="dxa"/>
            <w:vAlign w:val="bottom"/>
            <w:tcBorders>
              <w:bottom w:val="single" w:sz="8" w:color="A6A6A6"/>
            </w:tcBorders>
          </w:tcPr>
          <w:p>
            <w:pPr>
              <w:ind w:left="180"/>
              <w:spacing w:after="0"/>
              <w:rPr>
                <w:sz w:val="20"/>
                <w:szCs w:val="20"/>
                <w:color w:val="auto"/>
              </w:rPr>
            </w:pPr>
            <w:r>
              <w:rPr>
                <w:rFonts w:ascii="Arial" w:cs="Arial" w:eastAsia="Arial" w:hAnsi="Arial"/>
                <w:sz w:val="16"/>
                <w:szCs w:val="16"/>
                <w:color w:val="auto"/>
              </w:rPr>
              <w:t>southern Wisconsin</w:t>
            </w:r>
          </w:p>
        </w:tc>
        <w:tc>
          <w:tcPr>
            <w:tcW w:w="408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Ottawa, Illinois</w:t>
            </w:r>
          </w:p>
        </w:tc>
      </w:tr>
      <w:tr>
        <w:trPr>
          <w:trHeight w:val="142"/>
        </w:trPr>
        <w:tc>
          <w:tcPr>
            <w:tcW w:w="1560" w:type="dxa"/>
            <w:vAlign w:val="bottom"/>
          </w:tcPr>
          <w:p>
            <w:pPr>
              <w:ind w:left="20"/>
              <w:spacing w:after="0" w:line="142" w:lineRule="exact"/>
              <w:rPr>
                <w:sz w:val="20"/>
                <w:szCs w:val="20"/>
                <w:color w:val="auto"/>
              </w:rPr>
            </w:pPr>
            <w:r>
              <w:rPr>
                <w:rFonts w:ascii="Arial" w:cs="Arial" w:eastAsia="Arial" w:hAnsi="Arial"/>
                <w:sz w:val="16"/>
                <w:szCs w:val="16"/>
                <w:b w:val="1"/>
                <w:bCs w:val="1"/>
                <w:color w:val="3983C5"/>
              </w:rPr>
              <w:t>Sugar Creek,</w:t>
            </w:r>
          </w:p>
        </w:tc>
        <w:tc>
          <w:tcPr>
            <w:tcW w:w="980" w:type="dxa"/>
            <w:vAlign w:val="bottom"/>
          </w:tcPr>
          <w:p>
            <w:pPr>
              <w:ind w:left="120"/>
              <w:spacing w:after="0" w:line="142" w:lineRule="exact"/>
              <w:rPr>
                <w:sz w:val="20"/>
                <w:szCs w:val="20"/>
                <w:color w:val="auto"/>
              </w:rPr>
            </w:pPr>
            <w:r>
              <w:rPr>
                <w:rFonts w:ascii="Arial" w:cs="Arial" w:eastAsia="Arial" w:hAnsi="Arial"/>
                <w:sz w:val="16"/>
                <w:szCs w:val="16"/>
                <w:color w:val="auto"/>
              </w:rPr>
              <w:t>Cement</w:t>
            </w:r>
          </w:p>
        </w:tc>
        <w:tc>
          <w:tcPr>
            <w:tcW w:w="2180" w:type="dxa"/>
            <w:vAlign w:val="bottom"/>
          </w:tcPr>
          <w:p>
            <w:pPr>
              <w:ind w:left="160"/>
              <w:spacing w:after="0" w:line="142" w:lineRule="exact"/>
              <w:rPr>
                <w:sz w:val="20"/>
                <w:szCs w:val="20"/>
                <w:color w:val="auto"/>
              </w:rPr>
            </w:pPr>
            <w:r>
              <w:rPr>
                <w:rFonts w:ascii="Arial" w:cs="Arial" w:eastAsia="Arial" w:hAnsi="Arial"/>
                <w:sz w:val="16"/>
                <w:szCs w:val="16"/>
                <w:color w:val="auto"/>
              </w:rPr>
              <w:t>Central Plains Cement</w:t>
            </w:r>
          </w:p>
        </w:tc>
        <w:tc>
          <w:tcPr>
            <w:tcW w:w="2440" w:type="dxa"/>
            <w:vAlign w:val="bottom"/>
          </w:tcPr>
          <w:p>
            <w:pPr>
              <w:ind w:left="180"/>
              <w:spacing w:after="0" w:line="142" w:lineRule="exact"/>
              <w:rPr>
                <w:sz w:val="20"/>
                <w:szCs w:val="20"/>
                <w:color w:val="auto"/>
              </w:rPr>
            </w:pPr>
            <w:r>
              <w:rPr>
                <w:rFonts w:ascii="Arial" w:cs="Arial" w:eastAsia="Arial" w:hAnsi="Arial"/>
                <w:sz w:val="16"/>
                <w:szCs w:val="16"/>
                <w:color w:val="auto"/>
              </w:rPr>
              <w:t>Western Missouri, eastern</w:t>
            </w:r>
          </w:p>
        </w:tc>
        <w:tc>
          <w:tcPr>
            <w:tcW w:w="4080" w:type="dxa"/>
            <w:vAlign w:val="bottom"/>
          </w:tcPr>
          <w:p>
            <w:pPr>
              <w:ind w:left="100"/>
              <w:spacing w:after="0" w:line="142" w:lineRule="exact"/>
              <w:rPr>
                <w:sz w:val="20"/>
                <w:szCs w:val="20"/>
                <w:color w:val="auto"/>
              </w:rPr>
            </w:pPr>
            <w:r>
              <w:rPr>
                <w:rFonts w:ascii="Arial" w:cs="Arial" w:eastAsia="Arial" w:hAnsi="Arial"/>
                <w:sz w:val="16"/>
                <w:szCs w:val="16"/>
                <w:color w:val="auto"/>
              </w:rPr>
              <w:t>Sugar Creek, Missouri; Wichita, Kansas;</w:t>
            </w:r>
          </w:p>
        </w:tc>
      </w:tr>
      <w:tr>
        <w:trPr>
          <w:trHeight w:val="166"/>
        </w:trPr>
        <w:tc>
          <w:tcPr>
            <w:tcW w:w="1560" w:type="dxa"/>
            <w:vAlign w:val="bottom"/>
          </w:tcPr>
          <w:p>
            <w:pPr>
              <w:ind w:left="20"/>
              <w:spacing w:after="0" w:line="166" w:lineRule="exact"/>
              <w:rPr>
                <w:sz w:val="20"/>
                <w:szCs w:val="20"/>
                <w:color w:val="auto"/>
              </w:rPr>
            </w:pPr>
            <w:r>
              <w:rPr>
                <w:rFonts w:ascii="Arial" w:cs="Arial" w:eastAsia="Arial" w:hAnsi="Arial"/>
                <w:sz w:val="16"/>
                <w:szCs w:val="16"/>
                <w:b w:val="1"/>
                <w:bCs w:val="1"/>
                <w:color w:val="3983C5"/>
              </w:rPr>
              <w:t>Missouri</w:t>
            </w:r>
          </w:p>
        </w:tc>
        <w:tc>
          <w:tcPr>
            <w:tcW w:w="980" w:type="dxa"/>
            <w:vAlign w:val="bottom"/>
          </w:tcPr>
          <w:p>
            <w:pPr>
              <w:spacing w:after="0"/>
              <w:rPr>
                <w:sz w:val="14"/>
                <w:szCs w:val="14"/>
                <w:color w:val="auto"/>
              </w:rPr>
            </w:pPr>
          </w:p>
        </w:tc>
        <w:tc>
          <w:tcPr>
            <w:tcW w:w="2180" w:type="dxa"/>
            <w:vAlign w:val="bottom"/>
          </w:tcPr>
          <w:p>
            <w:pPr>
              <w:ind w:left="160"/>
              <w:spacing w:after="0" w:line="166" w:lineRule="exact"/>
              <w:rPr>
                <w:sz w:val="20"/>
                <w:szCs w:val="20"/>
                <w:color w:val="auto"/>
              </w:rPr>
            </w:pPr>
            <w:r>
              <w:rPr>
                <w:rFonts w:ascii="Arial" w:cs="Arial" w:eastAsia="Arial" w:hAnsi="Arial"/>
                <w:sz w:val="16"/>
                <w:szCs w:val="16"/>
                <w:color w:val="auto"/>
              </w:rPr>
              <w:t>Company</w:t>
            </w:r>
          </w:p>
        </w:tc>
        <w:tc>
          <w:tcPr>
            <w:tcW w:w="2440" w:type="dxa"/>
            <w:vAlign w:val="bottom"/>
          </w:tcPr>
          <w:p>
            <w:pPr>
              <w:ind w:left="180"/>
              <w:spacing w:after="0" w:line="166" w:lineRule="exact"/>
              <w:rPr>
                <w:sz w:val="20"/>
                <w:szCs w:val="20"/>
                <w:color w:val="auto"/>
              </w:rPr>
            </w:pPr>
            <w:r>
              <w:rPr>
                <w:rFonts w:ascii="Arial" w:cs="Arial" w:eastAsia="Arial" w:hAnsi="Arial"/>
                <w:sz w:val="16"/>
                <w:szCs w:val="16"/>
                <w:color w:val="auto"/>
              </w:rPr>
              <w:t>Kansas, eastern Nebraska,</w:t>
            </w:r>
          </w:p>
        </w:tc>
        <w:tc>
          <w:tcPr>
            <w:tcW w:w="4080" w:type="dxa"/>
            <w:vAlign w:val="bottom"/>
          </w:tcPr>
          <w:p>
            <w:pPr>
              <w:ind w:left="100"/>
              <w:spacing w:after="0" w:line="166" w:lineRule="exact"/>
              <w:rPr>
                <w:sz w:val="20"/>
                <w:szCs w:val="20"/>
                <w:color w:val="auto"/>
              </w:rPr>
            </w:pPr>
            <w:r>
              <w:rPr>
                <w:rFonts w:ascii="Arial" w:cs="Arial" w:eastAsia="Arial" w:hAnsi="Arial"/>
                <w:sz w:val="16"/>
                <w:szCs w:val="16"/>
                <w:color w:val="auto"/>
              </w:rPr>
              <w:t>Omaha, Nebraska; Altoona, Iowa;</w:t>
            </w:r>
          </w:p>
        </w:tc>
      </w:tr>
      <w:tr>
        <w:trPr>
          <w:trHeight w:val="199"/>
        </w:trPr>
        <w:tc>
          <w:tcPr>
            <w:tcW w:w="1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2180" w:type="dxa"/>
            <w:vAlign w:val="bottom"/>
            <w:tcBorders>
              <w:bottom w:val="single" w:sz="8" w:color="A6A6A6"/>
            </w:tcBorders>
          </w:tcPr>
          <w:p>
            <w:pPr>
              <w:spacing w:after="0"/>
              <w:rPr>
                <w:sz w:val="17"/>
                <w:szCs w:val="17"/>
                <w:color w:val="auto"/>
              </w:rPr>
            </w:pPr>
          </w:p>
        </w:tc>
        <w:tc>
          <w:tcPr>
            <w:tcW w:w="2440" w:type="dxa"/>
            <w:vAlign w:val="bottom"/>
            <w:tcBorders>
              <w:bottom w:val="single" w:sz="8" w:color="A6A6A6"/>
            </w:tcBorders>
          </w:tcPr>
          <w:p>
            <w:pPr>
              <w:ind w:left="180"/>
              <w:spacing w:after="0"/>
              <w:rPr>
                <w:sz w:val="20"/>
                <w:szCs w:val="20"/>
                <w:color w:val="auto"/>
              </w:rPr>
            </w:pPr>
            <w:r>
              <w:rPr>
                <w:rFonts w:ascii="Arial" w:cs="Arial" w:eastAsia="Arial" w:hAnsi="Arial"/>
                <w:sz w:val="16"/>
                <w:szCs w:val="16"/>
                <w:color w:val="auto"/>
              </w:rPr>
              <w:t>and Iowa</w:t>
            </w:r>
          </w:p>
        </w:tc>
        <w:tc>
          <w:tcPr>
            <w:tcW w:w="4080" w:type="dxa"/>
            <w:vAlign w:val="bottom"/>
            <w:tcBorders>
              <w:bottom w:val="single" w:sz="8" w:color="A6A6A6"/>
            </w:tcBorders>
          </w:tcPr>
          <w:p>
            <w:pPr>
              <w:spacing w:after="0"/>
              <w:rPr>
                <w:sz w:val="17"/>
                <w:szCs w:val="17"/>
                <w:color w:val="auto"/>
              </w:rPr>
            </w:pPr>
          </w:p>
        </w:tc>
      </w:tr>
      <w:tr>
        <w:trPr>
          <w:trHeight w:val="146"/>
        </w:trPr>
        <w:tc>
          <w:tcPr>
            <w:tcW w:w="1560" w:type="dxa"/>
            <w:vAlign w:val="bottom"/>
          </w:tcPr>
          <w:p>
            <w:pPr>
              <w:ind w:left="20"/>
              <w:spacing w:after="0" w:line="146" w:lineRule="exact"/>
              <w:rPr>
                <w:sz w:val="20"/>
                <w:szCs w:val="20"/>
                <w:color w:val="auto"/>
              </w:rPr>
            </w:pPr>
            <w:r>
              <w:rPr>
                <w:rFonts w:ascii="Arial" w:cs="Arial" w:eastAsia="Arial" w:hAnsi="Arial"/>
                <w:sz w:val="16"/>
                <w:szCs w:val="16"/>
                <w:b w:val="1"/>
                <w:bCs w:val="1"/>
                <w:color w:val="3983C5"/>
              </w:rPr>
              <w:t>Tulsa, Oklahoma</w:t>
            </w:r>
          </w:p>
        </w:tc>
        <w:tc>
          <w:tcPr>
            <w:tcW w:w="980" w:type="dxa"/>
            <w:vAlign w:val="bottom"/>
          </w:tcPr>
          <w:p>
            <w:pPr>
              <w:ind w:left="120"/>
              <w:spacing w:after="0" w:line="146" w:lineRule="exact"/>
              <w:rPr>
                <w:sz w:val="20"/>
                <w:szCs w:val="20"/>
                <w:color w:val="auto"/>
              </w:rPr>
            </w:pPr>
            <w:r>
              <w:rPr>
                <w:rFonts w:ascii="Arial" w:cs="Arial" w:eastAsia="Arial" w:hAnsi="Arial"/>
                <w:sz w:val="16"/>
                <w:szCs w:val="16"/>
                <w:color w:val="auto"/>
              </w:rPr>
              <w:t>Cement</w:t>
            </w:r>
          </w:p>
        </w:tc>
        <w:tc>
          <w:tcPr>
            <w:tcW w:w="2180" w:type="dxa"/>
            <w:vAlign w:val="bottom"/>
          </w:tcPr>
          <w:p>
            <w:pPr>
              <w:ind w:left="160"/>
              <w:spacing w:after="0" w:line="146" w:lineRule="exact"/>
              <w:rPr>
                <w:sz w:val="20"/>
                <w:szCs w:val="20"/>
                <w:color w:val="auto"/>
              </w:rPr>
            </w:pPr>
            <w:r>
              <w:rPr>
                <w:rFonts w:ascii="Arial" w:cs="Arial" w:eastAsia="Arial" w:hAnsi="Arial"/>
                <w:sz w:val="16"/>
                <w:szCs w:val="16"/>
                <w:color w:val="auto"/>
              </w:rPr>
              <w:t>Central Plains Cement</w:t>
            </w:r>
          </w:p>
        </w:tc>
        <w:tc>
          <w:tcPr>
            <w:tcW w:w="2440" w:type="dxa"/>
            <w:vAlign w:val="bottom"/>
          </w:tcPr>
          <w:p>
            <w:pPr>
              <w:ind w:left="180"/>
              <w:spacing w:after="0" w:line="146" w:lineRule="exact"/>
              <w:rPr>
                <w:sz w:val="20"/>
                <w:szCs w:val="20"/>
                <w:color w:val="auto"/>
              </w:rPr>
            </w:pPr>
            <w:r>
              <w:rPr>
                <w:rFonts w:ascii="Arial" w:cs="Arial" w:eastAsia="Arial" w:hAnsi="Arial"/>
                <w:sz w:val="16"/>
                <w:szCs w:val="16"/>
                <w:color w:val="auto"/>
              </w:rPr>
              <w:t>Oklahoma, western</w:t>
            </w:r>
          </w:p>
        </w:tc>
        <w:tc>
          <w:tcPr>
            <w:tcW w:w="4080" w:type="dxa"/>
            <w:vAlign w:val="bottom"/>
          </w:tcPr>
          <w:p>
            <w:pPr>
              <w:ind w:left="100"/>
              <w:spacing w:after="0" w:line="146" w:lineRule="exact"/>
              <w:rPr>
                <w:sz w:val="20"/>
                <w:szCs w:val="20"/>
                <w:color w:val="auto"/>
              </w:rPr>
            </w:pPr>
            <w:r>
              <w:rPr>
                <w:rFonts w:ascii="Arial" w:cs="Arial" w:eastAsia="Arial" w:hAnsi="Arial"/>
                <w:sz w:val="16"/>
                <w:szCs w:val="16"/>
                <w:color w:val="auto"/>
              </w:rPr>
              <w:t>Oklahoma City, Oklahoma;</w:t>
            </w:r>
          </w:p>
        </w:tc>
      </w:tr>
      <w:tr>
        <w:trPr>
          <w:trHeight w:val="162"/>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tcPr>
          <w:p>
            <w:pPr>
              <w:ind w:left="160"/>
              <w:spacing w:after="0" w:line="162" w:lineRule="exact"/>
              <w:rPr>
                <w:sz w:val="20"/>
                <w:szCs w:val="20"/>
                <w:color w:val="auto"/>
              </w:rPr>
            </w:pPr>
            <w:r>
              <w:rPr>
                <w:rFonts w:ascii="Arial" w:cs="Arial" w:eastAsia="Arial" w:hAnsi="Arial"/>
                <w:sz w:val="16"/>
                <w:szCs w:val="16"/>
                <w:color w:val="auto"/>
              </w:rPr>
              <w:t>Company</w:t>
            </w:r>
          </w:p>
        </w:tc>
        <w:tc>
          <w:tcPr>
            <w:tcW w:w="2440" w:type="dxa"/>
            <w:vAlign w:val="bottom"/>
          </w:tcPr>
          <w:p>
            <w:pPr>
              <w:ind w:left="180"/>
              <w:spacing w:after="0" w:line="162" w:lineRule="exact"/>
              <w:rPr>
                <w:sz w:val="20"/>
                <w:szCs w:val="20"/>
                <w:color w:val="auto"/>
              </w:rPr>
            </w:pPr>
            <w:r>
              <w:rPr>
                <w:rFonts w:ascii="Arial" w:cs="Arial" w:eastAsia="Arial" w:hAnsi="Arial"/>
                <w:sz w:val="16"/>
                <w:szCs w:val="16"/>
                <w:color w:val="auto"/>
              </w:rPr>
              <w:t>Arkansas, and southern</w:t>
            </w:r>
          </w:p>
        </w:tc>
        <w:tc>
          <w:tcPr>
            <w:tcW w:w="4080" w:type="dxa"/>
            <w:vAlign w:val="bottom"/>
          </w:tcPr>
          <w:p>
            <w:pPr>
              <w:ind w:left="100"/>
              <w:spacing w:after="0" w:line="162" w:lineRule="exact"/>
              <w:rPr>
                <w:sz w:val="20"/>
                <w:szCs w:val="20"/>
                <w:color w:val="auto"/>
              </w:rPr>
            </w:pPr>
            <w:r>
              <w:rPr>
                <w:rFonts w:ascii="Arial" w:cs="Arial" w:eastAsia="Arial" w:hAnsi="Arial"/>
                <w:sz w:val="16"/>
                <w:szCs w:val="16"/>
                <w:color w:val="auto"/>
              </w:rPr>
              <w:t>Springfield, Missouri</w:t>
            </w:r>
          </w:p>
        </w:tc>
      </w:tr>
      <w:tr>
        <w:trPr>
          <w:trHeight w:val="199"/>
        </w:trPr>
        <w:tc>
          <w:tcPr>
            <w:tcW w:w="1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2180" w:type="dxa"/>
            <w:vAlign w:val="bottom"/>
            <w:tcBorders>
              <w:bottom w:val="single" w:sz="8" w:color="A6A6A6"/>
            </w:tcBorders>
          </w:tcPr>
          <w:p>
            <w:pPr>
              <w:spacing w:after="0"/>
              <w:rPr>
                <w:sz w:val="17"/>
                <w:szCs w:val="17"/>
                <w:color w:val="auto"/>
              </w:rPr>
            </w:pPr>
          </w:p>
        </w:tc>
        <w:tc>
          <w:tcPr>
            <w:tcW w:w="2440" w:type="dxa"/>
            <w:vAlign w:val="bottom"/>
            <w:tcBorders>
              <w:bottom w:val="single" w:sz="8" w:color="A6A6A6"/>
            </w:tcBorders>
          </w:tcPr>
          <w:p>
            <w:pPr>
              <w:ind w:left="180"/>
              <w:spacing w:after="0"/>
              <w:rPr>
                <w:sz w:val="20"/>
                <w:szCs w:val="20"/>
                <w:color w:val="auto"/>
              </w:rPr>
            </w:pPr>
            <w:r>
              <w:rPr>
                <w:rFonts w:ascii="Arial" w:cs="Arial" w:eastAsia="Arial" w:hAnsi="Arial"/>
                <w:sz w:val="16"/>
                <w:szCs w:val="16"/>
                <w:color w:val="auto"/>
              </w:rPr>
              <w:t>Missouri</w:t>
            </w:r>
          </w:p>
        </w:tc>
        <w:tc>
          <w:tcPr>
            <w:tcW w:w="4080" w:type="dxa"/>
            <w:vAlign w:val="bottom"/>
            <w:tcBorders>
              <w:bottom w:val="single" w:sz="8" w:color="A6A6A6"/>
            </w:tcBorders>
          </w:tcPr>
          <w:p>
            <w:pPr>
              <w:spacing w:after="0"/>
              <w:rPr>
                <w:sz w:val="17"/>
                <w:szCs w:val="17"/>
                <w:color w:val="auto"/>
              </w:rPr>
            </w:pPr>
          </w:p>
        </w:tc>
      </w:tr>
      <w:tr>
        <w:trPr>
          <w:trHeight w:val="146"/>
        </w:trPr>
        <w:tc>
          <w:tcPr>
            <w:tcW w:w="1560" w:type="dxa"/>
            <w:vAlign w:val="bottom"/>
          </w:tcPr>
          <w:p>
            <w:pPr>
              <w:ind w:left="20"/>
              <w:spacing w:after="0" w:line="146" w:lineRule="exact"/>
              <w:rPr>
                <w:sz w:val="20"/>
                <w:szCs w:val="20"/>
                <w:color w:val="auto"/>
              </w:rPr>
            </w:pPr>
            <w:r>
              <w:rPr>
                <w:rFonts w:ascii="Arial" w:cs="Arial" w:eastAsia="Arial" w:hAnsi="Arial"/>
                <w:sz w:val="16"/>
                <w:szCs w:val="16"/>
                <w:b w:val="1"/>
                <w:bCs w:val="1"/>
                <w:color w:val="3983C5"/>
              </w:rPr>
              <w:t>Laramie, Wyoming</w:t>
            </w:r>
          </w:p>
        </w:tc>
        <w:tc>
          <w:tcPr>
            <w:tcW w:w="980" w:type="dxa"/>
            <w:vAlign w:val="bottom"/>
          </w:tcPr>
          <w:p>
            <w:pPr>
              <w:ind w:left="120"/>
              <w:spacing w:after="0" w:line="146" w:lineRule="exact"/>
              <w:rPr>
                <w:sz w:val="20"/>
                <w:szCs w:val="20"/>
                <w:color w:val="auto"/>
              </w:rPr>
            </w:pPr>
            <w:r>
              <w:rPr>
                <w:rFonts w:ascii="Arial" w:cs="Arial" w:eastAsia="Arial" w:hAnsi="Arial"/>
                <w:sz w:val="16"/>
                <w:szCs w:val="16"/>
                <w:color w:val="auto"/>
              </w:rPr>
              <w:t>Cement</w:t>
            </w:r>
          </w:p>
        </w:tc>
        <w:tc>
          <w:tcPr>
            <w:tcW w:w="2180" w:type="dxa"/>
            <w:vAlign w:val="bottom"/>
          </w:tcPr>
          <w:p>
            <w:pPr>
              <w:ind w:left="160"/>
              <w:spacing w:after="0" w:line="146" w:lineRule="exact"/>
              <w:rPr>
                <w:sz w:val="20"/>
                <w:szCs w:val="20"/>
                <w:color w:val="auto"/>
              </w:rPr>
            </w:pPr>
            <w:r>
              <w:rPr>
                <w:rFonts w:ascii="Arial" w:cs="Arial" w:eastAsia="Arial" w:hAnsi="Arial"/>
                <w:sz w:val="16"/>
                <w:szCs w:val="16"/>
                <w:color w:val="auto"/>
              </w:rPr>
              <w:t>Mountain Cement Company</w:t>
            </w:r>
          </w:p>
        </w:tc>
        <w:tc>
          <w:tcPr>
            <w:tcW w:w="2440" w:type="dxa"/>
            <w:vAlign w:val="bottom"/>
          </w:tcPr>
          <w:p>
            <w:pPr>
              <w:ind w:left="180"/>
              <w:spacing w:after="0" w:line="146" w:lineRule="exact"/>
              <w:rPr>
                <w:sz w:val="20"/>
                <w:szCs w:val="20"/>
                <w:color w:val="auto"/>
              </w:rPr>
            </w:pPr>
            <w:r>
              <w:rPr>
                <w:rFonts w:ascii="Arial" w:cs="Arial" w:eastAsia="Arial" w:hAnsi="Arial"/>
                <w:sz w:val="16"/>
                <w:szCs w:val="16"/>
                <w:color w:val="auto"/>
              </w:rPr>
              <w:t>Wyoming, Utah, Colorado,</w:t>
            </w:r>
          </w:p>
        </w:tc>
        <w:tc>
          <w:tcPr>
            <w:tcW w:w="4080" w:type="dxa"/>
            <w:vAlign w:val="bottom"/>
          </w:tcPr>
          <w:p>
            <w:pPr>
              <w:ind w:left="100"/>
              <w:spacing w:after="0" w:line="146" w:lineRule="exact"/>
              <w:rPr>
                <w:sz w:val="20"/>
                <w:szCs w:val="20"/>
                <w:color w:val="auto"/>
              </w:rPr>
            </w:pPr>
            <w:r>
              <w:rPr>
                <w:rFonts w:ascii="Arial" w:cs="Arial" w:eastAsia="Arial" w:hAnsi="Arial"/>
                <w:sz w:val="16"/>
                <w:szCs w:val="16"/>
                <w:color w:val="auto"/>
              </w:rPr>
              <w:t>Salt Lake City, Utah; Denver, Colorado;</w:t>
            </w:r>
          </w:p>
        </w:tc>
      </w:tr>
      <w:tr>
        <w:trPr>
          <w:trHeight w:val="199"/>
        </w:trPr>
        <w:tc>
          <w:tcPr>
            <w:tcW w:w="1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2180" w:type="dxa"/>
            <w:vAlign w:val="bottom"/>
            <w:tcBorders>
              <w:bottom w:val="single" w:sz="8" w:color="A6A6A6"/>
            </w:tcBorders>
          </w:tcPr>
          <w:p>
            <w:pPr>
              <w:spacing w:after="0"/>
              <w:rPr>
                <w:sz w:val="17"/>
                <w:szCs w:val="17"/>
                <w:color w:val="auto"/>
              </w:rPr>
            </w:pPr>
          </w:p>
        </w:tc>
        <w:tc>
          <w:tcPr>
            <w:tcW w:w="2440" w:type="dxa"/>
            <w:vAlign w:val="bottom"/>
            <w:tcBorders>
              <w:bottom w:val="single" w:sz="8" w:color="A6A6A6"/>
            </w:tcBorders>
          </w:tcPr>
          <w:p>
            <w:pPr>
              <w:ind w:left="180"/>
              <w:spacing w:after="0"/>
              <w:rPr>
                <w:sz w:val="20"/>
                <w:szCs w:val="20"/>
                <w:color w:val="auto"/>
              </w:rPr>
            </w:pPr>
            <w:r>
              <w:rPr>
                <w:rFonts w:ascii="Arial" w:cs="Arial" w:eastAsia="Arial" w:hAnsi="Arial"/>
                <w:sz w:val="16"/>
                <w:szCs w:val="16"/>
                <w:color w:val="auto"/>
              </w:rPr>
              <w:t>and western Nebraska</w:t>
            </w:r>
          </w:p>
        </w:tc>
        <w:tc>
          <w:tcPr>
            <w:tcW w:w="4080" w:type="dxa"/>
            <w:vAlign w:val="bottom"/>
            <w:tcBorders>
              <w:bottom w:val="single" w:sz="8" w:color="A6A6A6"/>
            </w:tcBorders>
          </w:tcPr>
          <w:p>
            <w:pPr>
              <w:ind w:left="100"/>
              <w:spacing w:after="0"/>
              <w:rPr>
                <w:sz w:val="20"/>
                <w:szCs w:val="20"/>
                <w:color w:val="auto"/>
              </w:rPr>
            </w:pPr>
            <w:r>
              <w:rPr>
                <w:rFonts w:ascii="Arial" w:cs="Arial" w:eastAsia="Arial" w:hAnsi="Arial"/>
                <w:sz w:val="16"/>
                <w:szCs w:val="16"/>
                <w:color w:val="auto"/>
              </w:rPr>
              <w:t>North Platte, Nebraska</w:t>
            </w:r>
          </w:p>
        </w:tc>
      </w:tr>
      <w:tr>
        <w:trPr>
          <w:trHeight w:val="146"/>
        </w:trPr>
        <w:tc>
          <w:tcPr>
            <w:tcW w:w="1560" w:type="dxa"/>
            <w:vAlign w:val="bottom"/>
          </w:tcPr>
          <w:p>
            <w:pPr>
              <w:ind w:left="20"/>
              <w:spacing w:after="0" w:line="146" w:lineRule="exact"/>
              <w:rPr>
                <w:sz w:val="20"/>
                <w:szCs w:val="20"/>
                <w:color w:val="auto"/>
              </w:rPr>
            </w:pPr>
            <w:r>
              <w:rPr>
                <w:rFonts w:ascii="Arial" w:cs="Arial" w:eastAsia="Arial" w:hAnsi="Arial"/>
                <w:sz w:val="16"/>
                <w:szCs w:val="16"/>
                <w:b w:val="1"/>
                <w:bCs w:val="1"/>
                <w:color w:val="3983C5"/>
              </w:rPr>
              <w:t>Fernley, Nevada</w:t>
            </w:r>
          </w:p>
        </w:tc>
        <w:tc>
          <w:tcPr>
            <w:tcW w:w="980" w:type="dxa"/>
            <w:vAlign w:val="bottom"/>
          </w:tcPr>
          <w:p>
            <w:pPr>
              <w:ind w:left="120"/>
              <w:spacing w:after="0" w:line="146" w:lineRule="exact"/>
              <w:rPr>
                <w:sz w:val="20"/>
                <w:szCs w:val="20"/>
                <w:color w:val="auto"/>
              </w:rPr>
            </w:pPr>
            <w:r>
              <w:rPr>
                <w:rFonts w:ascii="Arial" w:cs="Arial" w:eastAsia="Arial" w:hAnsi="Arial"/>
                <w:sz w:val="16"/>
                <w:szCs w:val="16"/>
                <w:color w:val="auto"/>
              </w:rPr>
              <w:t>Cement</w:t>
            </w:r>
          </w:p>
        </w:tc>
        <w:tc>
          <w:tcPr>
            <w:tcW w:w="2180" w:type="dxa"/>
            <w:vAlign w:val="bottom"/>
          </w:tcPr>
          <w:p>
            <w:pPr>
              <w:ind w:left="160"/>
              <w:spacing w:after="0" w:line="146" w:lineRule="exact"/>
              <w:rPr>
                <w:sz w:val="20"/>
                <w:szCs w:val="20"/>
                <w:color w:val="auto"/>
              </w:rPr>
            </w:pPr>
            <w:r>
              <w:rPr>
                <w:rFonts w:ascii="Arial" w:cs="Arial" w:eastAsia="Arial" w:hAnsi="Arial"/>
                <w:sz w:val="16"/>
                <w:szCs w:val="16"/>
                <w:color w:val="auto"/>
              </w:rPr>
              <w:t>Nevada Cement Company</w:t>
            </w:r>
          </w:p>
        </w:tc>
        <w:tc>
          <w:tcPr>
            <w:tcW w:w="2440" w:type="dxa"/>
            <w:vAlign w:val="bottom"/>
          </w:tcPr>
          <w:p>
            <w:pPr>
              <w:ind w:left="180"/>
              <w:spacing w:after="0" w:line="146" w:lineRule="exact"/>
              <w:rPr>
                <w:sz w:val="20"/>
                <w:szCs w:val="20"/>
                <w:color w:val="auto"/>
              </w:rPr>
            </w:pPr>
            <w:r>
              <w:rPr>
                <w:rFonts w:ascii="Arial" w:cs="Arial" w:eastAsia="Arial" w:hAnsi="Arial"/>
                <w:sz w:val="16"/>
                <w:szCs w:val="16"/>
                <w:color w:val="auto"/>
              </w:rPr>
              <w:t>Northern Nevada and</w:t>
            </w:r>
          </w:p>
        </w:tc>
        <w:tc>
          <w:tcPr>
            <w:tcW w:w="4080" w:type="dxa"/>
            <w:vAlign w:val="bottom"/>
          </w:tcPr>
          <w:p>
            <w:pPr>
              <w:ind w:left="100"/>
              <w:spacing w:after="0" w:line="146" w:lineRule="exact"/>
              <w:rPr>
                <w:sz w:val="20"/>
                <w:szCs w:val="20"/>
                <w:color w:val="auto"/>
              </w:rPr>
            </w:pPr>
            <w:r>
              <w:rPr>
                <w:rFonts w:ascii="Arial" w:cs="Arial" w:eastAsia="Arial" w:hAnsi="Arial"/>
                <w:sz w:val="16"/>
                <w:szCs w:val="16"/>
                <w:color w:val="auto"/>
              </w:rPr>
              <w:t>Sacramento, California</w:t>
            </w:r>
          </w:p>
        </w:tc>
      </w:tr>
      <w:tr>
        <w:trPr>
          <w:trHeight w:val="199"/>
        </w:trPr>
        <w:tc>
          <w:tcPr>
            <w:tcW w:w="1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2180" w:type="dxa"/>
            <w:vAlign w:val="bottom"/>
            <w:tcBorders>
              <w:bottom w:val="single" w:sz="8" w:color="A6A6A6"/>
            </w:tcBorders>
          </w:tcPr>
          <w:p>
            <w:pPr>
              <w:spacing w:after="0"/>
              <w:rPr>
                <w:sz w:val="17"/>
                <w:szCs w:val="17"/>
                <w:color w:val="auto"/>
              </w:rPr>
            </w:pPr>
          </w:p>
        </w:tc>
        <w:tc>
          <w:tcPr>
            <w:tcW w:w="2440" w:type="dxa"/>
            <w:vAlign w:val="bottom"/>
            <w:tcBorders>
              <w:bottom w:val="single" w:sz="8" w:color="A6A6A6"/>
            </w:tcBorders>
          </w:tcPr>
          <w:p>
            <w:pPr>
              <w:ind w:left="180"/>
              <w:spacing w:after="0"/>
              <w:rPr>
                <w:sz w:val="20"/>
                <w:szCs w:val="20"/>
                <w:color w:val="auto"/>
              </w:rPr>
            </w:pPr>
            <w:r>
              <w:rPr>
                <w:rFonts w:ascii="Arial" w:cs="Arial" w:eastAsia="Arial" w:hAnsi="Arial"/>
                <w:sz w:val="16"/>
                <w:szCs w:val="16"/>
                <w:color w:val="auto"/>
              </w:rPr>
              <w:t>northern California</w:t>
            </w:r>
          </w:p>
        </w:tc>
        <w:tc>
          <w:tcPr>
            <w:tcW w:w="4080" w:type="dxa"/>
            <w:vAlign w:val="bottom"/>
            <w:tcBorders>
              <w:bottom w:val="single" w:sz="8" w:color="A6A6A6"/>
            </w:tcBorders>
          </w:tcPr>
          <w:p>
            <w:pPr>
              <w:spacing w:after="0"/>
              <w:rPr>
                <w:sz w:val="17"/>
                <w:szCs w:val="17"/>
                <w:color w:val="auto"/>
              </w:rPr>
            </w:pPr>
          </w:p>
        </w:tc>
      </w:tr>
      <w:tr>
        <w:trPr>
          <w:trHeight w:val="142"/>
        </w:trPr>
        <w:tc>
          <w:tcPr>
            <w:tcW w:w="1560" w:type="dxa"/>
            <w:vAlign w:val="bottom"/>
          </w:tcPr>
          <w:p>
            <w:pPr>
              <w:ind w:left="20"/>
              <w:spacing w:after="0" w:line="142" w:lineRule="exact"/>
              <w:rPr>
                <w:sz w:val="20"/>
                <w:szCs w:val="20"/>
                <w:color w:val="auto"/>
              </w:rPr>
            </w:pPr>
            <w:r>
              <w:rPr>
                <w:rFonts w:ascii="Arial" w:cs="Arial" w:eastAsia="Arial" w:hAnsi="Arial"/>
                <w:sz w:val="16"/>
                <w:szCs w:val="16"/>
                <w:b w:val="1"/>
                <w:bCs w:val="1"/>
                <w:color w:val="3983C5"/>
                <w:w w:val="98"/>
              </w:rPr>
              <w:t>Louisville, Kentucky</w:t>
            </w:r>
          </w:p>
        </w:tc>
        <w:tc>
          <w:tcPr>
            <w:tcW w:w="980" w:type="dxa"/>
            <w:vAlign w:val="bottom"/>
          </w:tcPr>
          <w:p>
            <w:pPr>
              <w:ind w:left="120"/>
              <w:spacing w:after="0" w:line="142" w:lineRule="exact"/>
              <w:rPr>
                <w:sz w:val="20"/>
                <w:szCs w:val="20"/>
                <w:color w:val="auto"/>
              </w:rPr>
            </w:pPr>
            <w:r>
              <w:rPr>
                <w:rFonts w:ascii="Arial" w:cs="Arial" w:eastAsia="Arial" w:hAnsi="Arial"/>
                <w:sz w:val="16"/>
                <w:szCs w:val="16"/>
                <w:color w:val="auto"/>
              </w:rPr>
              <w:t>Cement</w:t>
            </w:r>
          </w:p>
        </w:tc>
        <w:tc>
          <w:tcPr>
            <w:tcW w:w="2180" w:type="dxa"/>
            <w:vAlign w:val="bottom"/>
          </w:tcPr>
          <w:p>
            <w:pPr>
              <w:ind w:left="160"/>
              <w:spacing w:after="0" w:line="142" w:lineRule="exact"/>
              <w:rPr>
                <w:sz w:val="20"/>
                <w:szCs w:val="20"/>
                <w:color w:val="auto"/>
              </w:rPr>
            </w:pPr>
            <w:r>
              <w:rPr>
                <w:rFonts w:ascii="Arial" w:cs="Arial" w:eastAsia="Arial" w:hAnsi="Arial"/>
                <w:sz w:val="16"/>
                <w:szCs w:val="16"/>
                <w:color w:val="auto"/>
              </w:rPr>
              <w:t>Kosmos Cement Company</w:t>
            </w:r>
          </w:p>
        </w:tc>
        <w:tc>
          <w:tcPr>
            <w:tcW w:w="2440" w:type="dxa"/>
            <w:vAlign w:val="bottom"/>
          </w:tcPr>
          <w:p>
            <w:pPr>
              <w:ind w:left="180"/>
              <w:spacing w:after="0" w:line="142" w:lineRule="exact"/>
              <w:rPr>
                <w:sz w:val="20"/>
                <w:szCs w:val="20"/>
                <w:color w:val="auto"/>
              </w:rPr>
            </w:pPr>
            <w:r>
              <w:rPr>
                <w:rFonts w:ascii="Arial" w:cs="Arial" w:eastAsia="Arial" w:hAnsi="Arial"/>
                <w:sz w:val="16"/>
                <w:szCs w:val="16"/>
                <w:color w:val="auto"/>
              </w:rPr>
              <w:t>Kentucky, Ohio, Indiana, West</w:t>
            </w:r>
          </w:p>
        </w:tc>
        <w:tc>
          <w:tcPr>
            <w:tcW w:w="4080" w:type="dxa"/>
            <w:vAlign w:val="bottom"/>
          </w:tcPr>
          <w:p>
            <w:pPr>
              <w:ind w:left="100"/>
              <w:spacing w:after="0" w:line="142" w:lineRule="exact"/>
              <w:rPr>
                <w:sz w:val="20"/>
                <w:szCs w:val="20"/>
                <w:color w:val="auto"/>
              </w:rPr>
            </w:pPr>
            <w:r>
              <w:rPr>
                <w:rFonts w:ascii="Arial" w:cs="Arial" w:eastAsia="Arial" w:hAnsi="Arial"/>
                <w:sz w:val="16"/>
                <w:szCs w:val="16"/>
                <w:color w:val="auto"/>
              </w:rPr>
              <w:t>Indianapolis, Indiana; Ceredo, West Virginia;</w:t>
            </w:r>
          </w:p>
        </w:tc>
      </w:tr>
      <w:tr>
        <w:trPr>
          <w:trHeight w:val="166"/>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40" w:type="dxa"/>
            <w:vAlign w:val="bottom"/>
          </w:tcPr>
          <w:p>
            <w:pPr>
              <w:ind w:left="180"/>
              <w:spacing w:after="0" w:line="166" w:lineRule="exact"/>
              <w:rPr>
                <w:sz w:val="20"/>
                <w:szCs w:val="20"/>
                <w:color w:val="auto"/>
              </w:rPr>
            </w:pPr>
            <w:r>
              <w:rPr>
                <w:rFonts w:ascii="Arial" w:cs="Arial" w:eastAsia="Arial" w:hAnsi="Arial"/>
                <w:sz w:val="16"/>
                <w:szCs w:val="16"/>
                <w:color w:val="auto"/>
                <w:w w:val="97"/>
              </w:rPr>
              <w:t>Virginia, eastern Illinois, western</w:t>
            </w:r>
          </w:p>
        </w:tc>
        <w:tc>
          <w:tcPr>
            <w:tcW w:w="4080" w:type="dxa"/>
            <w:vAlign w:val="bottom"/>
          </w:tcPr>
          <w:p>
            <w:pPr>
              <w:ind w:left="100"/>
              <w:spacing w:after="0" w:line="165" w:lineRule="exact"/>
              <w:rPr>
                <w:sz w:val="20"/>
                <w:szCs w:val="20"/>
                <w:color w:val="auto"/>
              </w:rPr>
            </w:pPr>
            <w:r>
              <w:rPr>
                <w:rFonts w:ascii="Arial" w:cs="Arial" w:eastAsia="Arial" w:hAnsi="Arial"/>
                <w:sz w:val="15"/>
                <w:szCs w:val="15"/>
                <w:color w:val="auto"/>
              </w:rPr>
              <w:t xml:space="preserve">Lexington, Kentucky </w:t>
            </w:r>
            <w:r>
              <w:rPr>
                <w:rFonts w:ascii="Arial" w:cs="Arial" w:eastAsia="Arial" w:hAnsi="Arial"/>
                <w:sz w:val="19"/>
                <w:szCs w:val="19"/>
                <w:color w:val="auto"/>
                <w:vertAlign w:val="superscript"/>
              </w:rPr>
              <w:t>(2)</w:t>
            </w:r>
            <w:r>
              <w:rPr>
                <w:rFonts w:ascii="Arial" w:cs="Arial" w:eastAsia="Arial" w:hAnsi="Arial"/>
                <w:sz w:val="15"/>
                <w:szCs w:val="15"/>
                <w:color w:val="auto"/>
              </w:rPr>
              <w:t>; Cincinnati, Ohio;</w:t>
            </w:r>
          </w:p>
        </w:tc>
      </w:tr>
      <w:tr>
        <w:trPr>
          <w:trHeight w:val="162"/>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40" w:type="dxa"/>
            <w:vAlign w:val="bottom"/>
          </w:tcPr>
          <w:p>
            <w:pPr>
              <w:ind w:left="180"/>
              <w:spacing w:after="0" w:line="162" w:lineRule="exact"/>
              <w:rPr>
                <w:sz w:val="20"/>
                <w:szCs w:val="20"/>
                <w:color w:val="auto"/>
              </w:rPr>
            </w:pPr>
            <w:r>
              <w:rPr>
                <w:rFonts w:ascii="Arial" w:cs="Arial" w:eastAsia="Arial" w:hAnsi="Arial"/>
                <w:sz w:val="16"/>
                <w:szCs w:val="16"/>
                <w:color w:val="auto"/>
              </w:rPr>
              <w:t>Pennsylvania, and northern</w:t>
            </w:r>
          </w:p>
        </w:tc>
        <w:tc>
          <w:tcPr>
            <w:tcW w:w="4080" w:type="dxa"/>
            <w:vAlign w:val="bottom"/>
          </w:tcPr>
          <w:p>
            <w:pPr>
              <w:ind w:left="100"/>
              <w:spacing w:after="0" w:line="162" w:lineRule="exact"/>
              <w:rPr>
                <w:sz w:val="20"/>
                <w:szCs w:val="20"/>
                <w:color w:val="auto"/>
              </w:rPr>
            </w:pPr>
            <w:r>
              <w:rPr>
                <w:rFonts w:ascii="Arial" w:cs="Arial" w:eastAsia="Arial" w:hAnsi="Arial"/>
                <w:sz w:val="16"/>
                <w:szCs w:val="16"/>
                <w:color w:val="auto"/>
              </w:rPr>
              <w:t>Pittsburgh, Pennsylvania;</w:t>
            </w:r>
          </w:p>
        </w:tc>
      </w:tr>
      <w:tr>
        <w:trPr>
          <w:trHeight w:val="158"/>
        </w:trPr>
        <w:tc>
          <w:tcPr>
            <w:tcW w:w="1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40" w:type="dxa"/>
            <w:vAlign w:val="bottom"/>
          </w:tcPr>
          <w:p>
            <w:pPr>
              <w:ind w:left="180"/>
              <w:spacing w:after="0" w:line="158" w:lineRule="exact"/>
              <w:rPr>
                <w:sz w:val="20"/>
                <w:szCs w:val="20"/>
                <w:color w:val="auto"/>
              </w:rPr>
            </w:pPr>
            <w:r>
              <w:rPr>
                <w:rFonts w:ascii="Arial" w:cs="Arial" w:eastAsia="Arial" w:hAnsi="Arial"/>
                <w:sz w:val="16"/>
                <w:szCs w:val="16"/>
                <w:color w:val="auto"/>
              </w:rPr>
              <w:t>Tennessee</w:t>
            </w:r>
          </w:p>
        </w:tc>
        <w:tc>
          <w:tcPr>
            <w:tcW w:w="4080" w:type="dxa"/>
            <w:vAlign w:val="bottom"/>
          </w:tcPr>
          <w:p>
            <w:pPr>
              <w:ind w:left="100"/>
              <w:spacing w:after="0" w:line="158" w:lineRule="exact"/>
              <w:rPr>
                <w:sz w:val="20"/>
                <w:szCs w:val="20"/>
                <w:color w:val="auto"/>
              </w:rPr>
            </w:pPr>
            <w:r>
              <w:rPr>
                <w:rFonts w:ascii="Arial" w:cs="Arial" w:eastAsia="Arial" w:hAnsi="Arial"/>
                <w:sz w:val="16"/>
                <w:szCs w:val="16"/>
                <w:color w:val="auto"/>
              </w:rPr>
              <w:t>Charleston, West Virginia;</w:t>
            </w:r>
          </w:p>
        </w:tc>
      </w:tr>
      <w:tr>
        <w:trPr>
          <w:trHeight w:val="203"/>
        </w:trPr>
        <w:tc>
          <w:tcPr>
            <w:tcW w:w="1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2180" w:type="dxa"/>
            <w:vAlign w:val="bottom"/>
            <w:tcBorders>
              <w:bottom w:val="single" w:sz="8" w:color="A6A6A6"/>
            </w:tcBorders>
          </w:tcPr>
          <w:p>
            <w:pPr>
              <w:spacing w:after="0"/>
              <w:rPr>
                <w:sz w:val="17"/>
                <w:szCs w:val="17"/>
                <w:color w:val="auto"/>
              </w:rPr>
            </w:pPr>
          </w:p>
        </w:tc>
        <w:tc>
          <w:tcPr>
            <w:tcW w:w="2440" w:type="dxa"/>
            <w:vAlign w:val="bottom"/>
            <w:tcBorders>
              <w:bottom w:val="single" w:sz="8" w:color="A6A6A6"/>
            </w:tcBorders>
          </w:tcPr>
          <w:p>
            <w:pPr>
              <w:spacing w:after="0"/>
              <w:rPr>
                <w:sz w:val="17"/>
                <w:szCs w:val="17"/>
                <w:color w:val="auto"/>
              </w:rPr>
            </w:pPr>
          </w:p>
        </w:tc>
        <w:tc>
          <w:tcPr>
            <w:tcW w:w="4080" w:type="dxa"/>
            <w:vAlign w:val="bottom"/>
            <w:tcBorders>
              <w:bottom w:val="single" w:sz="8" w:color="A6A6A6"/>
            </w:tcBorders>
          </w:tcPr>
          <w:p>
            <w:pPr>
              <w:ind w:left="100"/>
              <w:spacing w:after="0" w:line="203" w:lineRule="exact"/>
              <w:rPr>
                <w:sz w:val="20"/>
                <w:szCs w:val="20"/>
                <w:color w:val="auto"/>
              </w:rPr>
            </w:pPr>
            <w:r>
              <w:rPr>
                <w:rFonts w:ascii="Arial" w:cs="Arial" w:eastAsia="Arial" w:hAnsi="Arial"/>
                <w:sz w:val="16"/>
                <w:szCs w:val="16"/>
                <w:color w:val="auto"/>
              </w:rPr>
              <w:t xml:space="preserve">Mount Vernon, Indiana </w:t>
            </w:r>
            <w:r>
              <w:rPr>
                <w:rFonts w:ascii="Arial" w:cs="Arial" w:eastAsia="Arial" w:hAnsi="Arial"/>
                <w:sz w:val="21"/>
                <w:szCs w:val="21"/>
                <w:color w:val="auto"/>
                <w:vertAlign w:val="superscript"/>
              </w:rPr>
              <w:t>(2)</w:t>
            </w:r>
          </w:p>
        </w:tc>
      </w:tr>
      <w:tr>
        <w:trPr>
          <w:trHeight w:val="146"/>
        </w:trPr>
        <w:tc>
          <w:tcPr>
            <w:tcW w:w="1560" w:type="dxa"/>
            <w:vAlign w:val="bottom"/>
          </w:tcPr>
          <w:p>
            <w:pPr>
              <w:ind w:left="20"/>
              <w:spacing w:after="0" w:line="146" w:lineRule="exact"/>
              <w:rPr>
                <w:sz w:val="20"/>
                <w:szCs w:val="20"/>
                <w:color w:val="auto"/>
              </w:rPr>
            </w:pPr>
            <w:r>
              <w:rPr>
                <w:rFonts w:ascii="Arial" w:cs="Arial" w:eastAsia="Arial" w:hAnsi="Arial"/>
                <w:sz w:val="16"/>
                <w:szCs w:val="16"/>
                <w:b w:val="1"/>
                <w:bCs w:val="1"/>
                <w:color w:val="3983C5"/>
              </w:rPr>
              <w:t>Fairborn, Ohio</w:t>
            </w:r>
          </w:p>
        </w:tc>
        <w:tc>
          <w:tcPr>
            <w:tcW w:w="980" w:type="dxa"/>
            <w:vAlign w:val="bottom"/>
          </w:tcPr>
          <w:p>
            <w:pPr>
              <w:ind w:left="120"/>
              <w:spacing w:after="0" w:line="146" w:lineRule="exact"/>
              <w:rPr>
                <w:sz w:val="20"/>
                <w:szCs w:val="20"/>
                <w:color w:val="auto"/>
              </w:rPr>
            </w:pPr>
            <w:r>
              <w:rPr>
                <w:rFonts w:ascii="Arial" w:cs="Arial" w:eastAsia="Arial" w:hAnsi="Arial"/>
                <w:sz w:val="16"/>
                <w:szCs w:val="16"/>
                <w:color w:val="auto"/>
              </w:rPr>
              <w:t>Cement</w:t>
            </w:r>
          </w:p>
        </w:tc>
        <w:tc>
          <w:tcPr>
            <w:tcW w:w="2180" w:type="dxa"/>
            <w:vAlign w:val="bottom"/>
          </w:tcPr>
          <w:p>
            <w:pPr>
              <w:ind w:left="160"/>
              <w:spacing w:after="0" w:line="146" w:lineRule="exact"/>
              <w:rPr>
                <w:sz w:val="20"/>
                <w:szCs w:val="20"/>
                <w:color w:val="auto"/>
              </w:rPr>
            </w:pPr>
            <w:r>
              <w:rPr>
                <w:rFonts w:ascii="Arial" w:cs="Arial" w:eastAsia="Arial" w:hAnsi="Arial"/>
                <w:sz w:val="16"/>
                <w:szCs w:val="16"/>
                <w:color w:val="auto"/>
              </w:rPr>
              <w:t>Fairborn Cement Company</w:t>
            </w:r>
          </w:p>
        </w:tc>
        <w:tc>
          <w:tcPr>
            <w:tcW w:w="2440" w:type="dxa"/>
            <w:vAlign w:val="bottom"/>
          </w:tcPr>
          <w:p>
            <w:pPr>
              <w:ind w:left="180"/>
              <w:spacing w:after="0" w:line="146" w:lineRule="exact"/>
              <w:rPr>
                <w:sz w:val="20"/>
                <w:szCs w:val="20"/>
                <w:color w:val="auto"/>
              </w:rPr>
            </w:pPr>
            <w:r>
              <w:rPr>
                <w:rFonts w:ascii="Arial" w:cs="Arial" w:eastAsia="Arial" w:hAnsi="Arial"/>
                <w:sz w:val="16"/>
                <w:szCs w:val="16"/>
                <w:color w:val="auto"/>
              </w:rPr>
              <w:t>Ohio, eastern Indiana, and</w:t>
            </w:r>
          </w:p>
        </w:tc>
        <w:tc>
          <w:tcPr>
            <w:tcW w:w="4080" w:type="dxa"/>
            <w:vAlign w:val="bottom"/>
          </w:tcPr>
          <w:p>
            <w:pPr>
              <w:ind w:left="100"/>
              <w:spacing w:after="0" w:line="146" w:lineRule="exact"/>
              <w:rPr>
                <w:sz w:val="20"/>
                <w:szCs w:val="20"/>
                <w:color w:val="auto"/>
              </w:rPr>
            </w:pPr>
            <w:r>
              <w:rPr>
                <w:rFonts w:ascii="Arial" w:cs="Arial" w:eastAsia="Arial" w:hAnsi="Arial"/>
                <w:sz w:val="16"/>
                <w:szCs w:val="16"/>
                <w:color w:val="auto"/>
              </w:rPr>
              <w:t>Columbus, Ohio</w:t>
            </w:r>
          </w:p>
        </w:tc>
      </w:tr>
      <w:tr>
        <w:trPr>
          <w:trHeight w:val="199"/>
        </w:trPr>
        <w:tc>
          <w:tcPr>
            <w:tcW w:w="1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2180" w:type="dxa"/>
            <w:vAlign w:val="bottom"/>
            <w:tcBorders>
              <w:bottom w:val="single" w:sz="8" w:color="A6A6A6"/>
            </w:tcBorders>
          </w:tcPr>
          <w:p>
            <w:pPr>
              <w:spacing w:after="0"/>
              <w:rPr>
                <w:sz w:val="17"/>
                <w:szCs w:val="17"/>
                <w:color w:val="auto"/>
              </w:rPr>
            </w:pPr>
          </w:p>
        </w:tc>
        <w:tc>
          <w:tcPr>
            <w:tcW w:w="2440" w:type="dxa"/>
            <w:vAlign w:val="bottom"/>
            <w:tcBorders>
              <w:bottom w:val="single" w:sz="8" w:color="A6A6A6"/>
            </w:tcBorders>
          </w:tcPr>
          <w:p>
            <w:pPr>
              <w:ind w:left="180"/>
              <w:spacing w:after="0"/>
              <w:rPr>
                <w:sz w:val="20"/>
                <w:szCs w:val="20"/>
                <w:color w:val="auto"/>
              </w:rPr>
            </w:pPr>
            <w:r>
              <w:rPr>
                <w:rFonts w:ascii="Arial" w:cs="Arial" w:eastAsia="Arial" w:hAnsi="Arial"/>
                <w:sz w:val="16"/>
                <w:szCs w:val="16"/>
                <w:color w:val="auto"/>
              </w:rPr>
              <w:t>northern Kentucky</w:t>
            </w:r>
          </w:p>
        </w:tc>
        <w:tc>
          <w:tcPr>
            <w:tcW w:w="4080" w:type="dxa"/>
            <w:vAlign w:val="bottom"/>
            <w:tcBorders>
              <w:bottom w:val="single" w:sz="8" w:color="A6A6A6"/>
            </w:tcBorders>
          </w:tcPr>
          <w:p>
            <w:pPr>
              <w:spacing w:after="0"/>
              <w:rPr>
                <w:sz w:val="17"/>
                <w:szCs w:val="17"/>
                <w:color w:val="auto"/>
              </w:rPr>
            </w:pPr>
          </w:p>
        </w:tc>
      </w:tr>
      <w:tr>
        <w:trPr>
          <w:trHeight w:val="142"/>
        </w:trPr>
        <w:tc>
          <w:tcPr>
            <w:tcW w:w="1560" w:type="dxa"/>
            <w:vAlign w:val="bottom"/>
          </w:tcPr>
          <w:p>
            <w:pPr>
              <w:ind w:left="20"/>
              <w:spacing w:after="0" w:line="142" w:lineRule="exact"/>
              <w:rPr>
                <w:sz w:val="20"/>
                <w:szCs w:val="20"/>
                <w:color w:val="auto"/>
              </w:rPr>
            </w:pPr>
            <w:r>
              <w:rPr>
                <w:rFonts w:ascii="Arial" w:cs="Arial" w:eastAsia="Arial" w:hAnsi="Arial"/>
                <w:sz w:val="16"/>
                <w:szCs w:val="16"/>
                <w:b w:val="1"/>
                <w:bCs w:val="1"/>
                <w:color w:val="3983C5"/>
              </w:rPr>
              <w:t>Chicago, Illinois</w:t>
            </w:r>
          </w:p>
        </w:tc>
        <w:tc>
          <w:tcPr>
            <w:tcW w:w="980" w:type="dxa"/>
            <w:vAlign w:val="bottom"/>
          </w:tcPr>
          <w:p>
            <w:pPr>
              <w:ind w:left="120"/>
              <w:spacing w:after="0" w:line="142" w:lineRule="exact"/>
              <w:rPr>
                <w:sz w:val="20"/>
                <w:szCs w:val="20"/>
                <w:color w:val="auto"/>
              </w:rPr>
            </w:pPr>
            <w:r>
              <w:rPr>
                <w:rFonts w:ascii="Arial" w:cs="Arial" w:eastAsia="Arial" w:hAnsi="Arial"/>
                <w:sz w:val="16"/>
                <w:szCs w:val="16"/>
                <w:color w:val="auto"/>
              </w:rPr>
              <w:t>Slag</w:t>
            </w:r>
          </w:p>
        </w:tc>
        <w:tc>
          <w:tcPr>
            <w:tcW w:w="2180" w:type="dxa"/>
            <w:vAlign w:val="bottom"/>
          </w:tcPr>
          <w:p>
            <w:pPr>
              <w:ind w:left="160"/>
              <w:spacing w:after="0" w:line="142" w:lineRule="exact"/>
              <w:rPr>
                <w:sz w:val="20"/>
                <w:szCs w:val="20"/>
                <w:color w:val="auto"/>
              </w:rPr>
            </w:pPr>
            <w:r>
              <w:rPr>
                <w:rFonts w:ascii="Arial" w:cs="Arial" w:eastAsia="Arial" w:hAnsi="Arial"/>
                <w:sz w:val="16"/>
                <w:szCs w:val="16"/>
                <w:color w:val="auto"/>
              </w:rPr>
              <w:t>Skyway Cement Company</w:t>
            </w:r>
          </w:p>
        </w:tc>
        <w:tc>
          <w:tcPr>
            <w:tcW w:w="2440" w:type="dxa"/>
            <w:vAlign w:val="bottom"/>
          </w:tcPr>
          <w:p>
            <w:pPr>
              <w:ind w:left="180"/>
              <w:spacing w:after="0" w:line="142" w:lineRule="exact"/>
              <w:rPr>
                <w:sz w:val="20"/>
                <w:szCs w:val="20"/>
                <w:color w:val="auto"/>
              </w:rPr>
            </w:pPr>
            <w:r>
              <w:rPr>
                <w:rFonts w:ascii="Arial" w:cs="Arial" w:eastAsia="Arial" w:hAnsi="Arial"/>
                <w:sz w:val="16"/>
                <w:szCs w:val="16"/>
                <w:color w:val="auto"/>
              </w:rPr>
              <w:t>Illinois, Pennsylvania,</w:t>
            </w:r>
          </w:p>
        </w:tc>
        <w:tc>
          <w:tcPr>
            <w:tcW w:w="4080" w:type="dxa"/>
            <w:vAlign w:val="bottom"/>
          </w:tcPr>
          <w:p>
            <w:pPr>
              <w:ind w:left="100"/>
              <w:spacing w:after="0" w:line="142" w:lineRule="exact"/>
              <w:rPr>
                <w:sz w:val="20"/>
                <w:szCs w:val="20"/>
                <w:color w:val="auto"/>
              </w:rPr>
            </w:pPr>
            <w:r>
              <w:rPr>
                <w:rFonts w:ascii="Arial" w:cs="Arial" w:eastAsia="Arial" w:hAnsi="Arial"/>
                <w:sz w:val="16"/>
                <w:szCs w:val="16"/>
                <w:color w:val="auto"/>
              </w:rPr>
              <w:t>Kansas City, Missouri; Etna, Pennsylvania;</w:t>
            </w:r>
          </w:p>
        </w:tc>
      </w:tr>
      <w:tr>
        <w:trPr>
          <w:trHeight w:val="166"/>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40" w:type="dxa"/>
            <w:vAlign w:val="bottom"/>
          </w:tcPr>
          <w:p>
            <w:pPr>
              <w:ind w:left="180"/>
              <w:spacing w:after="0" w:line="166" w:lineRule="exact"/>
              <w:rPr>
                <w:sz w:val="20"/>
                <w:szCs w:val="20"/>
                <w:color w:val="auto"/>
              </w:rPr>
            </w:pPr>
            <w:r>
              <w:rPr>
                <w:rFonts w:ascii="Arial" w:cs="Arial" w:eastAsia="Arial" w:hAnsi="Arial"/>
                <w:sz w:val="16"/>
                <w:szCs w:val="16"/>
                <w:color w:val="auto"/>
              </w:rPr>
              <w:t>Iowa, Ohio, Minnesota,</w:t>
            </w:r>
          </w:p>
        </w:tc>
        <w:tc>
          <w:tcPr>
            <w:tcW w:w="4080" w:type="dxa"/>
            <w:vAlign w:val="bottom"/>
          </w:tcPr>
          <w:p>
            <w:pPr>
              <w:ind w:left="100"/>
              <w:spacing w:after="0" w:line="165" w:lineRule="exact"/>
              <w:rPr>
                <w:sz w:val="20"/>
                <w:szCs w:val="20"/>
                <w:color w:val="auto"/>
              </w:rPr>
            </w:pPr>
            <w:r>
              <w:rPr>
                <w:rFonts w:ascii="Arial" w:cs="Arial" w:eastAsia="Arial" w:hAnsi="Arial"/>
                <w:sz w:val="15"/>
                <w:szCs w:val="15"/>
                <w:color w:val="auto"/>
              </w:rPr>
              <w:t xml:space="preserve">Fairfield, Ohio </w:t>
            </w:r>
            <w:r>
              <w:rPr>
                <w:rFonts w:ascii="Arial" w:cs="Arial" w:eastAsia="Arial" w:hAnsi="Arial"/>
                <w:sz w:val="19"/>
                <w:szCs w:val="19"/>
                <w:color w:val="auto"/>
                <w:vertAlign w:val="superscript"/>
              </w:rPr>
              <w:t>(2)</w:t>
            </w:r>
          </w:p>
        </w:tc>
      </w:tr>
      <w:tr>
        <w:trPr>
          <w:trHeight w:val="199"/>
        </w:trPr>
        <w:tc>
          <w:tcPr>
            <w:tcW w:w="15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2180" w:type="dxa"/>
            <w:vAlign w:val="bottom"/>
            <w:tcBorders>
              <w:bottom w:val="single" w:sz="8" w:color="A6A6A6"/>
            </w:tcBorders>
          </w:tcPr>
          <w:p>
            <w:pPr>
              <w:spacing w:after="0"/>
              <w:rPr>
                <w:sz w:val="17"/>
                <w:szCs w:val="17"/>
                <w:color w:val="auto"/>
              </w:rPr>
            </w:pPr>
          </w:p>
        </w:tc>
        <w:tc>
          <w:tcPr>
            <w:tcW w:w="2440" w:type="dxa"/>
            <w:vAlign w:val="bottom"/>
            <w:tcBorders>
              <w:bottom w:val="single" w:sz="8" w:color="A6A6A6"/>
            </w:tcBorders>
          </w:tcPr>
          <w:p>
            <w:pPr>
              <w:ind w:left="180"/>
              <w:spacing w:after="0"/>
              <w:rPr>
                <w:sz w:val="20"/>
                <w:szCs w:val="20"/>
                <w:color w:val="auto"/>
              </w:rPr>
            </w:pPr>
            <w:r>
              <w:rPr>
                <w:rFonts w:ascii="Arial" w:cs="Arial" w:eastAsia="Arial" w:hAnsi="Arial"/>
                <w:sz w:val="16"/>
                <w:szCs w:val="16"/>
                <w:color w:val="auto"/>
              </w:rPr>
              <w:t>Missouri and Kansas</w:t>
            </w:r>
          </w:p>
        </w:tc>
        <w:tc>
          <w:tcPr>
            <w:tcW w:w="4080" w:type="dxa"/>
            <w:vAlign w:val="bottom"/>
            <w:tcBorders>
              <w:bottom w:val="single" w:sz="8" w:color="A6A6A6"/>
            </w:tcBorders>
          </w:tcPr>
          <w:p>
            <w:pPr>
              <w:spacing w:after="0"/>
              <w:rPr>
                <w:sz w:val="17"/>
                <w:szCs w:val="17"/>
                <w:color w:val="auto"/>
              </w:rPr>
            </w:pPr>
          </w:p>
        </w:tc>
      </w:tr>
    </w:tbl>
    <w:p>
      <w:pPr>
        <w:spacing w:after="0" w:line="56"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Each of the distribution terminals listed in this table is capable of handling cement and/or slag.</w:t>
      </w:r>
    </w:p>
    <w:p>
      <w:pPr>
        <w:ind w:left="220" w:hanging="212"/>
        <w:spacing w:after="0" w:line="189" w:lineRule="auto"/>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These facilities are being leased.</w:t>
      </w:r>
    </w:p>
    <w:p>
      <w:pPr>
        <w:spacing w:after="0" w:line="106" w:lineRule="exact"/>
        <w:rPr>
          <w:sz w:val="20"/>
          <w:szCs w:val="20"/>
          <w:color w:val="auto"/>
        </w:rPr>
      </w:pPr>
    </w:p>
    <w:p>
      <w:pPr>
        <w:ind w:right="60"/>
        <w:spacing w:after="0" w:line="311" w:lineRule="auto"/>
        <w:rPr>
          <w:sz w:val="20"/>
          <w:szCs w:val="20"/>
          <w:color w:val="auto"/>
        </w:rPr>
      </w:pPr>
      <w:r>
        <w:rPr>
          <w:rFonts w:ascii="Arial" w:cs="Arial" w:eastAsia="Arial" w:hAnsi="Arial"/>
          <w:sz w:val="17"/>
          <w:szCs w:val="17"/>
          <w:color w:val="auto"/>
        </w:rPr>
        <w:t>We are leasing the terminal in Fairfield, Ohio under an initial term of four years, with two one-year options, which expire in fiscal 2025. The terminal in Lexington, Kentucky is being leased under an initial term of five years and will be up for renewal in fiscal 2024. The terminal in Mt. Vernon, Indiana is leased through fiscal 2031, and contains options that will allow the renewal of this lease for an additional twenty years.</w:t>
      </w:r>
    </w:p>
    <w:p>
      <w:pPr>
        <w:spacing w:after="0" w:line="77"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Cement and slag are distributed directly to our customers mostly through customer pickups, and also by common carriers from our plants or distribution terminals. We transport cement, slag, and fly ash by truck, barge, and rail to our storage and distribution terminals.</w:t>
      </w:r>
    </w:p>
    <w:p>
      <w:pPr>
        <w:spacing w:after="0" w:line="89"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No single customer accounted for more than 10% of our Cement segment sales during fiscal 2022. We do not typically enter into long-term cement sales contracts or have a significant level of order backlog.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Raw Materials and Fuel Supplies</w:t>
      </w:r>
    </w:p>
    <w:p>
      <w:pPr>
        <w:spacing w:after="0" w:line="166"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The principal raw material used in the production of portland cement is calcium carbonate in the form of limestone. Limestone is obtained mainly through mining and extraction operations conducted at mines and quarries that we own or lease, and that are located in close proximity to our plants. We believe the estimated recoverable limestone reserves and resources we own or lease will permit each of our plants to operate at our present production capacity for at least 25 years. We are actively seeking to upgrade our extensive high-quality resource base at existing properties to reserves, or acquire additional limestone reserves close to our plants and believe we will be able to acquire more reserves in the future. All properties have additional resources that have potential with additional engineering and evaluation to be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 w:name="page13"/>
    <w:bookmarkEnd w:id="12"/>
    <w:p>
      <w:pPr>
        <w:jc w:val="both"/>
        <w:ind w:right="480"/>
        <w:spacing w:after="0" w:line="287" w:lineRule="auto"/>
        <w:rPr>
          <w:sz w:val="20"/>
          <w:szCs w:val="20"/>
          <w:color w:val="auto"/>
        </w:rPr>
      </w:pPr>
      <w:r>
        <w:rPr>
          <w:rFonts w:ascii="Arial" w:cs="Arial" w:eastAsia="Arial" w:hAnsi="Arial"/>
          <w:sz w:val="18"/>
          <w:szCs w:val="18"/>
          <w:color w:val="auto"/>
        </w:rPr>
        <w:t>upgraded to reserves. Other raw materials used in substantially smaller quantities than limestone are sand, clay, iron ore, and gypsum. These materials are readily available and can be obtained either from Company-owned or leased reserves, or can be purchased from outside suppliers.</w:t>
      </w:r>
    </w:p>
    <w:p>
      <w:pPr>
        <w:spacing w:after="0" w:line="94"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We utilize coal, petroleum coke, natural gas, and alternative fuels to fuel our cement plants. The cost of fuel and power increased throughout fiscal 2022, compared with fiscal 2021, due primarily to higher natural gas prices and increased freight for coal and petroleum coke. We expect the cost of fuel and power to continue to rise in fiscal 2023, with the cost of natural gas being affected by increased demand and global economic conditions and the price of coal and petroleum coke increasing due to lower availability and higher freight costs. In keeping with our commitment to sustainability and cost management, we continue to expand the use of alternative fuels at our cement facilities.</w:t>
      </w:r>
    </w:p>
    <w:p>
      <w:pPr>
        <w:spacing w:after="0" w:line="9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have a long-term agreement with a steel manufacturer to supply granules necessary for grinding slag. This agreement requires us to purchase up to 550,000 tons of granules, which meet certain specifications, made available by the steel manufacturer each year. Electric power is also a major cost component in the manufacturing process for both cement and slag, and we have sought to diminish overall power costs by adopting interruptible power supply agreements at certain locations. These agreements may expose us to some production interruptions during periods of power curtailment. Historically, we have not had many production interruptions under these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Environmental Matters</w:t>
      </w:r>
    </w:p>
    <w:p>
      <w:pPr>
        <w:spacing w:after="0" w:line="166"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cement operations are subject to numerous federal, state, and local laws and regulations pertaining to health, safety, and the environment. Some of these laws, such as the federal Clean Air Act and the federal Clean Water Act (and analogous state laws) impose environmental-permitting requirements and govern the nature and amount of emissions that may be generated when conducting particular operations. Some laws, such as the federal Comprehensive Environmental Response, Compensation and Liability Act (CERCLA) (and analogous state laws) impose obligations to clean up or remediate spills of hazardous materials into the environment. Other laws require us to reclaim certain land upon completion of extraction and mining operations in our quarries. We believe that we have obtained all the material environmental permits that are necessary to conduct our operations. We further believe that we are conducting our operations in substantial compliance with these permits. In addition, none of our manufacturing sites is listed as a CERCLA Superfund site.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environmental issues involving the cement manufacturing industry deserve special mention.</w:t>
      </w:r>
    </w:p>
    <w:p>
      <w:pPr>
        <w:spacing w:after="0" w:line="122"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 xml:space="preserve">Cement Kiln Dust </w:t>
      </w:r>
      <w:r>
        <w:rPr>
          <w:rFonts w:ascii="Arial" w:cs="Arial" w:eastAsia="Arial" w:hAnsi="Arial"/>
          <w:sz w:val="18"/>
          <w:szCs w:val="18"/>
          <w:color w:val="auto"/>
        </w:rPr>
        <w:t>– Because much of Cement Kiln Dust (CKD) is unreacted raw materials, it is often returned to the production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CKD produced in connection with our ongoing operations is recycled, and therefore such CKD is not viewed as a waste under the Resource Conservation and Recovery Act (RCRA). However, CKD was historically collected and stored on-site at our Nevada, Missouri, Oklahoma and Wyoming cement plants and at a former plant site in Corpus Christi, Texas, which is no longer producing cement. Currently, CKD waste is generally excluded from the definition of hazardous waste under the federal regulations. The U.S. Environmental Protection Agency (EPA) has been evaluating the regulatory status of CKD under the RCRA since 2002, and thus far has not changed its approach. If either the EPA or the states decide to reclassify or impose new management standards on this CKD at some point in the future, we could incur additional costs to comply with those requirements with respect to our historically collected CKD. CKD that comes in contact with water might produce a leachate with an alkalinity high enough to be classified as hazardous and might also leach certain hazardous trace metals therein.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13" w:name="page14"/>
    <w:bookmarkEnd w:id="13"/>
    <w:p>
      <w:pPr>
        <w:ind w:right="60"/>
        <w:spacing w:after="0" w:line="285" w:lineRule="auto"/>
        <w:rPr>
          <w:sz w:val="20"/>
          <w:szCs w:val="20"/>
          <w:color w:val="auto"/>
        </w:rPr>
      </w:pPr>
      <w:r>
        <w:rPr>
          <w:rFonts w:ascii="Arial" w:cs="Arial" w:eastAsia="Arial" w:hAnsi="Arial"/>
          <w:sz w:val="18"/>
          <w:szCs w:val="18"/>
          <w:b w:val="1"/>
          <w:bCs w:val="1"/>
          <w:i w:val="1"/>
          <w:iCs w:val="1"/>
          <w:color w:val="auto"/>
        </w:rPr>
        <w:t xml:space="preserve">Potential Greenhouse Gas Regulation </w:t>
      </w:r>
      <w:r>
        <w:rPr>
          <w:rFonts w:ascii="Arial" w:cs="Arial" w:eastAsia="Arial" w:hAnsi="Arial"/>
          <w:sz w:val="18"/>
          <w:szCs w:val="18"/>
          <w:color w:val="auto"/>
        </w:rPr>
        <w:t>– The potential regulation of our emission of greenhouse gases (GHGs), including carbon dioxide,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affect our cement operations because (1) the cement manufacturing process requires the combustion of large amounts of fuel to generate very high kiln temperatures; and (2) the production of carbon dioxide is a byproduct of the calcination process, whereby carbon dioxide is removed from calcium carbonate to produce calcium oxide. Curbing GHG emissions is a clear priority for the Biden administration, and as part of rejoining the Paris Agreement, President Biden announced that the United States would commit to a 50 to 52 percent reduction from 2005 levels of GHG emissions by 2030 and set the goal of reaching net-zero GHG emissions by 2050. Further, several states have individually implemented or are presently considering measures to reduce emissions of GHGs, primarily through the planned development of GHG inventories or registries, or regional GHG cap and trade programs. It is not possible at this time to predict how any future legislation that may be enacted or final EPA regulations that may be adopted to address GHG emissions would impact our business. However, any imposition of raw materials or production limitations, fuel-use or carbon taxes, or emission limitations or reductions could have a significant impact on the cement manufacturing industry and a material adverse effect on us and our results of operations.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b w:val="1"/>
          <w:bCs w:val="1"/>
          <w:i w:val="1"/>
          <w:iCs w:val="1"/>
          <w:color w:val="auto"/>
        </w:rPr>
        <w:t xml:space="preserve">Solid Waste Incineration Regulations </w:t>
      </w:r>
      <w:r>
        <w:rPr>
          <w:rFonts w:ascii="Arial" w:cs="Arial" w:eastAsia="Arial" w:hAnsi="Arial"/>
          <w:sz w:val="18"/>
          <w:szCs w:val="18"/>
          <w:color w:val="auto"/>
        </w:rPr>
        <w:t>– The EPA has promulgated revised regulations for Commercial and Industrial Solid Waste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Incineration (CISWI) units, pursuant to Section 129 of the CAA. The EPA has approved several states’ implementation plans under this rule, including plans submitted by Colorado and Oklahoma, and has proposed a federal plan that would apply in states that have not submitted and received approval for a state plan. Compared to the PC NESHAP, the CISWI regulations contain requirements across a broader range of pollutants, and the requirement for dioxin/furans for existing and new sources is somewhat more stringent.</w:t>
      </w:r>
    </w:p>
    <w:p>
      <w:pPr>
        <w:spacing w:after="0" w:line="68"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i w:val="1"/>
          <w:iCs w:val="1"/>
          <w:color w:val="auto"/>
        </w:rPr>
        <w:t xml:space="preserve">Air Quality Standards for Ozone </w:t>
      </w:r>
      <w:r>
        <w:rPr>
          <w:rFonts w:ascii="Arial" w:cs="Arial" w:eastAsia="Arial" w:hAnsi="Arial"/>
          <w:sz w:val="18"/>
          <w:szCs w:val="18"/>
          <w:color w:val="auto"/>
        </w:rPr>
        <w:t>– The EPA is engaged in an ongoing review and implementation of the national ambient air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(NAAQS) for ozone. Nonattainment designations in or surrounding our areas of operations could have a material impact on our consolidated financial results. The CAA requires the EPA to review, and if necessary, revise the NAAQS every five years. Most recently, in December 2020, the Trump Administration announced its decision to retain the 2015 ozone NAAQS set by the Obama Administration without change. This December 2020 final action, however, is subject to legal challenge and is currently being reviewed by the EPA pursuant to President Biden’s executive order directing federal agencies to review certain environmental actions taken by the Trump Administration</w:t>
      </w:r>
    </w:p>
    <w:p>
      <w:pPr>
        <w:spacing w:after="0" w:line="9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In addition, on April 6, 2022, the EPA published a proposed Federal Implementation Plan (FIP) addressing twenty-six states’ obligations to eliminate significant contributions to nonattainment, or interference with maintenance, of the 2015 ozone NAAQS in other states. Relevant states subject to the proposed FIP include Illinois, Kentucky, Missouri, Nevada, Ohio, Oklahoma, Texas, and Wyoming. The proposed FIP includes measures for establishing nitrogen oxide (NOx) emissions limits applicable to certain industrial stationary sources beginning in 2026, among other things. Notably, the proposed FIP lists kilns in cement manufacturing facilities as stationary sources subject to the proposed NOx emissions limits. To the extent that the final FIP imposes strict NOx budgets or emission limitations, it could have a significant impact on the cement manufacturing industry and a material adverse effect on us and our results of operations.</w:t>
      </w:r>
    </w:p>
    <w:p>
      <w:pPr>
        <w:spacing w:after="0" w:line="101"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We believe that our current procedures and practices in our operations, including those for handling and managing hazardous materials, are consistent with industry standards and are in substantial compliance with applicable environmental laws and regulations. Nevertheless, because of the complexity of our operations and the environmental laws to which we are subject, there can be no assurance that past or future operations will not result in violations, remediation costs, or other liabilities or claims. Moreover, we cannot predict what environmental laws will be enacted or adopted in the future or how such future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4" w:name="page15"/>
    <w:bookmarkEnd w:id="14"/>
    <w:p>
      <w:pPr>
        <w:ind w:right="640"/>
        <w:spacing w:after="0" w:line="293" w:lineRule="auto"/>
        <w:rPr>
          <w:sz w:val="20"/>
          <w:szCs w:val="20"/>
          <w:color w:val="auto"/>
        </w:rPr>
      </w:pPr>
      <w:r>
        <w:rPr>
          <w:rFonts w:ascii="Arial" w:cs="Arial" w:eastAsia="Arial" w:hAnsi="Arial"/>
          <w:sz w:val="18"/>
          <w:szCs w:val="18"/>
          <w:color w:val="auto"/>
        </w:rPr>
        <w:t>environmental laws or regulations will be administered or interpreted. Compliance with more stringent environmental laws, or stricter interpretation of existing environmental laws, could necessitate significant capital outlays.</w:t>
      </w:r>
    </w:p>
    <w:p>
      <w:pPr>
        <w:spacing w:after="0" w:line="89"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In fiscal 2022, we had $1.0 million of capital expenditures related to compliance with environmental regulations applicable to our cement operations. We anticipate spending $4.2 million during fiscal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AND AGGREGATES</w:t>
      </w:r>
    </w:p>
    <w:p>
      <w:pPr>
        <w:spacing w:after="0" w:line="15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Readymix concrete is a versatile, low-cost building material used in almost all construction. The production of readymix concrete involves mixing cement, sand, gravel or crushed stone, and water to form concrete, which is then sold and distributed to numerous construction contractors. Concrete is produced in batch plants and transported to customers’ job sites in mixer trucks.</w:t>
      </w:r>
    </w:p>
    <w:p>
      <w:pPr>
        <w:spacing w:after="0" w:line="9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aggregates business consists of mining, extracting, producing, and selling crushed stone, sand, and gravel. Construction aggregates of suitable characteristics are employed in virtually all types of construction, including the production of readymix concrete, flexible base, and asphaltic mixes used in highway construction and maintenance.</w:t>
      </w:r>
    </w:p>
    <w:p>
      <w:pPr>
        <w:spacing w:after="0" w:line="94" w:lineRule="exact"/>
        <w:rPr>
          <w:sz w:val="20"/>
          <w:szCs w:val="20"/>
          <w:color w:val="auto"/>
        </w:rPr>
      </w:pPr>
    </w:p>
    <w:p>
      <w:pPr>
        <w:ind w:right="20"/>
        <w:spacing w:after="0" w:line="311" w:lineRule="auto"/>
        <w:rPr>
          <w:sz w:val="20"/>
          <w:szCs w:val="20"/>
          <w:color w:val="auto"/>
        </w:rPr>
      </w:pPr>
      <w:r>
        <w:rPr>
          <w:rFonts w:ascii="Arial" w:cs="Arial" w:eastAsia="Arial" w:hAnsi="Arial"/>
          <w:sz w:val="17"/>
          <w:szCs w:val="17"/>
          <w:color w:val="auto"/>
        </w:rPr>
        <w:t>On April 22, 2022, we closed the ConAgg Acquisition, for which we paid approximately $121.2 million. Included in the ConAgg acquisition were three concrete readymix locations, two aggregate mining operations, three aggregate recycling locations, and approximately 24 concrete trucks. See Footnote (B) to the Audited Consolidated Financial Statements for more information regarding the ConAgg Acquisition.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Concrete Plants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produce and distribute readymix concrete from company-owned sites in Central Texas; the greater Kansas City area; and northern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Nevada. The following table sets forth information regarding these operations, as of March 31, 2022:</w:t>
      </w:r>
    </w:p>
    <w:p>
      <w:pPr>
        <w:sectPr>
          <w:pgSz w:w="11900" w:h="16838" w:orient="portrait"/>
          <w:cols w:equalWidth="0" w:num="1">
            <w:col w:w="11140"/>
          </w:cols>
          <w:pgMar w:left="320" w:top="503" w:right="4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Location</w:t>
            </w:r>
          </w:p>
        </w:tc>
        <w:tc>
          <w:tcPr>
            <w:tcW w:w="184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Number of Plants</w:t>
            </w:r>
          </w:p>
        </w:tc>
      </w:tr>
      <w:tr>
        <w:trPr>
          <w:trHeight w:val="189"/>
        </w:trPr>
        <w:tc>
          <w:tcPr>
            <w:tcW w:w="7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Central Texas</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w:t>
            </w:r>
          </w:p>
        </w:tc>
      </w:tr>
      <w:tr>
        <w:trPr>
          <w:trHeight w:val="183"/>
        </w:trPr>
        <w:tc>
          <w:tcPr>
            <w:tcW w:w="7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AAC6"/>
              </w:rPr>
              <w:t>Kansas City Area</w:t>
            </w:r>
          </w:p>
        </w:tc>
        <w:tc>
          <w:tcPr>
            <w:tcW w:w="1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w:t>
            </w:r>
          </w:p>
        </w:tc>
      </w:tr>
      <w:tr>
        <w:trPr>
          <w:trHeight w:val="183"/>
        </w:trPr>
        <w:tc>
          <w:tcPr>
            <w:tcW w:w="7240" w:type="dxa"/>
            <w:vAlign w:val="bottom"/>
          </w:tcPr>
          <w:p>
            <w:pPr>
              <w:ind w:left="20"/>
              <w:spacing w:after="0" w:line="183" w:lineRule="exact"/>
              <w:rPr>
                <w:sz w:val="20"/>
                <w:szCs w:val="20"/>
                <w:color w:val="auto"/>
              </w:rPr>
            </w:pPr>
            <w:r>
              <w:rPr>
                <w:rFonts w:ascii="Arial" w:cs="Arial" w:eastAsia="Arial" w:hAnsi="Arial"/>
                <w:sz w:val="16"/>
                <w:szCs w:val="16"/>
                <w:b w:val="1"/>
                <w:bCs w:val="1"/>
                <w:color w:val="00AAC6"/>
              </w:rPr>
              <w:t>Northern Nevada</w:t>
            </w:r>
          </w:p>
        </w:tc>
        <w:tc>
          <w:tcPr>
            <w:tcW w:w="184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r>
      <w:tr>
        <w:trPr>
          <w:trHeight w:val="27"/>
        </w:trPr>
        <w:tc>
          <w:tcPr>
            <w:tcW w:w="7240" w:type="dxa"/>
            <w:vAlign w:val="bottom"/>
            <w:tcBorders>
              <w:bottom w:val="single" w:sz="8" w:color="A6A6A6"/>
            </w:tcBorders>
          </w:tcPr>
          <w:p>
            <w:pPr>
              <w:spacing w:after="0"/>
              <w:rPr>
                <w:sz w:val="2"/>
                <w:szCs w:val="2"/>
                <w:color w:val="auto"/>
              </w:rPr>
            </w:pPr>
          </w:p>
        </w:tc>
        <w:tc>
          <w:tcPr>
            <w:tcW w:w="1840" w:type="dxa"/>
            <w:vAlign w:val="bottom"/>
            <w:tcBorders>
              <w:bottom w:val="single" w:sz="8" w:color="00AAC6"/>
            </w:tcBorders>
            <w:shd w:val="clear" w:color="auto" w:fill="00AAC6"/>
          </w:tcPr>
          <w:p>
            <w:pPr>
              <w:spacing w:after="0"/>
              <w:rPr>
                <w:sz w:val="2"/>
                <w:szCs w:val="2"/>
                <w:color w:val="auto"/>
              </w:rPr>
            </w:pPr>
          </w:p>
        </w:tc>
      </w:tr>
      <w:tr>
        <w:trPr>
          <w:trHeight w:val="183"/>
        </w:trPr>
        <w:tc>
          <w:tcPr>
            <w:tcW w:w="724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1840" w:type="dxa"/>
            <w:vAlign w:val="bottom"/>
            <w:tcBorders>
              <w:bottom w:val="single" w:sz="8" w:color="00AAC6"/>
            </w:tcBorders>
          </w:tcPr>
          <w:p>
            <w:pPr>
              <w:jc w:val="right"/>
              <w:spacing w:after="0" w:line="183" w:lineRule="exact"/>
              <w:rPr>
                <w:sz w:val="20"/>
                <w:szCs w:val="20"/>
                <w:color w:val="auto"/>
              </w:rPr>
            </w:pPr>
            <w:r>
              <w:rPr>
                <w:rFonts w:ascii="Arial" w:cs="Arial" w:eastAsia="Arial" w:hAnsi="Arial"/>
                <w:sz w:val="16"/>
                <w:szCs w:val="16"/>
                <w:b w:val="1"/>
                <w:bCs w:val="1"/>
                <w:color w:val="auto"/>
              </w:rPr>
              <w:t>26</w:t>
            </w:r>
          </w:p>
        </w:tc>
      </w:tr>
      <w:tr>
        <w:trPr>
          <w:trHeight w:val="20"/>
        </w:trPr>
        <w:tc>
          <w:tcPr>
            <w:tcW w:w="7240" w:type="dxa"/>
            <w:vAlign w:val="bottom"/>
            <w:tcBorders>
              <w:bottom w:val="single" w:sz="8" w:color="A6A6A6"/>
            </w:tcBorders>
          </w:tcPr>
          <w:p>
            <w:pPr>
              <w:spacing w:after="0" w:line="20" w:lineRule="exact"/>
              <w:rPr>
                <w:sz w:val="1"/>
                <w:szCs w:val="1"/>
                <w:color w:val="auto"/>
              </w:rPr>
            </w:pPr>
          </w:p>
        </w:tc>
        <w:tc>
          <w:tcPr>
            <w:tcW w:w="1840" w:type="dxa"/>
            <w:vAlign w:val="bottom"/>
            <w:tcBorders>
              <w:bottom w:val="single" w:sz="8" w:color="00AAC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-153670</wp:posOffset>
            </wp:positionV>
            <wp:extent cx="111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Number of Trucks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33020</wp:posOffset>
            </wp:positionV>
            <wp:extent cx="126047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60475" cy="25400"/>
                    </a:xfrm>
                    <a:prstGeom prst="rect">
                      <a:avLst/>
                    </a:prstGeom>
                    <a:noFill/>
                  </pic:spPr>
                </pic:pic>
              </a:graphicData>
            </a:graphic>
          </wp:anchor>
        </w:drawing>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24130</wp:posOffset>
            </wp:positionV>
            <wp:extent cx="1260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2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21590</wp:posOffset>
            </wp:positionV>
            <wp:extent cx="1260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6985</wp:posOffset>
            </wp:positionV>
            <wp:extent cx="11487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8715" cy="25400"/>
                    </a:xfrm>
                    <a:prstGeom prst="rect">
                      <a:avLst/>
                    </a:prstGeom>
                    <a:noFill/>
                  </pic:spPr>
                </pic:pic>
              </a:graphicData>
            </a:graphic>
          </wp:anchor>
        </w:drawing>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12065</wp:posOffset>
            </wp:positionV>
            <wp:extent cx="11487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29210</wp:posOffset>
            </wp:positionV>
            <wp:extent cx="11487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9440" w:space="720"/>
            <w:col w:w="980"/>
          </w:cols>
          <w:pgMar w:left="320" w:top="503" w:right="4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Aggregate Resources and Reserves</w:t>
      </w:r>
    </w:p>
    <w:p>
      <w:pPr>
        <w:spacing w:after="0" w:line="166" w:lineRule="exact"/>
        <w:rPr>
          <w:sz w:val="20"/>
          <w:szCs w:val="20"/>
          <w:color w:val="auto"/>
        </w:rPr>
      </w:pPr>
    </w:p>
    <w:p>
      <w:pPr>
        <w:jc w:val="both"/>
        <w:ind w:right="260"/>
        <w:spacing w:after="0" w:line="293" w:lineRule="auto"/>
        <w:rPr>
          <w:sz w:val="20"/>
          <w:szCs w:val="20"/>
          <w:color w:val="auto"/>
        </w:rPr>
      </w:pPr>
      <w:r>
        <w:rPr>
          <w:rFonts w:ascii="Arial" w:cs="Arial" w:eastAsia="Arial" w:hAnsi="Arial"/>
          <w:sz w:val="18"/>
          <w:szCs w:val="18"/>
          <w:color w:val="auto"/>
        </w:rPr>
        <w:t>We conduct aggregate operations near our concrete facilities. Aggregates are obtained principally by mining and extracting from quarries owned or leased by the Company.</w:t>
      </w:r>
    </w:p>
    <w:p>
      <w:pPr>
        <w:spacing w:after="0" w:line="89" w:lineRule="exact"/>
        <w:rPr>
          <w:sz w:val="20"/>
          <w:szCs w:val="20"/>
          <w:color w:val="auto"/>
        </w:rPr>
      </w:pPr>
    </w:p>
    <w:p>
      <w:pPr>
        <w:jc w:val="both"/>
        <w:ind w:right="260"/>
        <w:spacing w:after="0" w:line="287" w:lineRule="auto"/>
        <w:rPr>
          <w:sz w:val="20"/>
          <w:szCs w:val="20"/>
          <w:color w:val="auto"/>
        </w:rPr>
      </w:pPr>
      <w:r>
        <w:rPr>
          <w:rFonts w:ascii="Arial" w:cs="Arial" w:eastAsia="Arial" w:hAnsi="Arial"/>
          <w:sz w:val="18"/>
          <w:szCs w:val="18"/>
          <w:color w:val="auto"/>
        </w:rPr>
        <w:t>Mineral resources and reserves for our aggregate plants consist of both sand and gravel, and limestone, and are defined similarly to how these reserves are defined for our Cement business. See page 6 for a more detailed description of how we define mineral resources and reserves.</w:t>
      </w:r>
    </w:p>
    <w:p>
      <w:pPr>
        <w:spacing w:after="0" w:line="94"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As of March 31, 2022, we had 90.9 million tons of proven and probable aggregate reserves and 20.8 million tons of measured and indicated aggregate resources, exclusive of aggregate reserves. Approximately 12% of our reserves are owned, with the rest covered under leases expiring between 2040 and 2060. We do not consider any of our individual quarries to be material for disclosure purposes. All of our individual locations have at least 25 years of reserves.</w:t>
      </w:r>
    </w:p>
    <w:p>
      <w:pPr>
        <w:spacing w:after="0" w:line="97"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following table sets forth certain information regarding our aggregate facilities as well as aggregate resources, exclusive of aggregate reserves, at March 31, 2022:</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03" w:right="439" w:bottom="1440" w:gutter="0" w:footer="0" w:header="0"/>
          <w:type w:val="continuous"/>
        </w:sectPr>
      </w:pPr>
    </w:p>
    <w:bookmarkStart w:id="15" w:name="page16"/>
    <w:bookmarkEnd w:id="15"/>
    <w:p>
      <w:pPr>
        <w:ind w:left="7800"/>
        <w:spacing w:after="0"/>
        <w:rPr>
          <w:sz w:val="20"/>
          <w:szCs w:val="20"/>
          <w:color w:val="auto"/>
        </w:rPr>
      </w:pPr>
      <w:r>
        <w:rPr>
          <w:rFonts w:ascii="Arial" w:cs="Arial" w:eastAsia="Arial" w:hAnsi="Arial"/>
          <w:sz w:val="16"/>
          <w:szCs w:val="16"/>
          <w:b w:val="1"/>
          <w:bCs w:val="1"/>
          <w:color w:val="auto"/>
        </w:rPr>
        <w:t xml:space="preserve">Aggregate Resources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-6350</wp:posOffset>
            </wp:positionV>
            <wp:extent cx="3240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Estimated Annual</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3"/>
          </w:tcPr>
          <w:p>
            <w:pPr>
              <w:jc w:val="right"/>
              <w:ind w:right="709"/>
              <w:spacing w:after="0"/>
              <w:rPr>
                <w:sz w:val="20"/>
                <w:szCs w:val="20"/>
                <w:color w:val="auto"/>
              </w:rPr>
            </w:pPr>
            <w:r>
              <w:rPr>
                <w:rFonts w:ascii="Arial" w:cs="Arial" w:eastAsia="Arial" w:hAnsi="Arial"/>
                <w:sz w:val="13"/>
                <w:szCs w:val="13"/>
                <w:color w:val="auto"/>
              </w:rPr>
              <w:t>(tons in thousands)</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Types</w:t>
            </w:r>
          </w:p>
        </w:tc>
        <w:tc>
          <w:tcPr>
            <w:tcW w:w="1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Measured &amp;</w:t>
            </w: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18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18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Production Capacity</w:t>
            </w:r>
          </w:p>
        </w:tc>
        <w:tc>
          <w:tcPr>
            <w:tcW w:w="10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Measured</w:t>
            </w:r>
          </w:p>
        </w:tc>
        <w:tc>
          <w:tcPr>
            <w:tcW w:w="8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Indicated</w:t>
            </w: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Inferred</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00AAC6"/>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Borders>
              <w:bottom w:val="single" w:sz="8" w:color="00AAC6"/>
            </w:tcBorders>
          </w:tcPr>
          <w:p>
            <w:pPr>
              <w:ind w:left="20"/>
              <w:spacing w:after="0"/>
              <w:rPr>
                <w:sz w:val="20"/>
                <w:szCs w:val="20"/>
                <w:color w:val="auto"/>
              </w:rPr>
            </w:pPr>
            <w:r>
              <w:rPr>
                <w:rFonts w:ascii="Arial" w:cs="Arial" w:eastAsia="Arial" w:hAnsi="Arial"/>
                <w:sz w:val="13"/>
                <w:szCs w:val="13"/>
                <w:b w:val="1"/>
                <w:bCs w:val="1"/>
                <w:color w:val="auto"/>
              </w:rPr>
              <w:t>of Aggregates</w:t>
            </w:r>
          </w:p>
        </w:tc>
        <w:tc>
          <w:tcPr>
            <w:tcW w:w="184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(Thousand tons)</w:t>
            </w:r>
          </w:p>
        </w:tc>
        <w:tc>
          <w:tcPr>
            <w:tcW w:w="100" w:type="dxa"/>
            <w:vAlign w:val="bottom"/>
          </w:tcPr>
          <w:p>
            <w:pPr>
              <w:spacing w:after="0"/>
              <w:rPr>
                <w:sz w:val="15"/>
                <w:szCs w:val="15"/>
                <w:color w:val="auto"/>
              </w:rPr>
            </w:pPr>
          </w:p>
        </w:tc>
        <w:tc>
          <w:tcPr>
            <w:tcW w:w="1220" w:type="dxa"/>
            <w:vAlign w:val="bottom"/>
            <w:tcBorders>
              <w:bottom w:val="single" w:sz="8" w:color="00AAC6"/>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00AAC6"/>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Indicated</w:t>
            </w:r>
          </w:p>
        </w:tc>
        <w:tc>
          <w:tcPr>
            <w:tcW w:w="80" w:type="dxa"/>
            <w:vAlign w:val="bottom"/>
          </w:tcPr>
          <w:p>
            <w:pPr>
              <w:spacing w:after="0"/>
              <w:rPr>
                <w:sz w:val="15"/>
                <w:szCs w:val="15"/>
                <w:color w:val="auto"/>
              </w:rPr>
            </w:pPr>
          </w:p>
        </w:tc>
        <w:tc>
          <w:tcPr>
            <w:tcW w:w="1220" w:type="dxa"/>
            <w:vAlign w:val="bottom"/>
            <w:tcBorders>
              <w:bottom w:val="single" w:sz="8" w:color="00AAC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Central Texas</w:t>
            </w:r>
          </w:p>
        </w:tc>
        <w:tc>
          <w:tcPr>
            <w:tcW w:w="180" w:type="dxa"/>
            <w:vAlign w:val="bottom"/>
            <w:tcBorders>
              <w:bottom w:val="single" w:sz="8" w:color="A6A6A6"/>
            </w:tcBorders>
          </w:tcPr>
          <w:p>
            <w:pPr>
              <w:spacing w:after="0"/>
              <w:rPr>
                <w:sz w:val="16"/>
                <w:szCs w:val="16"/>
                <w:color w:val="auto"/>
              </w:rPr>
            </w:pPr>
          </w:p>
        </w:tc>
        <w:tc>
          <w:tcPr>
            <w:tcW w:w="206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Limestone and Gravel</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2,500</w:t>
            </w:r>
          </w:p>
        </w:tc>
        <w:tc>
          <w:tcPr>
            <w:tcW w:w="100" w:type="dxa"/>
            <w:vAlign w:val="bottom"/>
          </w:tcPr>
          <w:p>
            <w:pPr>
              <w:spacing w:after="0"/>
              <w:rPr>
                <w:sz w:val="16"/>
                <w:szCs w:val="16"/>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74,700</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(2)</w:t>
            </w:r>
          </w:p>
        </w:tc>
        <w:tc>
          <w:tcPr>
            <w:tcW w:w="180" w:type="dxa"/>
            <w:vAlign w:val="bottom"/>
            <w:tcBorders>
              <w:bottom w:val="single" w:sz="8" w:color="A6A6A6"/>
            </w:tcBorders>
          </w:tcPr>
          <w:p>
            <w:pPr>
              <w:spacing w:after="0"/>
              <w:rPr>
                <w:sz w:val="15"/>
                <w:szCs w:val="15"/>
                <w:color w:val="auto"/>
              </w:rPr>
            </w:pPr>
          </w:p>
        </w:tc>
        <w:tc>
          <w:tcPr>
            <w:tcW w:w="2060" w:type="dxa"/>
            <w:vAlign w:val="bottom"/>
            <w:tcBorders>
              <w:bottom w:val="single" w:sz="8" w:color="A6A6A6"/>
            </w:tcBorders>
          </w:tcPr>
          <w:p>
            <w:pPr>
              <w:ind w:left="20"/>
              <w:spacing w:after="0"/>
              <w:rPr>
                <w:sz w:val="20"/>
                <w:szCs w:val="20"/>
                <w:color w:val="auto"/>
              </w:rPr>
            </w:pPr>
            <w:r>
              <w:rPr>
                <w:rFonts w:ascii="Arial" w:cs="Arial" w:eastAsia="Arial" w:hAnsi="Arial"/>
                <w:sz w:val="15"/>
                <w:szCs w:val="15"/>
                <w:color w:val="auto"/>
              </w:rPr>
              <w:t>Limestone</w:t>
            </w:r>
          </w:p>
        </w:tc>
        <w:tc>
          <w:tcPr>
            <w:tcW w:w="18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183"/>
        </w:trPr>
        <w:tc>
          <w:tcPr>
            <w:tcW w:w="1880" w:type="dxa"/>
            <w:vAlign w:val="bottom"/>
          </w:tcPr>
          <w:p>
            <w:pPr>
              <w:ind w:left="20"/>
              <w:spacing w:after="0" w:line="183" w:lineRule="exact"/>
              <w:rPr>
                <w:sz w:val="20"/>
                <w:szCs w:val="20"/>
                <w:color w:val="auto"/>
              </w:rPr>
            </w:pPr>
            <w:r>
              <w:rPr>
                <w:rFonts w:ascii="Arial" w:cs="Arial" w:eastAsia="Arial" w:hAnsi="Arial"/>
                <w:sz w:val="16"/>
                <w:szCs w:val="16"/>
                <w:b w:val="1"/>
                <w:bCs w:val="1"/>
                <w:color w:val="00AAC6"/>
              </w:rPr>
              <w:t>Northern Nevada</w:t>
            </w:r>
          </w:p>
        </w:tc>
        <w:tc>
          <w:tcPr>
            <w:tcW w:w="180" w:type="dxa"/>
            <w:vAlign w:val="bottom"/>
          </w:tcPr>
          <w:p>
            <w:pPr>
              <w:spacing w:after="0"/>
              <w:rPr>
                <w:sz w:val="15"/>
                <w:szCs w:val="15"/>
                <w:color w:val="auto"/>
              </w:rPr>
            </w:pPr>
          </w:p>
        </w:tc>
        <w:tc>
          <w:tcPr>
            <w:tcW w:w="2060" w:type="dxa"/>
            <w:vAlign w:val="bottom"/>
          </w:tcPr>
          <w:p>
            <w:pPr>
              <w:ind w:left="20"/>
              <w:spacing w:after="0"/>
              <w:rPr>
                <w:sz w:val="20"/>
                <w:szCs w:val="20"/>
                <w:color w:val="auto"/>
              </w:rPr>
            </w:pPr>
            <w:r>
              <w:rPr>
                <w:rFonts w:ascii="Arial" w:cs="Arial" w:eastAsia="Arial" w:hAnsi="Arial"/>
                <w:sz w:val="15"/>
                <w:szCs w:val="15"/>
                <w:color w:val="auto"/>
              </w:rPr>
              <w:t>Sand and Gravel</w:t>
            </w:r>
          </w:p>
        </w:tc>
        <w:tc>
          <w:tcPr>
            <w:tcW w:w="1840" w:type="dxa"/>
            <w:vAlign w:val="bottom"/>
          </w:tcPr>
          <w:p>
            <w:pPr>
              <w:jc w:val="right"/>
              <w:spacing w:after="0"/>
              <w:rPr>
                <w:sz w:val="20"/>
                <w:szCs w:val="20"/>
                <w:color w:val="auto"/>
              </w:rPr>
            </w:pPr>
            <w:r>
              <w:rPr>
                <w:rFonts w:ascii="Arial" w:cs="Arial" w:eastAsia="Arial" w:hAnsi="Arial"/>
                <w:sz w:val="15"/>
                <w:szCs w:val="15"/>
                <w:color w:val="auto"/>
              </w:rPr>
              <w:t>650</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15,000</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5,800</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20,800</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16,800</w:t>
            </w:r>
          </w:p>
        </w:tc>
        <w:tc>
          <w:tcPr>
            <w:tcW w:w="0" w:type="dxa"/>
            <w:vAlign w:val="bottom"/>
          </w:tcPr>
          <w:p>
            <w:pPr>
              <w:spacing w:after="0"/>
              <w:rPr>
                <w:sz w:val="1"/>
                <w:szCs w:val="1"/>
                <w:color w:val="auto"/>
              </w:rPr>
            </w:pPr>
          </w:p>
        </w:tc>
      </w:tr>
      <w:tr>
        <w:trPr>
          <w:trHeight w:val="169"/>
        </w:trPr>
        <w:tc>
          <w:tcPr>
            <w:tcW w:w="1880" w:type="dxa"/>
            <w:vAlign w:val="bottom"/>
            <w:tcBorders>
              <w:top w:val="single" w:sz="8" w:color="A6A6A6"/>
            </w:tcBorders>
          </w:tcPr>
          <w:p>
            <w:pPr>
              <w:spacing w:after="0"/>
              <w:rPr>
                <w:sz w:val="14"/>
                <w:szCs w:val="14"/>
                <w:color w:val="auto"/>
              </w:rPr>
            </w:pPr>
          </w:p>
        </w:tc>
        <w:tc>
          <w:tcPr>
            <w:tcW w:w="180" w:type="dxa"/>
            <w:vAlign w:val="bottom"/>
            <w:tcBorders>
              <w:top w:val="single" w:sz="8" w:color="A6A6A6"/>
            </w:tcBorders>
          </w:tcPr>
          <w:p>
            <w:pPr>
              <w:spacing w:after="0"/>
              <w:rPr>
                <w:sz w:val="14"/>
                <w:szCs w:val="14"/>
                <w:color w:val="auto"/>
              </w:rPr>
            </w:pPr>
          </w:p>
        </w:tc>
        <w:tc>
          <w:tcPr>
            <w:tcW w:w="2060" w:type="dxa"/>
            <w:vAlign w:val="bottom"/>
            <w:tcBorders>
              <w:top w:val="single" w:sz="8" w:color="A6A6A6"/>
            </w:tcBorders>
          </w:tcPr>
          <w:p>
            <w:pPr>
              <w:spacing w:after="0"/>
              <w:rPr>
                <w:sz w:val="14"/>
                <w:szCs w:val="14"/>
                <w:color w:val="auto"/>
              </w:rPr>
            </w:pPr>
          </w:p>
        </w:tc>
        <w:tc>
          <w:tcPr>
            <w:tcW w:w="1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3,150</w:t>
            </w: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15,000</w:t>
            </w:r>
          </w:p>
        </w:tc>
        <w:tc>
          <w:tcPr>
            <w:tcW w:w="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5,800</w:t>
            </w:r>
          </w:p>
        </w:tc>
        <w:tc>
          <w:tcPr>
            <w:tcW w:w="8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20,800</w:t>
            </w:r>
          </w:p>
        </w:tc>
        <w:tc>
          <w:tcPr>
            <w:tcW w:w="8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116,500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Aggregate resources are reported on an in situ basis.</w:t>
      </w:r>
    </w:p>
    <w:p>
      <w:pPr>
        <w:ind w:left="160" w:hanging="152"/>
        <w:spacing w:after="0" w:line="199"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Company is currently not operating its aggregate facility in the Kansas City area.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aggregate reserves at March 31, 2022:</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 xml:space="preserve">Aggregate Reserves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-6350</wp:posOffset>
            </wp:positionV>
            <wp:extent cx="52635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right"/>
              <w:ind w:right="690"/>
              <w:spacing w:after="0"/>
              <w:rPr>
                <w:sz w:val="20"/>
                <w:szCs w:val="20"/>
                <w:color w:val="auto"/>
              </w:rPr>
            </w:pPr>
            <w:r>
              <w:rPr>
                <w:rFonts w:ascii="Arial" w:cs="Arial" w:eastAsia="Arial" w:hAnsi="Arial"/>
                <w:sz w:val="13"/>
                <w:szCs w:val="13"/>
                <w:color w:val="auto"/>
                <w:w w:val="86"/>
              </w:rPr>
              <w:t>(tons in thousands)</w:t>
            </w:r>
          </w:p>
        </w:tc>
        <w:tc>
          <w:tcPr>
            <w:tcW w:w="80" w:type="dxa"/>
            <w:vAlign w:val="bottom"/>
          </w:tcPr>
          <w:p>
            <w:pPr>
              <w:spacing w:after="0"/>
              <w:rPr>
                <w:sz w:val="13"/>
                <w:szCs w:val="13"/>
                <w:color w:val="auto"/>
              </w:rPr>
            </w:pPr>
          </w:p>
        </w:tc>
        <w:tc>
          <w:tcPr>
            <w:tcW w:w="2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Fiscal 2022</w:t>
            </w:r>
          </w:p>
        </w:tc>
        <w:tc>
          <w:tcPr>
            <w:tcW w:w="0" w:type="dxa"/>
            <w:vAlign w:val="bottom"/>
          </w:tcPr>
          <w:p>
            <w:pPr>
              <w:spacing w:after="0"/>
              <w:rPr>
                <w:sz w:val="1"/>
                <w:szCs w:val="1"/>
                <w:color w:val="auto"/>
              </w:rPr>
            </w:pPr>
          </w:p>
        </w:tc>
      </w:tr>
      <w:tr>
        <w:trPr>
          <w:trHeight w:val="108"/>
        </w:trPr>
        <w:tc>
          <w:tcPr>
            <w:tcW w:w="2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240" w:type="dxa"/>
            <w:vAlign w:val="bottom"/>
          </w:tcPr>
          <w:p>
            <w:pPr>
              <w:spacing w:after="0"/>
              <w:rPr>
                <w:sz w:val="9"/>
                <w:szCs w:val="9"/>
                <w:color w:val="auto"/>
              </w:rPr>
            </w:pPr>
          </w:p>
        </w:tc>
        <w:tc>
          <w:tcPr>
            <w:tcW w:w="1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Proven</w:t>
            </w:r>
          </w:p>
        </w:tc>
        <w:tc>
          <w:tcPr>
            <w:tcW w:w="100" w:type="dxa"/>
            <w:vAlign w:val="bottom"/>
          </w:tcPr>
          <w:p>
            <w:pPr>
              <w:spacing w:after="0"/>
              <w:rPr>
                <w:sz w:val="9"/>
                <w:szCs w:val="9"/>
                <w:color w:val="auto"/>
              </w:rPr>
            </w:pPr>
          </w:p>
        </w:tc>
        <w:tc>
          <w:tcPr>
            <w:tcW w:w="1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Probable</w:t>
            </w:r>
          </w:p>
        </w:tc>
        <w:tc>
          <w:tcPr>
            <w:tcW w:w="80" w:type="dxa"/>
            <w:vAlign w:val="bottom"/>
          </w:tcPr>
          <w:p>
            <w:pPr>
              <w:spacing w:after="0"/>
              <w:rPr>
                <w:sz w:val="9"/>
                <w:szCs w:val="9"/>
                <w:color w:val="auto"/>
              </w:rPr>
            </w:pPr>
          </w:p>
        </w:tc>
        <w:tc>
          <w:tcPr>
            <w:tcW w:w="174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Total Proven &amp; Probable</w:t>
            </w:r>
          </w:p>
        </w:tc>
        <w:tc>
          <w:tcPr>
            <w:tcW w:w="8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620" w:type="dxa"/>
            <w:vAlign w:val="bottom"/>
            <w:tcBorders>
              <w:bottom w:val="single" w:sz="8" w:color="00AAC6"/>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Borders>
              <w:bottom w:val="single" w:sz="8" w:color="00AAC6"/>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bottom w:val="single" w:sz="8" w:color="00AAC6"/>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bottom w:val="single" w:sz="8" w:color="00AAC6"/>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tcBorders>
              <w:bottom w:val="single" w:sz="8" w:color="00AAC6"/>
            </w:tcBorders>
          </w:tcPr>
          <w:p>
            <w:pPr>
              <w:jc w:val="right"/>
              <w:spacing w:after="0"/>
              <w:rPr>
                <w:sz w:val="20"/>
                <w:szCs w:val="20"/>
                <w:color w:val="auto"/>
              </w:rPr>
            </w:pPr>
            <w:r>
              <w:rPr>
                <w:rFonts w:ascii="Arial" w:cs="Arial" w:eastAsia="Arial" w:hAnsi="Arial"/>
                <w:sz w:val="13"/>
                <w:szCs w:val="13"/>
                <w:b w:val="1"/>
                <w:bCs w:val="1"/>
                <w:color w:val="auto"/>
              </w:rPr>
              <w:t>Tons Mined</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6"/>
                <w:szCs w:val="16"/>
                <w:b w:val="1"/>
                <w:bCs w:val="1"/>
                <w:color w:val="00AAC6"/>
              </w:rPr>
              <w:t>Central Texas</w:t>
            </w:r>
          </w:p>
        </w:tc>
        <w:tc>
          <w:tcPr>
            <w:tcW w:w="2000" w:type="dxa"/>
            <w:vAlign w:val="bottom"/>
            <w:gridSpan w:val="2"/>
          </w:tcPr>
          <w:p>
            <w:pPr>
              <w:jc w:val="right"/>
              <w:spacing w:after="0"/>
              <w:rPr>
                <w:sz w:val="20"/>
                <w:szCs w:val="20"/>
                <w:color w:val="auto"/>
              </w:rPr>
            </w:pPr>
            <w:r>
              <w:rPr>
                <w:rFonts w:ascii="Arial" w:cs="Arial" w:eastAsia="Arial" w:hAnsi="Arial"/>
                <w:sz w:val="15"/>
                <w:szCs w:val="15"/>
                <w:color w:val="auto"/>
              </w:rPr>
              <w:t>61,500</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61,500</w:t>
            </w:r>
          </w:p>
        </w:tc>
        <w:tc>
          <w:tcPr>
            <w:tcW w:w="2900" w:type="dxa"/>
            <w:vAlign w:val="bottom"/>
            <w:gridSpan w:val="2"/>
          </w:tcPr>
          <w:p>
            <w:pPr>
              <w:jc w:val="right"/>
              <w:spacing w:after="0"/>
              <w:rPr>
                <w:sz w:val="20"/>
                <w:szCs w:val="20"/>
                <w:color w:val="auto"/>
              </w:rPr>
            </w:pPr>
            <w:r>
              <w:rPr>
                <w:rFonts w:ascii="Arial" w:cs="Arial" w:eastAsia="Arial" w:hAnsi="Arial"/>
                <w:sz w:val="15"/>
                <w:szCs w:val="15"/>
                <w:color w:val="auto"/>
              </w:rPr>
              <w:t>1,815</w:t>
            </w:r>
          </w:p>
        </w:tc>
        <w:tc>
          <w:tcPr>
            <w:tcW w:w="0" w:type="dxa"/>
            <w:vAlign w:val="bottom"/>
          </w:tcPr>
          <w:p>
            <w:pPr>
              <w:spacing w:after="0"/>
              <w:rPr>
                <w:sz w:val="1"/>
                <w:szCs w:val="1"/>
                <w:color w:val="auto"/>
              </w:rPr>
            </w:pPr>
          </w:p>
        </w:tc>
      </w:tr>
      <w:tr>
        <w:trPr>
          <w:trHeight w:val="183"/>
        </w:trPr>
        <w:tc>
          <w:tcPr>
            <w:tcW w:w="262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(2)</w:t>
            </w:r>
          </w:p>
        </w:tc>
        <w:tc>
          <w:tcPr>
            <w:tcW w:w="240" w:type="dxa"/>
            <w:vAlign w:val="bottom"/>
            <w:tcBorders>
              <w:top w:val="single" w:sz="8" w:color="A6A6A6"/>
              <w:bottom w:val="single" w:sz="8" w:color="A6A6A6"/>
            </w:tcBorders>
          </w:tcPr>
          <w:p>
            <w:pPr>
              <w:spacing w:after="0"/>
              <w:rPr>
                <w:sz w:val="15"/>
                <w:szCs w:val="15"/>
                <w:color w:val="auto"/>
              </w:rPr>
            </w:pPr>
          </w:p>
        </w:tc>
        <w:tc>
          <w:tcPr>
            <w:tcW w:w="1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7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line="183" w:lineRule="exact"/>
              <w:rPr>
                <w:sz w:val="20"/>
                <w:szCs w:val="20"/>
                <w:color w:val="auto"/>
              </w:rPr>
            </w:pPr>
            <w:r>
              <w:rPr>
                <w:rFonts w:ascii="Arial" w:cs="Arial" w:eastAsia="Arial" w:hAnsi="Arial"/>
                <w:sz w:val="16"/>
                <w:szCs w:val="16"/>
                <w:b w:val="1"/>
                <w:bCs w:val="1"/>
                <w:color w:val="00AAC6"/>
              </w:rPr>
              <w:t>Northern Nevada</w:t>
            </w:r>
          </w:p>
        </w:tc>
        <w:tc>
          <w:tcPr>
            <w:tcW w:w="2000" w:type="dxa"/>
            <w:vAlign w:val="bottom"/>
            <w:gridSpan w:val="2"/>
          </w:tcPr>
          <w:p>
            <w:pPr>
              <w:jc w:val="right"/>
              <w:spacing w:after="0"/>
              <w:rPr>
                <w:sz w:val="20"/>
                <w:szCs w:val="20"/>
                <w:color w:val="auto"/>
              </w:rPr>
            </w:pPr>
            <w:r>
              <w:rPr>
                <w:rFonts w:ascii="Arial" w:cs="Arial" w:eastAsia="Arial" w:hAnsi="Arial"/>
                <w:sz w:val="15"/>
                <w:szCs w:val="15"/>
                <w:color w:val="auto"/>
              </w:rPr>
              <w:t>25,500</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3,900</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29,400</w:t>
            </w:r>
          </w:p>
        </w:tc>
        <w:tc>
          <w:tcPr>
            <w:tcW w:w="2900" w:type="dxa"/>
            <w:vAlign w:val="bottom"/>
            <w:gridSpan w:val="2"/>
          </w:tcPr>
          <w:p>
            <w:pPr>
              <w:jc w:val="right"/>
              <w:spacing w:after="0"/>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169"/>
        </w:trPr>
        <w:tc>
          <w:tcPr>
            <w:tcW w:w="2620" w:type="dxa"/>
            <w:vAlign w:val="bottom"/>
            <w:tcBorders>
              <w:top w:val="single" w:sz="8" w:color="A6A6A6"/>
            </w:tcBorders>
          </w:tcPr>
          <w:p>
            <w:pPr>
              <w:spacing w:after="0"/>
              <w:rPr>
                <w:sz w:val="14"/>
                <w:szCs w:val="14"/>
                <w:color w:val="auto"/>
              </w:rPr>
            </w:pPr>
          </w:p>
        </w:tc>
        <w:tc>
          <w:tcPr>
            <w:tcW w:w="240" w:type="dxa"/>
            <w:vAlign w:val="bottom"/>
            <w:tcBorders>
              <w:top w:val="single" w:sz="8" w:color="A6A6A6"/>
            </w:tcBorders>
          </w:tcPr>
          <w:p>
            <w:pPr>
              <w:spacing w:after="0"/>
              <w:rPr>
                <w:sz w:val="14"/>
                <w:szCs w:val="14"/>
                <w:color w:val="auto"/>
              </w:rPr>
            </w:pPr>
          </w:p>
        </w:tc>
        <w:tc>
          <w:tcPr>
            <w:tcW w:w="1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87,000</w:t>
            </w:r>
          </w:p>
        </w:tc>
        <w:tc>
          <w:tcPr>
            <w:tcW w:w="100" w:type="dxa"/>
            <w:vAlign w:val="bottom"/>
          </w:tcPr>
          <w:p>
            <w:pPr>
              <w:spacing w:after="0"/>
              <w:rPr>
                <w:sz w:val="14"/>
                <w:szCs w:val="14"/>
                <w:color w:val="auto"/>
              </w:rPr>
            </w:pPr>
          </w:p>
        </w:tc>
        <w:tc>
          <w:tcPr>
            <w:tcW w:w="1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3,900</w:t>
            </w:r>
          </w:p>
        </w:tc>
        <w:tc>
          <w:tcPr>
            <w:tcW w:w="80" w:type="dxa"/>
            <w:vAlign w:val="bottom"/>
          </w:tcPr>
          <w:p>
            <w:pPr>
              <w:spacing w:after="0"/>
              <w:rPr>
                <w:sz w:val="14"/>
                <w:szCs w:val="14"/>
                <w:color w:val="auto"/>
              </w:rPr>
            </w:pPr>
          </w:p>
        </w:tc>
        <w:tc>
          <w:tcPr>
            <w:tcW w:w="1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90,900</w:t>
            </w:r>
          </w:p>
        </w:tc>
        <w:tc>
          <w:tcPr>
            <w:tcW w:w="80" w:type="dxa"/>
            <w:vAlign w:val="bottom"/>
          </w:tcPr>
          <w:p>
            <w:pPr>
              <w:spacing w:after="0"/>
              <w:rPr>
                <w:sz w:val="14"/>
                <w:szCs w:val="14"/>
                <w:color w:val="auto"/>
              </w:rPr>
            </w:pPr>
          </w:p>
        </w:tc>
        <w:tc>
          <w:tcPr>
            <w:tcW w:w="2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2,515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Aggregate reserves are reported on saleable product basis.</w:t>
      </w:r>
    </w:p>
    <w:p>
      <w:pPr>
        <w:ind w:left="160" w:hanging="152"/>
        <w:spacing w:after="0" w:line="199"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Company is currently not operating its aggregate facility in the Kansas City area.</w:t>
      </w:r>
    </w:p>
    <w:p>
      <w:pPr>
        <w:spacing w:after="0" w:line="106"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The internal controls over our resource and reserve estimates have been compiled similar to those in our cement business. See page 7 for a more detailed description of our internal controls over resource and reserve estimation.</w:t>
      </w:r>
    </w:p>
    <w:p>
      <w:pPr>
        <w:spacing w:after="0" w:line="89"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Our total net aggregates sales (excluding intercompany tons sold) were 1.5 million tons in fiscal 2022 and 2.0 million tons in fiscal 2021. The amount sold in fiscal 2021 excludes sales by Western Aggregates, which was sold in April 2020. Total aggregates production was 2.5 million tons in both fiscal years 2022 and 2021, and 3.3 million tons in fiscal 2020. The decline in aggregates sales in fiscal 2022 was primarily due to lower sales in the Central Texas region because of delays in several infrastructure projects. The decline in aggregate production from fiscal 2020 to fiscal 2021 was primarily due to the sale of our aggregates business in northern California in April 2020. A portion of our total aggregates production is used internally by our readymix concrete operations in Texas and northern Nevada.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Demand, Sales, and Distribution</w:t>
      </w:r>
    </w:p>
    <w:p>
      <w:pPr>
        <w:spacing w:after="0" w:line="166"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Demand for readymix concrete and aggregates largely depends on local levels of construction activity. Construction activity is also subject to weather conditions, the availability of financing at reasonable rates, and overall fluctuations in local economies, and therefore tends to be cyclical. We sell readymix concrete to numerous contractors and other customers in each plant’s marketing area. Our batch plants in Central Texas, the greater Kansas City area, and northern Nevada are strategically located to serve each marketing area. Concrete is delivered from the batch plants primarily by company-owned trucks. We sell aggregates to building contractors and other customers engaged in a wide variety of construction activities. Aggregates are delivered from our plants by common carriers and customer pickup. No single customer accounted for more than 10% of fiscal 2022 segment revenue.</w:t>
      </w:r>
    </w:p>
    <w:p>
      <w:pPr>
        <w:spacing w:after="0" w:line="101" w:lineRule="exact"/>
        <w:rPr>
          <w:sz w:val="20"/>
          <w:szCs w:val="20"/>
          <w:color w:val="auto"/>
        </w:rPr>
      </w:pPr>
    </w:p>
    <w:p>
      <w:pPr>
        <w:jc w:val="both"/>
        <w:ind w:right="280"/>
        <w:spacing w:after="0" w:line="287" w:lineRule="auto"/>
        <w:rPr>
          <w:sz w:val="20"/>
          <w:szCs w:val="20"/>
          <w:color w:val="auto"/>
        </w:rPr>
      </w:pPr>
      <w:r>
        <w:rPr>
          <w:rFonts w:ascii="Arial" w:cs="Arial" w:eastAsia="Arial" w:hAnsi="Arial"/>
          <w:sz w:val="18"/>
          <w:szCs w:val="18"/>
          <w:color w:val="auto"/>
        </w:rPr>
        <w:t>The concrete and aggregates industry is highly fragmented, with numerous participants operating in each local area. Because the cost of transporting concrete and aggregates is very high relative to product values, producers of concrete and aggregates typically can profitably sell their products only in areas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right="680"/>
        <w:spacing w:after="0" w:line="293" w:lineRule="auto"/>
        <w:rPr>
          <w:sz w:val="20"/>
          <w:szCs w:val="20"/>
          <w:color w:val="auto"/>
        </w:rPr>
      </w:pPr>
      <w:r>
        <w:rPr>
          <w:rFonts w:ascii="Arial" w:cs="Arial" w:eastAsia="Arial" w:hAnsi="Arial"/>
          <w:sz w:val="18"/>
          <w:szCs w:val="18"/>
          <w:color w:val="auto"/>
        </w:rPr>
        <w:t>within 50 miles of their production facilities. Barriers to entry in each industry are low, except with respect to environmental permitting requirements for new aggregates production facilities and zoning of land to permit mining and extraction of aggregates.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Raw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obtain cement and aggregates for our concrete businesses from related companies, including our Joint Venture, as outlined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5460" w:type="dxa"/>
            <w:vAlign w:val="bottom"/>
            <w:gridSpan w:val="3"/>
          </w:tcPr>
          <w:p>
            <w:pPr>
              <w:ind w:left="3460"/>
              <w:spacing w:after="0"/>
              <w:rPr>
                <w:sz w:val="20"/>
                <w:szCs w:val="20"/>
                <w:color w:val="auto"/>
              </w:rPr>
            </w:pPr>
            <w:r>
              <w:rPr>
                <w:rFonts w:ascii="Arial" w:cs="Arial" w:eastAsia="Arial" w:hAnsi="Arial"/>
                <w:sz w:val="13"/>
                <w:szCs w:val="13"/>
                <w:b w:val="1"/>
                <w:bCs w:val="1"/>
                <w:color w:val="auto"/>
                <w:w w:val="96"/>
              </w:rPr>
              <w:t>Percentage of Internally Supplied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4700" w:type="dxa"/>
            <w:vAlign w:val="bottom"/>
          </w:tcPr>
          <w:p>
            <w:pPr>
              <w:ind w:left="20"/>
              <w:spacing w:after="0"/>
              <w:rPr>
                <w:sz w:val="20"/>
                <w:szCs w:val="20"/>
                <w:color w:val="auto"/>
              </w:rPr>
            </w:pPr>
            <w:r>
              <w:rPr>
                <w:rFonts w:ascii="Arial" w:cs="Arial" w:eastAsia="Arial" w:hAnsi="Arial"/>
                <w:sz w:val="13"/>
                <w:szCs w:val="13"/>
                <w:b w:val="1"/>
                <w:bCs w:val="1"/>
                <w:color w:val="auto"/>
              </w:rPr>
              <w:t>Location</w:t>
            </w:r>
          </w:p>
        </w:tc>
        <w:tc>
          <w:tcPr>
            <w:tcW w:w="5460" w:type="dxa"/>
            <w:vAlign w:val="bottom"/>
            <w:gridSpan w:val="3"/>
          </w:tcPr>
          <w:p>
            <w:pPr>
              <w:ind w:left="3700"/>
              <w:spacing w:after="0"/>
              <w:rPr>
                <w:sz w:val="20"/>
                <w:szCs w:val="20"/>
                <w:color w:val="auto"/>
              </w:rPr>
            </w:pPr>
            <w:r>
              <w:rPr>
                <w:rFonts w:ascii="Arial" w:cs="Arial" w:eastAsia="Arial" w:hAnsi="Arial"/>
                <w:sz w:val="13"/>
                <w:szCs w:val="13"/>
                <w:b w:val="1"/>
                <w:bCs w:val="1"/>
                <w:color w:val="auto"/>
              </w:rPr>
              <w:t>Cement</w:t>
            </w:r>
          </w:p>
        </w:tc>
        <w:tc>
          <w:tcPr>
            <w:tcW w:w="980" w:type="dxa"/>
            <w:vAlign w:val="bottom"/>
            <w:gridSpan w:val="2"/>
          </w:tcPr>
          <w:p>
            <w:pPr>
              <w:jc w:val="right"/>
              <w:ind w:right="79"/>
              <w:spacing w:after="0"/>
              <w:rPr>
                <w:sz w:val="20"/>
                <w:szCs w:val="20"/>
                <w:color w:val="auto"/>
              </w:rPr>
            </w:pPr>
            <w:r>
              <w:rPr>
                <w:rFonts w:ascii="Arial" w:cs="Arial" w:eastAsia="Arial" w:hAnsi="Arial"/>
                <w:sz w:val="13"/>
                <w:szCs w:val="13"/>
                <w:b w:val="1"/>
                <w:bCs w:val="1"/>
                <w:color w:val="auto"/>
              </w:rPr>
              <w:t>Aggregates</w:t>
            </w:r>
          </w:p>
        </w:tc>
      </w:tr>
      <w:tr>
        <w:trPr>
          <w:trHeight w:val="189"/>
        </w:trPr>
        <w:tc>
          <w:tcPr>
            <w:tcW w:w="4700" w:type="dxa"/>
            <w:vAlign w:val="bottom"/>
            <w:tcBorders>
              <w:top w:val="single" w:sz="8" w:color="00AAC6"/>
              <w:bottom w:val="single" w:sz="8" w:color="A6A6A6"/>
            </w:tcBorders>
          </w:tcPr>
          <w:p>
            <w:pPr>
              <w:ind w:left="20"/>
              <w:spacing w:after="0"/>
              <w:rPr>
                <w:sz w:val="20"/>
                <w:szCs w:val="20"/>
                <w:color w:val="auto"/>
              </w:rPr>
            </w:pPr>
            <w:r>
              <w:rPr>
                <w:rFonts w:ascii="Arial" w:cs="Arial" w:eastAsia="Arial" w:hAnsi="Arial"/>
                <w:sz w:val="16"/>
                <w:szCs w:val="16"/>
                <w:b w:val="1"/>
                <w:bCs w:val="1"/>
                <w:color w:val="00AAC6"/>
              </w:rPr>
              <w:t>Central Texas</w:t>
            </w:r>
          </w:p>
        </w:tc>
        <w:tc>
          <w:tcPr>
            <w:tcW w:w="4140" w:type="dxa"/>
            <w:vAlign w:val="bottom"/>
            <w:tcBorders>
              <w:top w:val="single" w:sz="8" w:color="00AAC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60" w:type="dxa"/>
            <w:vAlign w:val="bottom"/>
            <w:tcBorders>
              <w:top w:val="single" w:sz="8" w:color="00AAC6"/>
              <w:bottom w:val="single" w:sz="8" w:color="A6A6A6"/>
            </w:tcBorders>
          </w:tcPr>
          <w:p>
            <w:pPr>
              <w:spacing w:after="0"/>
              <w:rPr>
                <w:sz w:val="16"/>
                <w:szCs w:val="16"/>
                <w:color w:val="auto"/>
              </w:rPr>
            </w:pPr>
          </w:p>
        </w:tc>
        <w:tc>
          <w:tcPr>
            <w:tcW w:w="820" w:type="dxa"/>
            <w:vAlign w:val="bottom"/>
            <w:tcBorders>
              <w:top w:val="single" w:sz="8" w:color="00AAC6"/>
              <w:bottom w:val="single" w:sz="8" w:color="A6A6A6"/>
            </w:tcBorders>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183"/>
        </w:trPr>
        <w:tc>
          <w:tcPr>
            <w:tcW w:w="4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AAC6"/>
              </w:rPr>
              <w:t>Kansas City Area</w:t>
            </w:r>
          </w:p>
        </w:tc>
        <w:tc>
          <w:tcPr>
            <w:tcW w:w="4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w:t>
            </w:r>
          </w:p>
        </w:tc>
        <w:tc>
          <w:tcPr>
            <w:tcW w:w="26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4"/>
              </w:rPr>
              <w:t>%</w:t>
            </w:r>
          </w:p>
        </w:tc>
        <w:tc>
          <w:tcPr>
            <w:tcW w:w="10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r>
      <w:tr>
        <w:trPr>
          <w:trHeight w:val="183"/>
        </w:trPr>
        <w:tc>
          <w:tcPr>
            <w:tcW w:w="47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AAC6"/>
              </w:rPr>
              <w:t>Northern Nevada</w:t>
            </w:r>
          </w:p>
        </w:tc>
        <w:tc>
          <w:tcPr>
            <w:tcW w:w="4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w:t>
            </w:r>
          </w:p>
        </w:tc>
        <w:tc>
          <w:tcPr>
            <w:tcW w:w="26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4"/>
              </w:rPr>
              <w:t>%</w:t>
            </w:r>
          </w:p>
        </w:tc>
        <w:tc>
          <w:tcPr>
            <w:tcW w:w="10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obtain the balance of our cement and aggregates requirements from multiple outside sources in each of these areas.</w:t>
      </w:r>
    </w:p>
    <w:p>
      <w:pPr>
        <w:spacing w:after="0" w:line="144" w:lineRule="exact"/>
        <w:rPr>
          <w:sz w:val="20"/>
          <w:szCs w:val="20"/>
          <w:color w:val="auto"/>
        </w:rPr>
      </w:pPr>
    </w:p>
    <w:p>
      <w:pPr>
        <w:jc w:val="both"/>
        <w:ind w:right="200"/>
        <w:spacing w:after="0" w:line="293" w:lineRule="auto"/>
        <w:rPr>
          <w:sz w:val="20"/>
          <w:szCs w:val="20"/>
          <w:color w:val="auto"/>
        </w:rPr>
      </w:pPr>
      <w:r>
        <w:rPr>
          <w:rFonts w:ascii="Arial" w:cs="Arial" w:eastAsia="Arial" w:hAnsi="Arial"/>
          <w:sz w:val="18"/>
          <w:szCs w:val="18"/>
          <w:color w:val="auto"/>
        </w:rPr>
        <w:t>We mine and extract limestone, sand, and gravel, the principal raw materials used in the production of aggregates, from quarries owned or leased by us and located near our plants. On average, our aggregate reserves exceed 25 years based on normalized production levels.</w:t>
      </w:r>
    </w:p>
    <w:p>
      <w:pPr>
        <w:spacing w:after="0" w:line="8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Cost of materials and diesel fuel are the two biggest expense items for readymix concrete, and they increased by 9% and 20%, respectively, in fiscal 2022 compared with fiscal 2021. We anticipate these costs to increase again in fiscal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AAC6"/>
        </w:rPr>
        <w:t>Environmental Matters</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The concrete and aggregates industry is subject to environmental regulations similar to those governing our Cement operations. (See pages 11-12.)</w:t>
      </w:r>
    </w:p>
    <w:p>
      <w:pPr>
        <w:spacing w:after="0" w:line="89" w:lineRule="exact"/>
        <w:rPr>
          <w:sz w:val="20"/>
          <w:szCs w:val="20"/>
          <w:color w:val="auto"/>
        </w:rPr>
      </w:pPr>
    </w:p>
    <w:p>
      <w:pPr>
        <w:jc w:val="both"/>
        <w:ind w:right="200"/>
        <w:spacing w:after="0" w:line="287" w:lineRule="auto"/>
        <w:rPr>
          <w:sz w:val="20"/>
          <w:szCs w:val="20"/>
          <w:color w:val="auto"/>
        </w:rPr>
      </w:pPr>
      <w:r>
        <w:rPr>
          <w:rFonts w:ascii="Arial" w:cs="Arial" w:eastAsia="Arial" w:hAnsi="Arial"/>
          <w:sz w:val="18"/>
          <w:szCs w:val="18"/>
          <w:color w:val="auto"/>
        </w:rPr>
        <w:t>In fiscal 2022, we had $0.2 million of capital expenditures related to compliance with environmental regulations applicable to our Concrete and Aggregates operations. We do not anticipate any material spending related to compliance with environmental regulations applicable to our Concrete and Aggregates operations during fiscal 2023.</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51632C"/>
        </w:rPr>
        <w:t>Light Materials</w:t>
      </w:r>
    </w:p>
    <w:p>
      <w:pPr>
        <w:spacing w:after="0" w:line="148"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Our Light Materials sector is comprised of the Gypsum Wallboard segment, which produces gypsum wallboard used in residential and commercial buildings, and the Recycled Paperboard segment, which produces paper primarily used in the manufacture of gypsum wallboard. Operations in this sector are concentrated in the Sun Belt of the United States, which we define as the lower half of the United States, but not California, where the population is projected to grow approximately 18% between 2020 and 2050, according to the latest update in April 2022 by Moody’s Analytics. Population growth is a key long-term driver of demand for gypsum wallboard and recycled paperboard.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77943C"/>
        </w:rPr>
        <w:t>GYPSUM WALLBOARD</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Gypsum wallboard is used to finish the interior walls and ceilings in residential, commercial, and industrial structures. Our gypsum wallboard products are marketed under the name American Gypsum.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gypsum wallboard manufacturing process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143510</wp:posOffset>
            </wp:positionV>
            <wp:extent cx="5143500" cy="1783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 Plants, Resources and Reserves</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own and operate five gypsum wallboard plants, outlined in the table below. We anticipate running all of our facilities at the level required to meet customer demand, up to maximum capacity. Our gypsum wallboard is distributed in the geographic markets nearest to our production facilities.</w:t>
      </w:r>
    </w:p>
    <w:p>
      <w:pPr>
        <w:spacing w:after="0" w:line="94"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Four of our five gypsum wallboard plants are supplied with gypsum from our nearby gypsum quarries, while our wallboard plant in South Carolina is supplied with gypsum under a long-term supply contract with a third party. We have adequate access to all of our quarries.</w:t>
      </w:r>
    </w:p>
    <w:p>
      <w:pPr>
        <w:spacing w:after="0" w:line="89"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Mineral resources and mineral reserves for our Gypsum Wallboard business are defined similarly to how these reserves are defined for our Cement business. See page 6 for a more detailed description of how we define mineral resources and reserves.</w:t>
      </w:r>
    </w:p>
    <w:p>
      <w:pPr>
        <w:spacing w:after="0" w:line="8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As of March 31, 2022, we had 62.5 million tons of proven and probable gypsum reserves, and 141.9 million tons of measured and indicated gypsum resources, exclusive of gypsum reserves. Approximately 62% of our reserves are owned, with the rest leased. We do not consider any of our individual quarries to be material for disclosure purposes. We obtained technical reports from a third party QP for each of our locations during fiscal 2022. These technical reports were prepared in accordance with the requirements of the Modernization of Property Disclosures for Mining Registrants set forth in subpart 1300 of Regulation S-K.</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89" w:right="459" w:bottom="1440" w:gutter="0" w:footer="0" w:header="0"/>
        </w:sectPr>
      </w:pPr>
    </w:p>
    <w:bookmarkStart w:id="18" w:name="page19"/>
    <w:bookmarkEnd w:id="18"/>
    <w:p>
      <w:pPr>
        <w:ind w:right="680"/>
        <w:spacing w:after="0" w:line="293" w:lineRule="auto"/>
        <w:rPr>
          <w:sz w:val="20"/>
          <w:szCs w:val="20"/>
          <w:color w:val="auto"/>
        </w:rPr>
      </w:pPr>
      <w:r>
        <w:rPr>
          <w:rFonts w:ascii="Arial" w:cs="Arial" w:eastAsia="Arial" w:hAnsi="Arial"/>
          <w:sz w:val="18"/>
          <w:szCs w:val="18"/>
          <w:color w:val="auto"/>
        </w:rPr>
        <w:t>The following table sets forth certain information regarding our gypsum wallboard plants and gypsum resources, exclusive of gypsum reserves, at March 31, 2022:</w:t>
      </w:r>
    </w:p>
    <w:p>
      <w:pPr>
        <w:spacing w:after="0" w:line="170"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 xml:space="preserve">Gypsum Resources </w:t>
      </w:r>
      <w:r>
        <w:rPr>
          <w:rFonts w:ascii="Arial" w:cs="Arial" w:eastAsia="Arial" w:hAnsi="Arial"/>
          <w:sz w:val="21"/>
          <w:szCs w:val="21"/>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-6350</wp:posOffset>
            </wp:positionV>
            <wp:extent cx="3505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20" w:type="dxa"/>
            <w:vAlign w:val="bottom"/>
          </w:tcPr>
          <w:p>
            <w:pPr>
              <w:spacing w:after="0"/>
              <w:rPr>
                <w:sz w:val="13"/>
                <w:szCs w:val="13"/>
                <w:color w:val="auto"/>
              </w:rPr>
            </w:pPr>
          </w:p>
        </w:tc>
        <w:tc>
          <w:tcPr>
            <w:tcW w:w="2420" w:type="dxa"/>
            <w:vAlign w:val="bottom"/>
            <w:vMerge w:val="restart"/>
          </w:tcPr>
          <w:p>
            <w:pPr>
              <w:jc w:val="right"/>
              <w:ind w:right="368"/>
              <w:spacing w:after="0"/>
              <w:rPr>
                <w:sz w:val="20"/>
                <w:szCs w:val="20"/>
                <w:color w:val="auto"/>
              </w:rPr>
            </w:pPr>
            <w:r>
              <w:rPr>
                <w:rFonts w:ascii="Arial" w:cs="Arial" w:eastAsia="Arial" w:hAnsi="Arial"/>
                <w:sz w:val="13"/>
                <w:szCs w:val="13"/>
                <w:b w:val="1"/>
                <w:bCs w:val="1"/>
                <w:color w:val="auto"/>
              </w:rPr>
              <w:t>Approximate Annual</w:t>
            </w:r>
          </w:p>
        </w:tc>
        <w:tc>
          <w:tcPr>
            <w:tcW w:w="1380" w:type="dxa"/>
            <w:vAlign w:val="bottom"/>
          </w:tcPr>
          <w:p>
            <w:pPr>
              <w:spacing w:after="0"/>
              <w:rPr>
                <w:sz w:val="13"/>
                <w:szCs w:val="13"/>
                <w:color w:val="auto"/>
              </w:rPr>
            </w:pPr>
          </w:p>
        </w:tc>
        <w:tc>
          <w:tcPr>
            <w:tcW w:w="2780" w:type="dxa"/>
            <w:vAlign w:val="bottom"/>
            <w:gridSpan w:val="2"/>
          </w:tcPr>
          <w:p>
            <w:pPr>
              <w:jc w:val="right"/>
              <w:ind w:right="1267"/>
              <w:spacing w:after="0"/>
              <w:rPr>
                <w:sz w:val="20"/>
                <w:szCs w:val="20"/>
                <w:color w:val="auto"/>
              </w:rPr>
            </w:pPr>
            <w:r>
              <w:rPr>
                <w:rFonts w:ascii="Arial" w:cs="Arial" w:eastAsia="Arial" w:hAnsi="Arial"/>
                <w:sz w:val="13"/>
                <w:szCs w:val="13"/>
                <w:color w:val="auto"/>
              </w:rPr>
              <w:t>(tons in thousands)</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60" w:type="dxa"/>
            <w:vAlign w:val="bottom"/>
            <w:vMerge w:val="restart"/>
          </w:tcPr>
          <w:p>
            <w:pPr>
              <w:jc w:val="right"/>
              <w:ind w:right="407"/>
              <w:spacing w:after="0"/>
              <w:rPr>
                <w:sz w:val="20"/>
                <w:szCs w:val="20"/>
                <w:color w:val="auto"/>
              </w:rPr>
            </w:pPr>
            <w:r>
              <w:rPr>
                <w:rFonts w:ascii="Arial" w:cs="Arial" w:eastAsia="Arial" w:hAnsi="Arial"/>
                <w:sz w:val="13"/>
                <w:szCs w:val="13"/>
                <w:b w:val="1"/>
                <w:bCs w:val="1"/>
                <w:color w:val="auto"/>
              </w:rPr>
              <w:t>Total Measured &amp;</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2420" w:type="dxa"/>
            <w:vAlign w:val="bottom"/>
          </w:tcPr>
          <w:p>
            <w:pPr>
              <w:jc w:val="right"/>
              <w:ind w:right="368"/>
              <w:spacing w:after="0" w:line="122" w:lineRule="exact"/>
              <w:rPr>
                <w:sz w:val="20"/>
                <w:szCs w:val="20"/>
                <w:color w:val="auto"/>
              </w:rPr>
            </w:pPr>
            <w:r>
              <w:rPr>
                <w:rFonts w:ascii="Arial" w:cs="Arial" w:eastAsia="Arial" w:hAnsi="Arial"/>
                <w:sz w:val="13"/>
                <w:szCs w:val="13"/>
                <w:b w:val="1"/>
                <w:bCs w:val="1"/>
                <w:color w:val="auto"/>
              </w:rPr>
              <w:t>Gypsum Wallboard</w:t>
            </w: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Measured</w:t>
            </w:r>
          </w:p>
        </w:tc>
        <w:tc>
          <w:tcPr>
            <w:tcW w:w="1120" w:type="dxa"/>
            <w:vAlign w:val="bottom"/>
            <w:vMerge w:val="restart"/>
          </w:tcPr>
          <w:p>
            <w:pPr>
              <w:jc w:val="right"/>
              <w:ind w:right="87"/>
              <w:spacing w:after="0"/>
              <w:rPr>
                <w:sz w:val="20"/>
                <w:szCs w:val="20"/>
                <w:color w:val="auto"/>
              </w:rPr>
            </w:pPr>
            <w:r>
              <w:rPr>
                <w:rFonts w:ascii="Arial" w:cs="Arial" w:eastAsia="Arial" w:hAnsi="Arial"/>
                <w:sz w:val="13"/>
                <w:szCs w:val="13"/>
                <w:b w:val="1"/>
                <w:bCs w:val="1"/>
                <w:color w:val="auto"/>
              </w:rPr>
              <w:t>Indicated</w:t>
            </w:r>
          </w:p>
        </w:tc>
        <w:tc>
          <w:tcPr>
            <w:tcW w:w="16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Inferred</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77943C"/>
            </w:tcBorders>
            <w:vMerge w:val="continue"/>
          </w:tcPr>
          <w:p>
            <w:pPr>
              <w:spacing w:after="0"/>
              <w:rPr>
                <w:sz w:val="15"/>
                <w:szCs w:val="15"/>
                <w:color w:val="auto"/>
              </w:rPr>
            </w:pPr>
          </w:p>
        </w:tc>
        <w:tc>
          <w:tcPr>
            <w:tcW w:w="2420" w:type="dxa"/>
            <w:vAlign w:val="bottom"/>
            <w:tcBorders>
              <w:bottom w:val="single" w:sz="8" w:color="77943C"/>
            </w:tcBorders>
          </w:tcPr>
          <w:p>
            <w:pPr>
              <w:jc w:val="right"/>
              <w:ind w:right="368"/>
              <w:spacing w:after="0" w:line="162" w:lineRule="exact"/>
              <w:rPr>
                <w:sz w:val="20"/>
                <w:szCs w:val="20"/>
                <w:color w:val="auto"/>
              </w:rPr>
            </w:pPr>
            <w:r>
              <w:rPr>
                <w:rFonts w:ascii="Arial" w:cs="Arial" w:eastAsia="Arial" w:hAnsi="Arial"/>
                <w:sz w:val="13"/>
                <w:szCs w:val="13"/>
                <w:b w:val="1"/>
                <w:bCs w:val="1"/>
                <w:color w:val="auto"/>
              </w:rPr>
              <w:t xml:space="preserve">Capacity (MMSF) </w:t>
            </w:r>
            <w:r>
              <w:rPr>
                <w:rFonts w:ascii="Arial" w:cs="Arial" w:eastAsia="Arial" w:hAnsi="Arial"/>
                <w:sz w:val="16"/>
                <w:szCs w:val="16"/>
                <w:b w:val="1"/>
                <w:bCs w:val="1"/>
                <w:color w:val="auto"/>
                <w:vertAlign w:val="superscript"/>
              </w:rPr>
              <w:t>(3)</w:t>
            </w:r>
          </w:p>
        </w:tc>
        <w:tc>
          <w:tcPr>
            <w:tcW w:w="1380" w:type="dxa"/>
            <w:vAlign w:val="bottom"/>
            <w:tcBorders>
              <w:bottom w:val="single" w:sz="8" w:color="77943C"/>
            </w:tcBorders>
            <w:vMerge w:val="continue"/>
          </w:tcPr>
          <w:p>
            <w:pPr>
              <w:spacing w:after="0"/>
              <w:rPr>
                <w:sz w:val="15"/>
                <w:szCs w:val="15"/>
                <w:color w:val="auto"/>
              </w:rPr>
            </w:pPr>
          </w:p>
        </w:tc>
        <w:tc>
          <w:tcPr>
            <w:tcW w:w="1120" w:type="dxa"/>
            <w:vAlign w:val="bottom"/>
            <w:tcBorders>
              <w:bottom w:val="single" w:sz="8" w:color="77943C"/>
            </w:tcBorders>
            <w:vMerge w:val="continue"/>
          </w:tcPr>
          <w:p>
            <w:pPr>
              <w:spacing w:after="0"/>
              <w:rPr>
                <w:sz w:val="15"/>
                <w:szCs w:val="15"/>
                <w:color w:val="auto"/>
              </w:rPr>
            </w:pPr>
          </w:p>
        </w:tc>
        <w:tc>
          <w:tcPr>
            <w:tcW w:w="1660" w:type="dxa"/>
            <w:vAlign w:val="bottom"/>
            <w:tcBorders>
              <w:bottom w:val="single" w:sz="8" w:color="77943C"/>
            </w:tcBorders>
          </w:tcPr>
          <w:p>
            <w:pPr>
              <w:jc w:val="right"/>
              <w:ind w:right="387"/>
              <w:spacing w:after="0"/>
              <w:rPr>
                <w:sz w:val="20"/>
                <w:szCs w:val="20"/>
                <w:color w:val="auto"/>
              </w:rPr>
            </w:pPr>
            <w:r>
              <w:rPr>
                <w:rFonts w:ascii="Arial" w:cs="Arial" w:eastAsia="Arial" w:hAnsi="Arial"/>
                <w:sz w:val="13"/>
                <w:szCs w:val="13"/>
                <w:b w:val="1"/>
                <w:bCs w:val="1"/>
                <w:color w:val="auto"/>
              </w:rPr>
              <w:t>Indicated</w:t>
            </w:r>
          </w:p>
        </w:tc>
        <w:tc>
          <w:tcPr>
            <w:tcW w:w="940" w:type="dxa"/>
            <w:vAlign w:val="bottom"/>
            <w:tcBorders>
              <w:bottom w:val="single" w:sz="8" w:color="77943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77943C"/>
              </w:rPr>
              <w:t>Albuquerque, New Mexico</w:t>
            </w:r>
          </w:p>
        </w:tc>
        <w:tc>
          <w:tcPr>
            <w:tcW w:w="2420" w:type="dxa"/>
            <w:vAlign w:val="bottom"/>
            <w:tcBorders>
              <w:bottom w:val="single" w:sz="8" w:color="A6A6A6"/>
            </w:tcBorders>
          </w:tcPr>
          <w:p>
            <w:pPr>
              <w:jc w:val="right"/>
              <w:ind w:right="408"/>
              <w:spacing w:after="0"/>
              <w:rPr>
                <w:sz w:val="20"/>
                <w:szCs w:val="20"/>
                <w:color w:val="auto"/>
              </w:rPr>
            </w:pPr>
            <w:r>
              <w:rPr>
                <w:rFonts w:ascii="Arial" w:cs="Arial" w:eastAsia="Arial" w:hAnsi="Arial"/>
                <w:sz w:val="15"/>
                <w:szCs w:val="15"/>
                <w:color w:val="auto"/>
              </w:rPr>
              <w:t>425</w:t>
            </w:r>
          </w:p>
        </w:tc>
        <w:tc>
          <w:tcPr>
            <w:tcW w:w="1380" w:type="dxa"/>
            <w:vAlign w:val="bottom"/>
            <w:tcBorders>
              <w:bottom w:val="single" w:sz="8" w:color="A6A6A6"/>
            </w:tcBorders>
          </w:tcPr>
          <w:p>
            <w:pPr>
              <w:jc w:val="center"/>
              <w:spacing w:after="0"/>
              <w:rPr>
                <w:sz w:val="20"/>
                <w:szCs w:val="20"/>
                <w:color w:val="auto"/>
              </w:rPr>
            </w:pPr>
            <w:r>
              <w:rPr>
                <w:rFonts w:ascii="Arial" w:cs="Arial" w:eastAsia="Arial" w:hAnsi="Arial"/>
                <w:sz w:val="15"/>
                <w:szCs w:val="15"/>
                <w:color w:val="auto"/>
                <w:w w:val="91"/>
              </w:rPr>
              <w:t>41,800</w:t>
            </w:r>
          </w:p>
        </w:tc>
        <w:tc>
          <w:tcPr>
            <w:tcW w:w="1120" w:type="dxa"/>
            <w:vAlign w:val="bottom"/>
            <w:tcBorders>
              <w:bottom w:val="single" w:sz="8" w:color="A6A6A6"/>
            </w:tcBorders>
          </w:tcPr>
          <w:p>
            <w:pPr>
              <w:jc w:val="right"/>
              <w:ind w:right="127"/>
              <w:spacing w:after="0"/>
              <w:rPr>
                <w:sz w:val="20"/>
                <w:szCs w:val="20"/>
                <w:color w:val="auto"/>
              </w:rPr>
            </w:pPr>
            <w:r>
              <w:rPr>
                <w:rFonts w:ascii="Arial" w:cs="Arial" w:eastAsia="Arial" w:hAnsi="Arial"/>
                <w:sz w:val="15"/>
                <w:szCs w:val="15"/>
                <w:color w:val="auto"/>
              </w:rPr>
              <w:t>16,000</w:t>
            </w:r>
          </w:p>
        </w:tc>
        <w:tc>
          <w:tcPr>
            <w:tcW w:w="1660" w:type="dxa"/>
            <w:vAlign w:val="bottom"/>
            <w:tcBorders>
              <w:bottom w:val="single" w:sz="8" w:color="A6A6A6"/>
            </w:tcBorders>
          </w:tcPr>
          <w:p>
            <w:pPr>
              <w:jc w:val="right"/>
              <w:ind w:right="407"/>
              <w:spacing w:after="0"/>
              <w:rPr>
                <w:sz w:val="20"/>
                <w:szCs w:val="20"/>
                <w:color w:val="auto"/>
              </w:rPr>
            </w:pPr>
            <w:r>
              <w:rPr>
                <w:rFonts w:ascii="Arial" w:cs="Arial" w:eastAsia="Arial" w:hAnsi="Arial"/>
                <w:sz w:val="15"/>
                <w:szCs w:val="15"/>
                <w:color w:val="auto"/>
              </w:rPr>
              <w:t>57,800</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6,300</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(4)</w:t>
            </w:r>
          </w:p>
        </w:tc>
        <w:tc>
          <w:tcPr>
            <w:tcW w:w="2420" w:type="dxa"/>
            <w:vAlign w:val="bottom"/>
            <w:tcBorders>
              <w:bottom w:val="single" w:sz="8" w:color="A6A6A6"/>
            </w:tcBorders>
          </w:tcPr>
          <w:p>
            <w:pPr>
              <w:jc w:val="right"/>
              <w:ind w:right="408"/>
              <w:spacing w:after="0"/>
              <w:rPr>
                <w:sz w:val="20"/>
                <w:szCs w:val="20"/>
                <w:color w:val="auto"/>
              </w:rPr>
            </w:pPr>
            <w:r>
              <w:rPr>
                <w:rFonts w:ascii="Arial" w:cs="Arial" w:eastAsia="Arial" w:hAnsi="Arial"/>
                <w:sz w:val="15"/>
                <w:szCs w:val="15"/>
                <w:color w:val="auto"/>
              </w:rPr>
              <w:t>550</w:t>
            </w:r>
          </w:p>
        </w:tc>
        <w:tc>
          <w:tcPr>
            <w:tcW w:w="1380" w:type="dxa"/>
            <w:vAlign w:val="bottom"/>
            <w:tcBorders>
              <w:bottom w:val="single" w:sz="8" w:color="A6A6A6"/>
            </w:tcBorders>
          </w:tcPr>
          <w:p>
            <w:pPr>
              <w:ind w:left="760"/>
              <w:spacing w:after="0"/>
              <w:rPr>
                <w:sz w:val="20"/>
                <w:szCs w:val="20"/>
                <w:color w:val="auto"/>
              </w:rPr>
            </w:pPr>
            <w:r>
              <w:rPr>
                <w:rFonts w:ascii="Arial" w:cs="Arial" w:eastAsia="Arial" w:hAnsi="Arial"/>
                <w:sz w:val="15"/>
                <w:szCs w:val="15"/>
                <w:color w:val="auto"/>
              </w:rPr>
              <w:t>n/a</w:t>
            </w:r>
          </w:p>
        </w:tc>
        <w:tc>
          <w:tcPr>
            <w:tcW w:w="1120" w:type="dxa"/>
            <w:vAlign w:val="bottom"/>
            <w:tcBorders>
              <w:bottom w:val="single" w:sz="8" w:color="A6A6A6"/>
            </w:tcBorders>
          </w:tcPr>
          <w:p>
            <w:pPr>
              <w:jc w:val="right"/>
              <w:ind w:right="87"/>
              <w:spacing w:after="0"/>
              <w:rPr>
                <w:sz w:val="20"/>
                <w:szCs w:val="20"/>
                <w:color w:val="auto"/>
              </w:rPr>
            </w:pPr>
            <w:r>
              <w:rPr>
                <w:rFonts w:ascii="Arial" w:cs="Arial" w:eastAsia="Arial" w:hAnsi="Arial"/>
                <w:sz w:val="15"/>
                <w:szCs w:val="15"/>
                <w:color w:val="auto"/>
              </w:rPr>
              <w:t>n/a</w:t>
            </w:r>
          </w:p>
        </w:tc>
        <w:tc>
          <w:tcPr>
            <w:tcW w:w="1660" w:type="dxa"/>
            <w:vAlign w:val="bottom"/>
            <w:tcBorders>
              <w:bottom w:val="single" w:sz="8" w:color="A6A6A6"/>
            </w:tcBorders>
          </w:tcPr>
          <w:p>
            <w:pPr>
              <w:jc w:val="right"/>
              <w:ind w:right="387"/>
              <w:spacing w:after="0"/>
              <w:rPr>
                <w:sz w:val="20"/>
                <w:szCs w:val="20"/>
                <w:color w:val="auto"/>
              </w:rPr>
            </w:pPr>
            <w:r>
              <w:rPr>
                <w:rFonts w:ascii="Arial" w:cs="Arial" w:eastAsia="Arial" w:hAnsi="Arial"/>
                <w:sz w:val="15"/>
                <w:szCs w:val="15"/>
                <w:color w:val="auto"/>
              </w:rPr>
              <w:t>n/a</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Gypsum, Colorado</w:t>
            </w:r>
          </w:p>
        </w:tc>
        <w:tc>
          <w:tcPr>
            <w:tcW w:w="2420" w:type="dxa"/>
            <w:vAlign w:val="bottom"/>
            <w:tcBorders>
              <w:bottom w:val="single" w:sz="8" w:color="A6A6A6"/>
            </w:tcBorders>
          </w:tcPr>
          <w:p>
            <w:pPr>
              <w:jc w:val="right"/>
              <w:ind w:right="408"/>
              <w:spacing w:after="0"/>
              <w:rPr>
                <w:sz w:val="20"/>
                <w:szCs w:val="20"/>
                <w:color w:val="auto"/>
              </w:rPr>
            </w:pPr>
            <w:r>
              <w:rPr>
                <w:rFonts w:ascii="Arial" w:cs="Arial" w:eastAsia="Arial" w:hAnsi="Arial"/>
                <w:sz w:val="15"/>
                <w:szCs w:val="15"/>
                <w:color w:val="auto"/>
              </w:rPr>
              <w:t>700</w:t>
            </w:r>
          </w:p>
        </w:tc>
        <w:tc>
          <w:tcPr>
            <w:tcW w:w="1380" w:type="dxa"/>
            <w:vAlign w:val="bottom"/>
            <w:tcBorders>
              <w:bottom w:val="single" w:sz="8" w:color="A6A6A6"/>
            </w:tcBorders>
          </w:tcPr>
          <w:p>
            <w:pPr>
              <w:jc w:val="center"/>
              <w:spacing w:after="0"/>
              <w:rPr>
                <w:sz w:val="20"/>
                <w:szCs w:val="20"/>
                <w:color w:val="auto"/>
              </w:rPr>
            </w:pPr>
            <w:r>
              <w:rPr>
                <w:rFonts w:ascii="Arial" w:cs="Arial" w:eastAsia="Arial" w:hAnsi="Arial"/>
                <w:sz w:val="15"/>
                <w:szCs w:val="15"/>
                <w:color w:val="auto"/>
                <w:w w:val="91"/>
              </w:rPr>
              <w:t>13,200</w:t>
            </w:r>
          </w:p>
        </w:tc>
        <w:tc>
          <w:tcPr>
            <w:tcW w:w="1120" w:type="dxa"/>
            <w:vAlign w:val="bottom"/>
            <w:tcBorders>
              <w:bottom w:val="single" w:sz="8" w:color="A6A6A6"/>
            </w:tcBorders>
          </w:tcPr>
          <w:p>
            <w:pPr>
              <w:jc w:val="right"/>
              <w:ind w:right="127"/>
              <w:spacing w:after="0"/>
              <w:rPr>
                <w:sz w:val="20"/>
                <w:szCs w:val="20"/>
                <w:color w:val="auto"/>
              </w:rPr>
            </w:pPr>
            <w:r>
              <w:rPr>
                <w:rFonts w:ascii="Arial" w:cs="Arial" w:eastAsia="Arial" w:hAnsi="Arial"/>
                <w:sz w:val="15"/>
                <w:szCs w:val="15"/>
                <w:color w:val="auto"/>
              </w:rPr>
              <w:t>300</w:t>
            </w:r>
          </w:p>
        </w:tc>
        <w:tc>
          <w:tcPr>
            <w:tcW w:w="1660" w:type="dxa"/>
            <w:vAlign w:val="bottom"/>
            <w:tcBorders>
              <w:bottom w:val="single" w:sz="8" w:color="A6A6A6"/>
            </w:tcBorders>
          </w:tcPr>
          <w:p>
            <w:pPr>
              <w:jc w:val="right"/>
              <w:ind w:right="407"/>
              <w:spacing w:after="0"/>
              <w:rPr>
                <w:sz w:val="20"/>
                <w:szCs w:val="20"/>
                <w:color w:val="auto"/>
              </w:rPr>
            </w:pPr>
            <w:r>
              <w:rPr>
                <w:rFonts w:ascii="Arial" w:cs="Arial" w:eastAsia="Arial" w:hAnsi="Arial"/>
                <w:sz w:val="15"/>
                <w:szCs w:val="15"/>
                <w:color w:val="auto"/>
              </w:rPr>
              <w:t>13,500</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Duke, Oklahoma</w:t>
            </w:r>
          </w:p>
        </w:tc>
        <w:tc>
          <w:tcPr>
            <w:tcW w:w="2420" w:type="dxa"/>
            <w:vAlign w:val="bottom"/>
            <w:tcBorders>
              <w:bottom w:val="single" w:sz="8" w:color="A6A6A6"/>
            </w:tcBorders>
          </w:tcPr>
          <w:p>
            <w:pPr>
              <w:jc w:val="right"/>
              <w:ind w:right="408"/>
              <w:spacing w:after="0"/>
              <w:rPr>
                <w:sz w:val="20"/>
                <w:szCs w:val="20"/>
                <w:color w:val="auto"/>
              </w:rPr>
            </w:pPr>
            <w:r>
              <w:rPr>
                <w:rFonts w:ascii="Arial" w:cs="Arial" w:eastAsia="Arial" w:hAnsi="Arial"/>
                <w:sz w:val="15"/>
                <w:szCs w:val="15"/>
                <w:color w:val="auto"/>
              </w:rPr>
              <w:t>1,300</w:t>
            </w:r>
          </w:p>
        </w:tc>
        <w:tc>
          <w:tcPr>
            <w:tcW w:w="1380" w:type="dxa"/>
            <w:vAlign w:val="bottom"/>
            <w:tcBorders>
              <w:bottom w:val="single" w:sz="8" w:color="A6A6A6"/>
            </w:tcBorders>
          </w:tcPr>
          <w:p>
            <w:pPr>
              <w:jc w:val="center"/>
              <w:spacing w:after="0"/>
              <w:rPr>
                <w:sz w:val="20"/>
                <w:szCs w:val="20"/>
                <w:color w:val="auto"/>
              </w:rPr>
            </w:pPr>
            <w:r>
              <w:rPr>
                <w:rFonts w:ascii="Arial" w:cs="Arial" w:eastAsia="Arial" w:hAnsi="Arial"/>
                <w:sz w:val="15"/>
                <w:szCs w:val="15"/>
                <w:color w:val="auto"/>
                <w:w w:val="91"/>
              </w:rPr>
              <w:t>27,900</w:t>
            </w:r>
          </w:p>
        </w:tc>
        <w:tc>
          <w:tcPr>
            <w:tcW w:w="1120" w:type="dxa"/>
            <w:vAlign w:val="bottom"/>
            <w:tcBorders>
              <w:bottom w:val="single" w:sz="8" w:color="A6A6A6"/>
            </w:tcBorders>
          </w:tcPr>
          <w:p>
            <w:pPr>
              <w:jc w:val="right"/>
              <w:ind w:right="127"/>
              <w:spacing w:after="0"/>
              <w:rPr>
                <w:sz w:val="20"/>
                <w:szCs w:val="20"/>
                <w:color w:val="auto"/>
              </w:rPr>
            </w:pPr>
            <w:r>
              <w:rPr>
                <w:rFonts w:ascii="Arial" w:cs="Arial" w:eastAsia="Arial" w:hAnsi="Arial"/>
                <w:sz w:val="15"/>
                <w:szCs w:val="15"/>
                <w:color w:val="auto"/>
              </w:rPr>
              <w:t>42,700</w:t>
            </w:r>
          </w:p>
        </w:tc>
        <w:tc>
          <w:tcPr>
            <w:tcW w:w="1660" w:type="dxa"/>
            <w:vAlign w:val="bottom"/>
            <w:tcBorders>
              <w:bottom w:val="single" w:sz="8" w:color="A6A6A6"/>
            </w:tcBorders>
          </w:tcPr>
          <w:p>
            <w:pPr>
              <w:jc w:val="right"/>
              <w:ind w:right="407"/>
              <w:spacing w:after="0"/>
              <w:rPr>
                <w:sz w:val="20"/>
                <w:szCs w:val="20"/>
                <w:color w:val="auto"/>
              </w:rPr>
            </w:pPr>
            <w:r>
              <w:rPr>
                <w:rFonts w:ascii="Arial" w:cs="Arial" w:eastAsia="Arial" w:hAnsi="Arial"/>
                <w:sz w:val="15"/>
                <w:szCs w:val="15"/>
                <w:color w:val="auto"/>
              </w:rPr>
              <w:t>70,600</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59,000</w:t>
            </w:r>
          </w:p>
        </w:tc>
        <w:tc>
          <w:tcPr>
            <w:tcW w:w="0" w:type="dxa"/>
            <w:vAlign w:val="bottom"/>
          </w:tcPr>
          <w:p>
            <w:pPr>
              <w:spacing w:after="0"/>
              <w:rPr>
                <w:sz w:val="1"/>
                <w:szCs w:val="1"/>
                <w:color w:val="auto"/>
              </w:rPr>
            </w:pPr>
          </w:p>
        </w:tc>
      </w:tr>
      <w:tr>
        <w:trPr>
          <w:trHeight w:val="169"/>
        </w:trPr>
        <w:tc>
          <w:tcPr>
            <w:tcW w:w="3720" w:type="dxa"/>
            <w:vAlign w:val="bottom"/>
          </w:tcPr>
          <w:p>
            <w:pPr>
              <w:ind w:left="20"/>
              <w:spacing w:after="0" w:line="169" w:lineRule="exact"/>
              <w:rPr>
                <w:sz w:val="20"/>
                <w:szCs w:val="20"/>
                <w:color w:val="auto"/>
              </w:rPr>
            </w:pPr>
            <w:r>
              <w:rPr>
                <w:rFonts w:ascii="Arial" w:cs="Arial" w:eastAsia="Arial" w:hAnsi="Arial"/>
                <w:sz w:val="15"/>
                <w:szCs w:val="15"/>
                <w:b w:val="1"/>
                <w:bCs w:val="1"/>
                <w:color w:val="77943C"/>
              </w:rPr>
              <w:t xml:space="preserve">Georgetown, South Carolina </w:t>
            </w:r>
            <w:r>
              <w:rPr>
                <w:rFonts w:ascii="Arial" w:cs="Arial" w:eastAsia="Arial" w:hAnsi="Arial"/>
                <w:sz w:val="19"/>
                <w:szCs w:val="19"/>
                <w:b w:val="1"/>
                <w:bCs w:val="1"/>
                <w:color w:val="77943C"/>
                <w:vertAlign w:val="superscript"/>
              </w:rPr>
              <w:t>(5)</w:t>
            </w:r>
          </w:p>
        </w:tc>
        <w:tc>
          <w:tcPr>
            <w:tcW w:w="2420" w:type="dxa"/>
            <w:vAlign w:val="bottom"/>
          </w:tcPr>
          <w:p>
            <w:pPr>
              <w:jc w:val="right"/>
              <w:ind w:right="408"/>
              <w:spacing w:after="0" w:line="169" w:lineRule="exact"/>
              <w:rPr>
                <w:sz w:val="20"/>
                <w:szCs w:val="20"/>
                <w:color w:val="auto"/>
              </w:rPr>
            </w:pPr>
            <w:r>
              <w:rPr>
                <w:rFonts w:ascii="Arial" w:cs="Arial" w:eastAsia="Arial" w:hAnsi="Arial"/>
                <w:sz w:val="15"/>
                <w:szCs w:val="15"/>
                <w:color w:val="auto"/>
              </w:rPr>
              <w:t>900</w:t>
            </w:r>
          </w:p>
        </w:tc>
        <w:tc>
          <w:tcPr>
            <w:tcW w:w="1380" w:type="dxa"/>
            <w:vAlign w:val="bottom"/>
          </w:tcPr>
          <w:p>
            <w:pPr>
              <w:ind w:left="760"/>
              <w:spacing w:after="0" w:line="169" w:lineRule="exact"/>
              <w:rPr>
                <w:sz w:val="20"/>
                <w:szCs w:val="20"/>
                <w:color w:val="auto"/>
              </w:rPr>
            </w:pPr>
            <w:r>
              <w:rPr>
                <w:rFonts w:ascii="Arial" w:cs="Arial" w:eastAsia="Arial" w:hAnsi="Arial"/>
                <w:sz w:val="15"/>
                <w:szCs w:val="15"/>
                <w:color w:val="auto"/>
              </w:rPr>
              <w:t>n/a</w:t>
            </w:r>
          </w:p>
        </w:tc>
        <w:tc>
          <w:tcPr>
            <w:tcW w:w="1120" w:type="dxa"/>
            <w:vAlign w:val="bottom"/>
          </w:tcPr>
          <w:p>
            <w:pPr>
              <w:jc w:val="right"/>
              <w:ind w:right="87"/>
              <w:spacing w:after="0" w:line="169" w:lineRule="exact"/>
              <w:rPr>
                <w:sz w:val="20"/>
                <w:szCs w:val="20"/>
                <w:color w:val="auto"/>
              </w:rPr>
            </w:pPr>
            <w:r>
              <w:rPr>
                <w:rFonts w:ascii="Arial" w:cs="Arial" w:eastAsia="Arial" w:hAnsi="Arial"/>
                <w:sz w:val="15"/>
                <w:szCs w:val="15"/>
                <w:color w:val="auto"/>
              </w:rPr>
              <w:t>n/a</w:t>
            </w:r>
          </w:p>
        </w:tc>
        <w:tc>
          <w:tcPr>
            <w:tcW w:w="1660" w:type="dxa"/>
            <w:vAlign w:val="bottom"/>
          </w:tcPr>
          <w:p>
            <w:pPr>
              <w:jc w:val="right"/>
              <w:ind w:right="387"/>
              <w:spacing w:after="0" w:line="169" w:lineRule="exact"/>
              <w:rPr>
                <w:sz w:val="20"/>
                <w:szCs w:val="20"/>
                <w:color w:val="auto"/>
              </w:rPr>
            </w:pPr>
            <w:r>
              <w:rPr>
                <w:rFonts w:ascii="Arial" w:cs="Arial" w:eastAsia="Arial" w:hAnsi="Arial"/>
                <w:sz w:val="15"/>
                <w:szCs w:val="15"/>
                <w:color w:val="auto"/>
              </w:rPr>
              <w:t>n/a</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6A6A6"/>
            </w:tcBorders>
          </w:tcPr>
          <w:p>
            <w:pPr>
              <w:spacing w:after="0"/>
              <w:rPr>
                <w:sz w:val="2"/>
                <w:szCs w:val="2"/>
                <w:color w:val="auto"/>
              </w:rPr>
            </w:pPr>
          </w:p>
        </w:tc>
        <w:tc>
          <w:tcPr>
            <w:tcW w:w="2420" w:type="dxa"/>
            <w:vAlign w:val="bottom"/>
            <w:tcBorders>
              <w:bottom w:val="single" w:sz="8" w:color="77943C"/>
            </w:tcBorders>
            <w:shd w:val="clear" w:color="auto" w:fill="77943C"/>
          </w:tcPr>
          <w:p>
            <w:pPr>
              <w:spacing w:after="0"/>
              <w:rPr>
                <w:sz w:val="2"/>
                <w:szCs w:val="2"/>
                <w:color w:val="auto"/>
              </w:rPr>
            </w:pPr>
          </w:p>
        </w:tc>
        <w:tc>
          <w:tcPr>
            <w:tcW w:w="1380" w:type="dxa"/>
            <w:vAlign w:val="bottom"/>
            <w:tcBorders>
              <w:bottom w:val="single" w:sz="8" w:color="77943C"/>
            </w:tcBorders>
            <w:shd w:val="clear" w:color="auto" w:fill="77943C"/>
          </w:tcPr>
          <w:p>
            <w:pPr>
              <w:spacing w:after="0"/>
              <w:rPr>
                <w:sz w:val="2"/>
                <w:szCs w:val="2"/>
                <w:color w:val="auto"/>
              </w:rPr>
            </w:pPr>
          </w:p>
        </w:tc>
        <w:tc>
          <w:tcPr>
            <w:tcW w:w="1120" w:type="dxa"/>
            <w:vAlign w:val="bottom"/>
            <w:tcBorders>
              <w:bottom w:val="single" w:sz="8" w:color="77943C"/>
            </w:tcBorders>
            <w:shd w:val="clear" w:color="auto" w:fill="77943C"/>
          </w:tcPr>
          <w:p>
            <w:pPr>
              <w:spacing w:after="0"/>
              <w:rPr>
                <w:sz w:val="2"/>
                <w:szCs w:val="2"/>
                <w:color w:val="auto"/>
              </w:rPr>
            </w:pPr>
          </w:p>
        </w:tc>
        <w:tc>
          <w:tcPr>
            <w:tcW w:w="1660" w:type="dxa"/>
            <w:vAlign w:val="bottom"/>
            <w:tcBorders>
              <w:bottom w:val="single" w:sz="8" w:color="77943C"/>
            </w:tcBorders>
            <w:shd w:val="clear" w:color="auto" w:fill="77943C"/>
          </w:tcPr>
          <w:p>
            <w:pPr>
              <w:spacing w:after="0"/>
              <w:rPr>
                <w:sz w:val="2"/>
                <w:szCs w:val="2"/>
                <w:color w:val="auto"/>
              </w:rPr>
            </w:pPr>
          </w:p>
        </w:tc>
        <w:tc>
          <w:tcPr>
            <w:tcW w:w="940" w:type="dxa"/>
            <w:vAlign w:val="bottom"/>
            <w:tcBorders>
              <w:bottom w:val="single" w:sz="8" w:color="77943C"/>
            </w:tcBorders>
            <w:shd w:val="clear" w:color="auto" w:fill="77943C"/>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720" w:type="dxa"/>
            <w:vAlign w:val="bottom"/>
          </w:tcPr>
          <w:p>
            <w:pPr>
              <w:ind w:left="200"/>
              <w:spacing w:after="0" w:line="169" w:lineRule="exact"/>
              <w:rPr>
                <w:sz w:val="20"/>
                <w:szCs w:val="20"/>
                <w:color w:val="auto"/>
              </w:rPr>
            </w:pPr>
            <w:r>
              <w:rPr>
                <w:rFonts w:ascii="Arial" w:cs="Arial" w:eastAsia="Arial" w:hAnsi="Arial"/>
                <w:sz w:val="16"/>
                <w:szCs w:val="16"/>
                <w:b w:val="1"/>
                <w:bCs w:val="1"/>
                <w:color w:val="auto"/>
              </w:rPr>
              <w:t>Total</w:t>
            </w:r>
          </w:p>
        </w:tc>
        <w:tc>
          <w:tcPr>
            <w:tcW w:w="2420" w:type="dxa"/>
            <w:vAlign w:val="bottom"/>
            <w:tcBorders>
              <w:bottom w:val="single" w:sz="8" w:color="77943C"/>
            </w:tcBorders>
          </w:tcPr>
          <w:p>
            <w:pPr>
              <w:jc w:val="right"/>
              <w:ind w:right="408"/>
              <w:spacing w:after="0" w:line="169" w:lineRule="exact"/>
              <w:rPr>
                <w:sz w:val="20"/>
                <w:szCs w:val="20"/>
                <w:color w:val="auto"/>
              </w:rPr>
            </w:pPr>
            <w:r>
              <w:rPr>
                <w:rFonts w:ascii="Arial" w:cs="Arial" w:eastAsia="Arial" w:hAnsi="Arial"/>
                <w:sz w:val="15"/>
                <w:szCs w:val="15"/>
                <w:b w:val="1"/>
                <w:bCs w:val="1"/>
                <w:color w:val="auto"/>
              </w:rPr>
              <w:t>3,875</w:t>
            </w:r>
          </w:p>
        </w:tc>
        <w:tc>
          <w:tcPr>
            <w:tcW w:w="1380" w:type="dxa"/>
            <w:vAlign w:val="bottom"/>
            <w:tcBorders>
              <w:bottom w:val="single" w:sz="8" w:color="77943C"/>
            </w:tcBorders>
          </w:tcPr>
          <w:p>
            <w:pPr>
              <w:jc w:val="center"/>
              <w:spacing w:after="0" w:line="169" w:lineRule="exact"/>
              <w:rPr>
                <w:sz w:val="20"/>
                <w:szCs w:val="20"/>
                <w:color w:val="auto"/>
              </w:rPr>
            </w:pPr>
            <w:r>
              <w:rPr>
                <w:rFonts w:ascii="Arial" w:cs="Arial" w:eastAsia="Arial" w:hAnsi="Arial"/>
                <w:sz w:val="15"/>
                <w:szCs w:val="15"/>
                <w:b w:val="1"/>
                <w:bCs w:val="1"/>
                <w:color w:val="auto"/>
                <w:w w:val="91"/>
              </w:rPr>
              <w:t>82,900</w:t>
            </w:r>
          </w:p>
        </w:tc>
        <w:tc>
          <w:tcPr>
            <w:tcW w:w="1120" w:type="dxa"/>
            <w:vAlign w:val="bottom"/>
            <w:tcBorders>
              <w:bottom w:val="single" w:sz="8" w:color="77943C"/>
            </w:tcBorders>
          </w:tcPr>
          <w:p>
            <w:pPr>
              <w:jc w:val="right"/>
              <w:ind w:right="127"/>
              <w:spacing w:after="0" w:line="169" w:lineRule="exact"/>
              <w:rPr>
                <w:sz w:val="20"/>
                <w:szCs w:val="20"/>
                <w:color w:val="auto"/>
              </w:rPr>
            </w:pPr>
            <w:r>
              <w:rPr>
                <w:rFonts w:ascii="Arial" w:cs="Arial" w:eastAsia="Arial" w:hAnsi="Arial"/>
                <w:sz w:val="15"/>
                <w:szCs w:val="15"/>
                <w:b w:val="1"/>
                <w:bCs w:val="1"/>
                <w:color w:val="auto"/>
              </w:rPr>
              <w:t>59,000</w:t>
            </w:r>
          </w:p>
        </w:tc>
        <w:tc>
          <w:tcPr>
            <w:tcW w:w="1660" w:type="dxa"/>
            <w:vAlign w:val="bottom"/>
            <w:tcBorders>
              <w:bottom w:val="single" w:sz="8" w:color="77943C"/>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141,900</w:t>
            </w:r>
          </w:p>
        </w:tc>
        <w:tc>
          <w:tcPr>
            <w:tcW w:w="940" w:type="dxa"/>
            <w:vAlign w:val="bottom"/>
            <w:tcBorders>
              <w:bottom w:val="single" w:sz="8" w:color="77943C"/>
            </w:tcBorders>
          </w:tcPr>
          <w:p>
            <w:pPr>
              <w:jc w:val="right"/>
              <w:spacing w:after="0" w:line="169" w:lineRule="exact"/>
              <w:rPr>
                <w:sz w:val="20"/>
                <w:szCs w:val="20"/>
                <w:color w:val="auto"/>
              </w:rPr>
            </w:pPr>
            <w:r>
              <w:rPr>
                <w:rFonts w:ascii="Arial" w:cs="Arial" w:eastAsia="Arial" w:hAnsi="Arial"/>
                <w:sz w:val="15"/>
                <w:szCs w:val="15"/>
                <w:b w:val="1"/>
                <w:bCs w:val="1"/>
                <w:color w:val="auto"/>
              </w:rPr>
              <w:t>65,300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20" w:type="dxa"/>
            <w:vAlign w:val="bottom"/>
            <w:tcBorders>
              <w:bottom w:val="single" w:sz="8" w:color="77943C"/>
            </w:tcBorders>
          </w:tcPr>
          <w:p>
            <w:pPr>
              <w:spacing w:after="0" w:line="20" w:lineRule="exact"/>
              <w:rPr>
                <w:sz w:val="1"/>
                <w:szCs w:val="1"/>
                <w:color w:val="auto"/>
              </w:rPr>
            </w:pPr>
          </w:p>
        </w:tc>
        <w:tc>
          <w:tcPr>
            <w:tcW w:w="1380" w:type="dxa"/>
            <w:vAlign w:val="bottom"/>
            <w:tcBorders>
              <w:bottom w:val="single" w:sz="8" w:color="77943C"/>
            </w:tcBorders>
          </w:tcPr>
          <w:p>
            <w:pPr>
              <w:spacing w:after="0" w:line="20" w:lineRule="exact"/>
              <w:rPr>
                <w:sz w:val="1"/>
                <w:szCs w:val="1"/>
                <w:color w:val="auto"/>
              </w:rPr>
            </w:pPr>
          </w:p>
        </w:tc>
        <w:tc>
          <w:tcPr>
            <w:tcW w:w="1120" w:type="dxa"/>
            <w:vAlign w:val="bottom"/>
            <w:tcBorders>
              <w:bottom w:val="single" w:sz="8" w:color="77943C"/>
            </w:tcBorders>
          </w:tcPr>
          <w:p>
            <w:pPr>
              <w:spacing w:after="0" w:line="20" w:lineRule="exact"/>
              <w:rPr>
                <w:sz w:val="1"/>
                <w:szCs w:val="1"/>
                <w:color w:val="auto"/>
              </w:rPr>
            </w:pPr>
          </w:p>
        </w:tc>
        <w:tc>
          <w:tcPr>
            <w:tcW w:w="1660" w:type="dxa"/>
            <w:vAlign w:val="bottom"/>
            <w:tcBorders>
              <w:bottom w:val="single" w:sz="8" w:color="77943C"/>
            </w:tcBorders>
          </w:tcPr>
          <w:p>
            <w:pPr>
              <w:spacing w:after="0" w:line="20" w:lineRule="exact"/>
              <w:rPr>
                <w:sz w:val="1"/>
                <w:szCs w:val="1"/>
                <w:color w:val="auto"/>
              </w:rPr>
            </w:pPr>
          </w:p>
        </w:tc>
        <w:tc>
          <w:tcPr>
            <w:tcW w:w="940" w:type="dxa"/>
            <w:vAlign w:val="bottom"/>
            <w:tcBorders>
              <w:bottom w:val="single" w:sz="8" w:color="77943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Gypsum resources are shown on an in situ basis.</w:t>
      </w:r>
    </w:p>
    <w:p>
      <w:pPr>
        <w:ind w:left="240" w:right="460" w:hanging="232"/>
        <w:spacing w:after="0" w:line="204" w:lineRule="auto"/>
        <w:tabs>
          <w:tab w:leader="none" w:pos="229"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Measured, Indicated and Inferred resources are based on an initial assessment using average selling price assumptions ranging from $13.50 to $15.50, depending on location and market.</w:t>
      </w:r>
    </w:p>
    <w:p>
      <w:pPr>
        <w:spacing w:after="0" w:line="1" w:lineRule="exact"/>
        <w:rPr>
          <w:rFonts w:ascii="Arial" w:cs="Arial" w:eastAsia="Arial" w:hAnsi="Arial"/>
          <w:sz w:val="19"/>
          <w:szCs w:val="19"/>
          <w:color w:val="auto"/>
          <w:vertAlign w:val="superscript"/>
        </w:rPr>
      </w:pPr>
    </w:p>
    <w:p>
      <w:pPr>
        <w:ind w:left="220" w:hanging="212"/>
        <w:spacing w:after="0" w:line="187" w:lineRule="auto"/>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Million Square Feet (MMSF) based on anticipated product mix.</w:t>
      </w:r>
    </w:p>
    <w:p>
      <w:pPr>
        <w:ind w:left="220" w:hanging="212"/>
        <w:spacing w:after="0" w:line="187" w:lineRule="auto"/>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same resources serve both New Mexico plants.</w:t>
      </w:r>
    </w:p>
    <w:p>
      <w:pPr>
        <w:ind w:left="220" w:hanging="212"/>
        <w:spacing w:after="0" w:line="189" w:lineRule="auto"/>
        <w:tabs>
          <w:tab w:leader="none" w:pos="2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In 2006 we signed a 60-year supply agreement for synthetic gypsum with Santee Cooper that expires in 2068.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gypsum reserves at March 31, 2022:</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 xml:space="preserve">Gypsum Reserves </w:t>
            </w:r>
            <w:r>
              <w:rPr>
                <w:rFonts w:ascii="Arial" w:cs="Arial" w:eastAsia="Arial" w:hAnsi="Arial"/>
                <w:sz w:val="21"/>
                <w:szCs w:val="21"/>
                <w:b w:val="1"/>
                <w:bCs w:val="1"/>
                <w:color w:val="auto"/>
                <w:w w:val="88"/>
                <w:vertAlign w:val="superscript"/>
              </w:rPr>
              <w:t>(1) (2)</w:t>
            </w:r>
          </w:p>
        </w:tc>
        <w:tc>
          <w:tcPr>
            <w:tcW w:w="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gridSpan w:val="3"/>
          </w:tcPr>
          <w:p>
            <w:pPr>
              <w:jc w:val="right"/>
              <w:ind w:right="886"/>
              <w:spacing w:after="0"/>
              <w:rPr>
                <w:sz w:val="20"/>
                <w:szCs w:val="20"/>
                <w:color w:val="auto"/>
              </w:rPr>
            </w:pPr>
            <w:r>
              <w:rPr>
                <w:rFonts w:ascii="Arial" w:cs="Arial" w:eastAsia="Arial" w:hAnsi="Arial"/>
                <w:sz w:val="13"/>
                <w:szCs w:val="13"/>
                <w:color w:val="auto"/>
              </w:rPr>
              <w:t>(tons in thousands)</w:t>
            </w:r>
          </w:p>
        </w:tc>
        <w:tc>
          <w:tcPr>
            <w:tcW w:w="80" w:type="dxa"/>
            <w:vAlign w:val="bottom"/>
          </w:tcPr>
          <w:p>
            <w:pPr>
              <w:spacing w:after="0"/>
              <w:rPr>
                <w:sz w:val="16"/>
                <w:szCs w:val="16"/>
                <w:color w:val="auto"/>
              </w:rPr>
            </w:pPr>
          </w:p>
        </w:tc>
        <w:tc>
          <w:tcPr>
            <w:tcW w:w="1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Fiscal 2022</w:t>
            </w:r>
          </w:p>
        </w:tc>
        <w:tc>
          <w:tcPr>
            <w:tcW w:w="0" w:type="dxa"/>
            <w:vAlign w:val="bottom"/>
          </w:tcPr>
          <w:p>
            <w:pPr>
              <w:spacing w:after="0"/>
              <w:rPr>
                <w:sz w:val="1"/>
                <w:szCs w:val="1"/>
                <w:color w:val="auto"/>
              </w:rPr>
            </w:pPr>
          </w:p>
        </w:tc>
      </w:tr>
      <w:tr>
        <w:trPr>
          <w:trHeight w:val="110"/>
        </w:trPr>
        <w:tc>
          <w:tcPr>
            <w:tcW w:w="4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1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Proven</w:t>
            </w:r>
          </w:p>
        </w:tc>
        <w:tc>
          <w:tcPr>
            <w:tcW w:w="80" w:type="dxa"/>
            <w:vAlign w:val="bottom"/>
          </w:tcPr>
          <w:p>
            <w:pPr>
              <w:spacing w:after="0"/>
              <w:rPr>
                <w:sz w:val="9"/>
                <w:szCs w:val="9"/>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Probable</w:t>
            </w:r>
          </w:p>
        </w:tc>
        <w:tc>
          <w:tcPr>
            <w:tcW w:w="80" w:type="dxa"/>
            <w:vAlign w:val="bottom"/>
          </w:tcPr>
          <w:p>
            <w:pPr>
              <w:spacing w:after="0"/>
              <w:rPr>
                <w:sz w:val="9"/>
                <w:szCs w:val="9"/>
                <w:color w:val="auto"/>
              </w:rPr>
            </w:pPr>
          </w:p>
        </w:tc>
        <w:tc>
          <w:tcPr>
            <w:tcW w:w="1560" w:type="dxa"/>
            <w:vAlign w:val="bottom"/>
            <w:vMerge w:val="restart"/>
          </w:tcPr>
          <w:p>
            <w:pPr>
              <w:jc w:val="right"/>
              <w:ind w:right="26"/>
              <w:spacing w:after="0"/>
              <w:rPr>
                <w:sz w:val="20"/>
                <w:szCs w:val="20"/>
                <w:color w:val="auto"/>
              </w:rPr>
            </w:pPr>
            <w:r>
              <w:rPr>
                <w:rFonts w:ascii="Arial" w:cs="Arial" w:eastAsia="Arial" w:hAnsi="Arial"/>
                <w:sz w:val="13"/>
                <w:szCs w:val="13"/>
                <w:b w:val="1"/>
                <w:bCs w:val="1"/>
                <w:color w:val="auto"/>
                <w:w w:val="95"/>
              </w:rPr>
              <w:t>Total Proven &amp; Probable</w:t>
            </w:r>
          </w:p>
        </w:tc>
        <w:tc>
          <w:tcPr>
            <w:tcW w:w="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20" w:type="dxa"/>
            <w:vAlign w:val="bottom"/>
            <w:tcBorders>
              <w:bottom w:val="single" w:sz="8" w:color="77943C"/>
            </w:tcBorders>
            <w:vMerge w:val="continue"/>
          </w:tcPr>
          <w:p>
            <w:pPr>
              <w:spacing w:after="0"/>
              <w:rPr>
                <w:sz w:val="15"/>
                <w:szCs w:val="15"/>
                <w:color w:val="auto"/>
              </w:rPr>
            </w:pPr>
          </w:p>
        </w:tc>
        <w:tc>
          <w:tcPr>
            <w:tcW w:w="1580" w:type="dxa"/>
            <w:vAlign w:val="bottom"/>
            <w:tcBorders>
              <w:bottom w:val="single" w:sz="8" w:color="77943C"/>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77943C"/>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77943C"/>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Borders>
              <w:bottom w:val="single" w:sz="8" w:color="77943C"/>
            </w:tcBorders>
          </w:tcPr>
          <w:p>
            <w:pPr>
              <w:jc w:val="right"/>
              <w:spacing w:after="0"/>
              <w:rPr>
                <w:sz w:val="20"/>
                <w:szCs w:val="20"/>
                <w:color w:val="auto"/>
              </w:rPr>
            </w:pPr>
            <w:r>
              <w:rPr>
                <w:rFonts w:ascii="Arial" w:cs="Arial" w:eastAsia="Arial" w:hAnsi="Arial"/>
                <w:sz w:val="13"/>
                <w:szCs w:val="13"/>
                <w:b w:val="1"/>
                <w:bCs w:val="1"/>
                <w:color w:val="auto"/>
              </w:rPr>
              <w:t>Tons Mined</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Arial" w:cs="Arial" w:eastAsia="Arial" w:hAnsi="Arial"/>
                <w:sz w:val="16"/>
                <w:szCs w:val="16"/>
                <w:b w:val="1"/>
                <w:bCs w:val="1"/>
                <w:color w:val="77943C"/>
              </w:rPr>
              <w:t>Albuquerque, New Mexico</w:t>
            </w:r>
          </w:p>
        </w:tc>
        <w:tc>
          <w:tcPr>
            <w:tcW w:w="1580" w:type="dxa"/>
            <w:vAlign w:val="bottom"/>
          </w:tcPr>
          <w:p>
            <w:pPr>
              <w:jc w:val="right"/>
              <w:spacing w:after="0"/>
              <w:rPr>
                <w:sz w:val="20"/>
                <w:szCs w:val="20"/>
                <w:color w:val="auto"/>
              </w:rPr>
            </w:pPr>
            <w:r>
              <w:rPr>
                <w:rFonts w:ascii="Arial" w:cs="Arial" w:eastAsia="Arial" w:hAnsi="Arial"/>
                <w:sz w:val="15"/>
                <w:szCs w:val="15"/>
                <w:color w:val="auto"/>
              </w:rPr>
              <w:t>20,400</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3,600</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24,000</w:t>
            </w:r>
          </w:p>
        </w:tc>
        <w:tc>
          <w:tcPr>
            <w:tcW w:w="1980" w:type="dxa"/>
            <w:vAlign w:val="bottom"/>
            <w:gridSpan w:val="2"/>
          </w:tcPr>
          <w:p>
            <w:pPr>
              <w:jc w:val="right"/>
              <w:spacing w:after="0"/>
              <w:rPr>
                <w:sz w:val="20"/>
                <w:szCs w:val="20"/>
                <w:color w:val="auto"/>
              </w:rPr>
            </w:pPr>
            <w:r>
              <w:rPr>
                <w:rFonts w:ascii="Arial" w:cs="Arial" w:eastAsia="Arial" w:hAnsi="Arial"/>
                <w:sz w:val="15"/>
                <w:szCs w:val="15"/>
                <w:color w:val="auto"/>
              </w:rPr>
              <w:t>444</w:t>
            </w:r>
          </w:p>
        </w:tc>
        <w:tc>
          <w:tcPr>
            <w:tcW w:w="0" w:type="dxa"/>
            <w:vAlign w:val="bottom"/>
          </w:tcPr>
          <w:p>
            <w:pPr>
              <w:spacing w:after="0"/>
              <w:rPr>
                <w:sz w:val="1"/>
                <w:szCs w:val="1"/>
                <w:color w:val="auto"/>
              </w:rPr>
            </w:pPr>
          </w:p>
        </w:tc>
      </w:tr>
      <w:tr>
        <w:trPr>
          <w:trHeight w:val="183"/>
        </w:trPr>
        <w:tc>
          <w:tcPr>
            <w:tcW w:w="432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(3)</w:t>
            </w:r>
          </w:p>
        </w:tc>
        <w:tc>
          <w:tcPr>
            <w:tcW w:w="15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15"/>
                <w:szCs w:val="15"/>
                <w:color w:val="auto"/>
              </w:rPr>
            </w:pPr>
          </w:p>
        </w:tc>
        <w:tc>
          <w:tcPr>
            <w:tcW w:w="15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15"/>
                <w:szCs w:val="15"/>
                <w:color w:val="auto"/>
              </w:rPr>
            </w:pPr>
          </w:p>
        </w:tc>
        <w:tc>
          <w:tcPr>
            <w:tcW w:w="15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15"/>
                <w:szCs w:val="15"/>
                <w:color w:val="auto"/>
              </w:rPr>
            </w:pPr>
          </w:p>
        </w:tc>
        <w:tc>
          <w:tcPr>
            <w:tcW w:w="1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43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Gypsum, Colorado</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5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12,700</w:t>
            </w:r>
          </w:p>
        </w:tc>
        <w:tc>
          <w:tcPr>
            <w:tcW w:w="80" w:type="dxa"/>
            <w:vAlign w:val="bottom"/>
          </w:tcPr>
          <w:p>
            <w:pPr>
              <w:spacing w:after="0"/>
              <w:rPr>
                <w:sz w:val="15"/>
                <w:szCs w:val="15"/>
                <w:color w:val="auto"/>
              </w:rPr>
            </w:pPr>
          </w:p>
        </w:tc>
        <w:tc>
          <w:tcPr>
            <w:tcW w:w="156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12,700</w:t>
            </w:r>
          </w:p>
        </w:tc>
        <w:tc>
          <w:tcPr>
            <w:tcW w:w="80" w:type="dxa"/>
            <w:vAlign w:val="bottom"/>
          </w:tcPr>
          <w:p>
            <w:pPr>
              <w:spacing w:after="0"/>
              <w:rPr>
                <w:sz w:val="15"/>
                <w:szCs w:val="15"/>
                <w:color w:val="auto"/>
              </w:rPr>
            </w:pPr>
          </w:p>
        </w:tc>
        <w:tc>
          <w:tcPr>
            <w:tcW w:w="1900" w:type="dxa"/>
            <w:vAlign w:val="bottom"/>
            <w:tcBorders>
              <w:bottom w:val="single" w:sz="8" w:color="A6A6A6"/>
            </w:tcBorders>
          </w:tcPr>
          <w:p>
            <w:pPr>
              <w:jc w:val="right"/>
              <w:spacing w:after="0"/>
              <w:rPr>
                <w:sz w:val="20"/>
                <w:szCs w:val="20"/>
                <w:color w:val="auto"/>
              </w:rPr>
            </w:pPr>
            <w:r>
              <w:rPr>
                <w:rFonts w:ascii="Arial" w:cs="Arial" w:eastAsia="Arial" w:hAnsi="Arial"/>
                <w:sz w:val="15"/>
                <w:szCs w:val="15"/>
                <w:color w:val="auto"/>
              </w:rPr>
              <w:t>496</w:t>
            </w:r>
          </w:p>
        </w:tc>
        <w:tc>
          <w:tcPr>
            <w:tcW w:w="0" w:type="dxa"/>
            <w:vAlign w:val="bottom"/>
          </w:tcPr>
          <w:p>
            <w:pPr>
              <w:spacing w:after="0"/>
              <w:rPr>
                <w:sz w:val="1"/>
                <w:szCs w:val="1"/>
                <w:color w:val="auto"/>
              </w:rPr>
            </w:pPr>
          </w:p>
        </w:tc>
      </w:tr>
      <w:tr>
        <w:trPr>
          <w:trHeight w:val="183"/>
        </w:trPr>
        <w:tc>
          <w:tcPr>
            <w:tcW w:w="4320" w:type="dxa"/>
            <w:vAlign w:val="bottom"/>
          </w:tcPr>
          <w:p>
            <w:pPr>
              <w:ind w:left="20"/>
              <w:spacing w:after="0" w:line="183" w:lineRule="exact"/>
              <w:rPr>
                <w:sz w:val="20"/>
                <w:szCs w:val="20"/>
                <w:color w:val="auto"/>
              </w:rPr>
            </w:pPr>
            <w:r>
              <w:rPr>
                <w:rFonts w:ascii="Arial" w:cs="Arial" w:eastAsia="Arial" w:hAnsi="Arial"/>
                <w:sz w:val="16"/>
                <w:szCs w:val="16"/>
                <w:b w:val="1"/>
                <w:bCs w:val="1"/>
                <w:color w:val="77943C"/>
              </w:rPr>
              <w:t>Duke, Oklahoma</w:t>
            </w:r>
          </w:p>
        </w:tc>
        <w:tc>
          <w:tcPr>
            <w:tcW w:w="1580" w:type="dxa"/>
            <w:vAlign w:val="bottom"/>
          </w:tcPr>
          <w:p>
            <w:pPr>
              <w:jc w:val="right"/>
              <w:spacing w:after="0"/>
              <w:rPr>
                <w:sz w:val="20"/>
                <w:szCs w:val="20"/>
                <w:color w:val="auto"/>
              </w:rPr>
            </w:pPr>
            <w:r>
              <w:rPr>
                <w:rFonts w:ascii="Arial" w:cs="Arial" w:eastAsia="Arial" w:hAnsi="Arial"/>
                <w:sz w:val="15"/>
                <w:szCs w:val="15"/>
                <w:color w:val="auto"/>
              </w:rPr>
              <w:t>7,500</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18,300</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25,800</w:t>
            </w:r>
          </w:p>
        </w:tc>
        <w:tc>
          <w:tcPr>
            <w:tcW w:w="1980" w:type="dxa"/>
            <w:vAlign w:val="bottom"/>
            <w:gridSpan w:val="2"/>
          </w:tcPr>
          <w:p>
            <w:pPr>
              <w:jc w:val="right"/>
              <w:spacing w:after="0"/>
              <w:rPr>
                <w:sz w:val="20"/>
                <w:szCs w:val="20"/>
                <w:color w:val="auto"/>
              </w:rPr>
            </w:pPr>
            <w:r>
              <w:rPr>
                <w:rFonts w:ascii="Arial" w:cs="Arial" w:eastAsia="Arial" w:hAnsi="Arial"/>
                <w:sz w:val="15"/>
                <w:szCs w:val="15"/>
                <w:color w:val="auto"/>
              </w:rPr>
              <w:t>607</w:t>
            </w:r>
          </w:p>
        </w:tc>
        <w:tc>
          <w:tcPr>
            <w:tcW w:w="0" w:type="dxa"/>
            <w:vAlign w:val="bottom"/>
          </w:tcPr>
          <w:p>
            <w:pPr>
              <w:spacing w:after="0"/>
              <w:rPr>
                <w:sz w:val="1"/>
                <w:szCs w:val="1"/>
                <w:color w:val="auto"/>
              </w:rPr>
            </w:pPr>
          </w:p>
        </w:tc>
      </w:tr>
      <w:tr>
        <w:trPr>
          <w:trHeight w:val="169"/>
        </w:trPr>
        <w:tc>
          <w:tcPr>
            <w:tcW w:w="4320" w:type="dxa"/>
            <w:vAlign w:val="bottom"/>
            <w:tcBorders>
              <w:top w:val="single" w:sz="8" w:color="A6A6A6"/>
            </w:tcBorders>
          </w:tcPr>
          <w:p>
            <w:pPr>
              <w:ind w:left="20"/>
              <w:spacing w:after="0" w:line="169" w:lineRule="exact"/>
              <w:rPr>
                <w:sz w:val="20"/>
                <w:szCs w:val="20"/>
                <w:color w:val="auto"/>
              </w:rPr>
            </w:pPr>
            <w:r>
              <w:rPr>
                <w:rFonts w:ascii="Arial" w:cs="Arial" w:eastAsia="Arial" w:hAnsi="Arial"/>
                <w:sz w:val="15"/>
                <w:szCs w:val="15"/>
                <w:b w:val="1"/>
                <w:bCs w:val="1"/>
                <w:color w:val="77943C"/>
              </w:rPr>
              <w:t xml:space="preserve">Georgetown, South Carolina </w:t>
            </w:r>
            <w:r>
              <w:rPr>
                <w:rFonts w:ascii="Arial" w:cs="Arial" w:eastAsia="Arial" w:hAnsi="Arial"/>
                <w:sz w:val="19"/>
                <w:szCs w:val="19"/>
                <w:b w:val="1"/>
                <w:bCs w:val="1"/>
                <w:color w:val="77943C"/>
                <w:vertAlign w:val="superscript"/>
              </w:rPr>
              <w:t>(4)</w:t>
            </w:r>
          </w:p>
        </w:tc>
        <w:tc>
          <w:tcPr>
            <w:tcW w:w="1580" w:type="dxa"/>
            <w:vAlign w:val="bottom"/>
            <w:tcBorders>
              <w:top w:val="single" w:sz="8" w:color="A6A6A6"/>
            </w:tcBorders>
          </w:tcPr>
          <w:p>
            <w:pPr>
              <w:jc w:val="right"/>
              <w:spacing w:after="0" w:line="169" w:lineRule="exact"/>
              <w:rPr>
                <w:sz w:val="20"/>
                <w:szCs w:val="20"/>
                <w:color w:val="auto"/>
              </w:rPr>
            </w:pPr>
            <w:r>
              <w:rPr>
                <w:rFonts w:ascii="Arial" w:cs="Arial" w:eastAsia="Arial" w:hAnsi="Arial"/>
                <w:sz w:val="15"/>
                <w:szCs w:val="15"/>
                <w:color w:val="auto"/>
              </w:rPr>
              <w:t>n/a</w:t>
            </w:r>
          </w:p>
        </w:tc>
        <w:tc>
          <w:tcPr>
            <w:tcW w:w="80" w:type="dxa"/>
            <w:vAlign w:val="bottom"/>
          </w:tcPr>
          <w:p>
            <w:pPr>
              <w:spacing w:after="0"/>
              <w:rPr>
                <w:sz w:val="14"/>
                <w:szCs w:val="14"/>
                <w:color w:val="auto"/>
              </w:rPr>
            </w:pPr>
          </w:p>
        </w:tc>
        <w:tc>
          <w:tcPr>
            <w:tcW w:w="1560" w:type="dxa"/>
            <w:vAlign w:val="bottom"/>
            <w:tcBorders>
              <w:top w:val="single" w:sz="8" w:color="A6A6A6"/>
            </w:tcBorders>
          </w:tcPr>
          <w:p>
            <w:pPr>
              <w:jc w:val="right"/>
              <w:spacing w:after="0" w:line="169" w:lineRule="exact"/>
              <w:rPr>
                <w:sz w:val="20"/>
                <w:szCs w:val="20"/>
                <w:color w:val="auto"/>
              </w:rPr>
            </w:pPr>
            <w:r>
              <w:rPr>
                <w:rFonts w:ascii="Arial" w:cs="Arial" w:eastAsia="Arial" w:hAnsi="Arial"/>
                <w:sz w:val="15"/>
                <w:szCs w:val="15"/>
                <w:color w:val="auto"/>
              </w:rPr>
              <w:t>n/a</w:t>
            </w:r>
          </w:p>
        </w:tc>
        <w:tc>
          <w:tcPr>
            <w:tcW w:w="80" w:type="dxa"/>
            <w:vAlign w:val="bottom"/>
          </w:tcPr>
          <w:p>
            <w:pPr>
              <w:spacing w:after="0"/>
              <w:rPr>
                <w:sz w:val="14"/>
                <w:szCs w:val="14"/>
                <w:color w:val="auto"/>
              </w:rPr>
            </w:pPr>
          </w:p>
        </w:tc>
        <w:tc>
          <w:tcPr>
            <w:tcW w:w="1560" w:type="dxa"/>
            <w:vAlign w:val="bottom"/>
            <w:tcBorders>
              <w:top w:val="single" w:sz="8" w:color="A6A6A6"/>
            </w:tcBorders>
          </w:tcPr>
          <w:p>
            <w:pPr>
              <w:jc w:val="right"/>
              <w:spacing w:after="0" w:line="169" w:lineRule="exact"/>
              <w:rPr>
                <w:sz w:val="20"/>
                <w:szCs w:val="20"/>
                <w:color w:val="auto"/>
              </w:rPr>
            </w:pPr>
            <w:r>
              <w:rPr>
                <w:rFonts w:ascii="Arial" w:cs="Arial" w:eastAsia="Arial" w:hAnsi="Arial"/>
                <w:sz w:val="15"/>
                <w:szCs w:val="15"/>
                <w:color w:val="auto"/>
              </w:rPr>
              <w:t>n/a</w:t>
            </w:r>
          </w:p>
        </w:tc>
        <w:tc>
          <w:tcPr>
            <w:tcW w:w="80" w:type="dxa"/>
            <w:vAlign w:val="bottom"/>
          </w:tcPr>
          <w:p>
            <w:pPr>
              <w:spacing w:after="0"/>
              <w:rPr>
                <w:sz w:val="14"/>
                <w:szCs w:val="14"/>
                <w:color w:val="auto"/>
              </w:rPr>
            </w:pPr>
          </w:p>
        </w:tc>
        <w:tc>
          <w:tcPr>
            <w:tcW w:w="1900" w:type="dxa"/>
            <w:vAlign w:val="bottom"/>
            <w:tcBorders>
              <w:top w:val="single" w:sz="8" w:color="A6A6A6"/>
            </w:tcBorders>
          </w:tcPr>
          <w:p>
            <w:pPr>
              <w:jc w:val="right"/>
              <w:spacing w:after="0" w:line="169"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6A6A6"/>
            </w:tcBorders>
          </w:tcPr>
          <w:p>
            <w:pPr>
              <w:spacing w:after="0"/>
              <w:rPr>
                <w:sz w:val="2"/>
                <w:szCs w:val="2"/>
                <w:color w:val="auto"/>
              </w:rPr>
            </w:pPr>
          </w:p>
        </w:tc>
        <w:tc>
          <w:tcPr>
            <w:tcW w:w="1580" w:type="dxa"/>
            <w:vAlign w:val="bottom"/>
            <w:tcBorders>
              <w:bottom w:val="single" w:sz="8" w:color="77943C"/>
            </w:tcBorders>
            <w:shd w:val="clear" w:color="auto" w:fill="77943C"/>
          </w:tcPr>
          <w:p>
            <w:pPr>
              <w:spacing w:after="0"/>
              <w:rPr>
                <w:sz w:val="2"/>
                <w:szCs w:val="2"/>
                <w:color w:val="auto"/>
              </w:rPr>
            </w:pPr>
          </w:p>
        </w:tc>
        <w:tc>
          <w:tcPr>
            <w:tcW w:w="80" w:type="dxa"/>
            <w:vAlign w:val="bottom"/>
            <w:vMerge w:val="restart"/>
          </w:tcPr>
          <w:p>
            <w:pPr>
              <w:spacing w:after="0"/>
              <w:rPr>
                <w:sz w:val="2"/>
                <w:szCs w:val="2"/>
                <w:color w:val="auto"/>
              </w:rPr>
            </w:pPr>
          </w:p>
        </w:tc>
        <w:tc>
          <w:tcPr>
            <w:tcW w:w="1560" w:type="dxa"/>
            <w:vAlign w:val="bottom"/>
            <w:tcBorders>
              <w:bottom w:val="single" w:sz="8" w:color="77943C"/>
            </w:tcBorders>
            <w:shd w:val="clear" w:color="auto" w:fill="77943C"/>
          </w:tcPr>
          <w:p>
            <w:pPr>
              <w:spacing w:after="0"/>
              <w:rPr>
                <w:sz w:val="2"/>
                <w:szCs w:val="2"/>
                <w:color w:val="auto"/>
              </w:rPr>
            </w:pPr>
          </w:p>
        </w:tc>
        <w:tc>
          <w:tcPr>
            <w:tcW w:w="80" w:type="dxa"/>
            <w:vAlign w:val="bottom"/>
            <w:vMerge w:val="restart"/>
          </w:tcPr>
          <w:p>
            <w:pPr>
              <w:spacing w:after="0"/>
              <w:rPr>
                <w:sz w:val="2"/>
                <w:szCs w:val="2"/>
                <w:color w:val="auto"/>
              </w:rPr>
            </w:pPr>
          </w:p>
        </w:tc>
        <w:tc>
          <w:tcPr>
            <w:tcW w:w="1560" w:type="dxa"/>
            <w:vAlign w:val="bottom"/>
            <w:tcBorders>
              <w:bottom w:val="single" w:sz="8" w:color="77943C"/>
            </w:tcBorders>
            <w:shd w:val="clear" w:color="auto" w:fill="77943C"/>
          </w:tcPr>
          <w:p>
            <w:pPr>
              <w:spacing w:after="0"/>
              <w:rPr>
                <w:sz w:val="2"/>
                <w:szCs w:val="2"/>
                <w:color w:val="auto"/>
              </w:rPr>
            </w:pPr>
          </w:p>
        </w:tc>
        <w:tc>
          <w:tcPr>
            <w:tcW w:w="80" w:type="dxa"/>
            <w:vAlign w:val="bottom"/>
            <w:vMerge w:val="restart"/>
          </w:tcPr>
          <w:p>
            <w:pPr>
              <w:spacing w:after="0"/>
              <w:rPr>
                <w:sz w:val="2"/>
                <w:szCs w:val="2"/>
                <w:color w:val="auto"/>
              </w:rPr>
            </w:pPr>
          </w:p>
        </w:tc>
        <w:tc>
          <w:tcPr>
            <w:tcW w:w="1900" w:type="dxa"/>
            <w:vAlign w:val="bottom"/>
            <w:tcBorders>
              <w:bottom w:val="single" w:sz="8" w:color="77943C"/>
            </w:tcBorders>
            <w:shd w:val="clear" w:color="auto" w:fill="77943C"/>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320" w:type="dxa"/>
            <w:vAlign w:val="bottom"/>
          </w:tcPr>
          <w:p>
            <w:pPr>
              <w:ind w:left="200"/>
              <w:spacing w:after="0" w:line="169" w:lineRule="exact"/>
              <w:rPr>
                <w:sz w:val="20"/>
                <w:szCs w:val="20"/>
                <w:color w:val="auto"/>
              </w:rPr>
            </w:pPr>
            <w:r>
              <w:rPr>
                <w:rFonts w:ascii="Arial" w:cs="Arial" w:eastAsia="Arial" w:hAnsi="Arial"/>
                <w:sz w:val="16"/>
                <w:szCs w:val="16"/>
                <w:b w:val="1"/>
                <w:bCs w:val="1"/>
                <w:color w:val="auto"/>
              </w:rPr>
              <w:t>Total</w:t>
            </w:r>
          </w:p>
        </w:tc>
        <w:tc>
          <w:tcPr>
            <w:tcW w:w="1580" w:type="dxa"/>
            <w:vAlign w:val="bottom"/>
            <w:tcBorders>
              <w:bottom w:val="single" w:sz="8" w:color="77943C"/>
            </w:tcBorders>
          </w:tcPr>
          <w:p>
            <w:pPr>
              <w:jc w:val="right"/>
              <w:spacing w:after="0" w:line="169" w:lineRule="exact"/>
              <w:rPr>
                <w:sz w:val="20"/>
                <w:szCs w:val="20"/>
                <w:color w:val="auto"/>
              </w:rPr>
            </w:pPr>
            <w:r>
              <w:rPr>
                <w:rFonts w:ascii="Arial" w:cs="Arial" w:eastAsia="Arial" w:hAnsi="Arial"/>
                <w:sz w:val="15"/>
                <w:szCs w:val="15"/>
                <w:b w:val="1"/>
                <w:bCs w:val="1"/>
                <w:color w:val="auto"/>
              </w:rPr>
              <w:t>27,900</w:t>
            </w:r>
          </w:p>
        </w:tc>
        <w:tc>
          <w:tcPr>
            <w:tcW w:w="80" w:type="dxa"/>
            <w:vAlign w:val="bottom"/>
            <w:vMerge w:val="continue"/>
          </w:tcPr>
          <w:p>
            <w:pPr>
              <w:spacing w:after="0"/>
              <w:rPr>
                <w:sz w:val="14"/>
                <w:szCs w:val="14"/>
                <w:color w:val="auto"/>
              </w:rPr>
            </w:pPr>
          </w:p>
        </w:tc>
        <w:tc>
          <w:tcPr>
            <w:tcW w:w="1560" w:type="dxa"/>
            <w:vAlign w:val="bottom"/>
            <w:tcBorders>
              <w:bottom w:val="single" w:sz="8" w:color="77943C"/>
            </w:tcBorders>
          </w:tcPr>
          <w:p>
            <w:pPr>
              <w:jc w:val="right"/>
              <w:spacing w:after="0" w:line="169" w:lineRule="exact"/>
              <w:rPr>
                <w:sz w:val="20"/>
                <w:szCs w:val="20"/>
                <w:color w:val="auto"/>
              </w:rPr>
            </w:pPr>
            <w:r>
              <w:rPr>
                <w:rFonts w:ascii="Arial" w:cs="Arial" w:eastAsia="Arial" w:hAnsi="Arial"/>
                <w:sz w:val="15"/>
                <w:szCs w:val="15"/>
                <w:b w:val="1"/>
                <w:bCs w:val="1"/>
                <w:color w:val="auto"/>
              </w:rPr>
              <w:t>34,600</w:t>
            </w:r>
          </w:p>
        </w:tc>
        <w:tc>
          <w:tcPr>
            <w:tcW w:w="80" w:type="dxa"/>
            <w:vAlign w:val="bottom"/>
            <w:vMerge w:val="continue"/>
          </w:tcPr>
          <w:p>
            <w:pPr>
              <w:spacing w:after="0"/>
              <w:rPr>
                <w:sz w:val="14"/>
                <w:szCs w:val="14"/>
                <w:color w:val="auto"/>
              </w:rPr>
            </w:pPr>
          </w:p>
        </w:tc>
        <w:tc>
          <w:tcPr>
            <w:tcW w:w="1560" w:type="dxa"/>
            <w:vAlign w:val="bottom"/>
            <w:tcBorders>
              <w:bottom w:val="single" w:sz="8" w:color="77943C"/>
            </w:tcBorders>
          </w:tcPr>
          <w:p>
            <w:pPr>
              <w:jc w:val="right"/>
              <w:spacing w:after="0" w:line="169" w:lineRule="exact"/>
              <w:rPr>
                <w:sz w:val="20"/>
                <w:szCs w:val="20"/>
                <w:color w:val="auto"/>
              </w:rPr>
            </w:pPr>
            <w:r>
              <w:rPr>
                <w:rFonts w:ascii="Arial" w:cs="Arial" w:eastAsia="Arial" w:hAnsi="Arial"/>
                <w:sz w:val="15"/>
                <w:szCs w:val="15"/>
                <w:b w:val="1"/>
                <w:bCs w:val="1"/>
                <w:color w:val="auto"/>
              </w:rPr>
              <w:t>62,500</w:t>
            </w:r>
          </w:p>
        </w:tc>
        <w:tc>
          <w:tcPr>
            <w:tcW w:w="80" w:type="dxa"/>
            <w:vAlign w:val="bottom"/>
            <w:vMerge w:val="continue"/>
          </w:tcPr>
          <w:p>
            <w:pPr>
              <w:spacing w:after="0"/>
              <w:rPr>
                <w:sz w:val="14"/>
                <w:szCs w:val="14"/>
                <w:color w:val="auto"/>
              </w:rPr>
            </w:pPr>
          </w:p>
        </w:tc>
        <w:tc>
          <w:tcPr>
            <w:tcW w:w="1900" w:type="dxa"/>
            <w:vAlign w:val="bottom"/>
            <w:tcBorders>
              <w:bottom w:val="single" w:sz="8" w:color="77943C"/>
            </w:tcBorders>
          </w:tcPr>
          <w:p>
            <w:pPr>
              <w:jc w:val="right"/>
              <w:spacing w:after="0" w:line="169" w:lineRule="exact"/>
              <w:rPr>
                <w:sz w:val="20"/>
                <w:szCs w:val="20"/>
                <w:color w:val="auto"/>
              </w:rPr>
            </w:pPr>
            <w:r>
              <w:rPr>
                <w:rFonts w:ascii="Arial" w:cs="Arial" w:eastAsia="Arial" w:hAnsi="Arial"/>
                <w:sz w:val="15"/>
                <w:szCs w:val="15"/>
                <w:b w:val="1"/>
                <w:bCs w:val="1"/>
                <w:color w:val="auto"/>
              </w:rPr>
              <w:t>1,547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80" w:type="dxa"/>
            <w:vAlign w:val="bottom"/>
            <w:tcBorders>
              <w:bottom w:val="single" w:sz="8" w:color="77943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77943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77943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77943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Gypsum reserves are shown on a recoverable basis.</w:t>
      </w:r>
    </w:p>
    <w:p>
      <w:pPr>
        <w:ind w:left="220" w:hanging="212"/>
        <w:spacing w:after="0" w:line="187" w:lineRule="auto"/>
        <w:tabs>
          <w:tab w:leader="none" w:pos="2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economic viability of our reserves were determined using average gypsum prices ranging from $13.50 to $15.50 per ton, depending on location and market.</w:t>
      </w:r>
    </w:p>
    <w:p>
      <w:pPr>
        <w:ind w:left="220" w:hanging="212"/>
        <w:spacing w:after="0" w:line="187" w:lineRule="auto"/>
        <w:tabs>
          <w:tab w:leader="none" w:pos="2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same reserves serve both New Mexico plants.</w:t>
      </w:r>
    </w:p>
    <w:p>
      <w:pPr>
        <w:ind w:left="220" w:hanging="212"/>
        <w:spacing w:after="0" w:line="189" w:lineRule="auto"/>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 2006 we signed a 60-year supply agreement for synthetic gypsum with Santee Cooper that expires in 2068.</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The internal controls over our resource and reserve estimates have been compiled similar to those in our cement business. See page 7 for a more detailed description of our internal controls over resource and reserve estimation.</w:t>
      </w:r>
    </w:p>
    <w:p>
      <w:pPr>
        <w:spacing w:after="0" w:line="89"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Our Gypsum Wallboard production totaled 2,982 MMSF in fiscal 2022 and 2,907 MMSF in fiscal 2021. Total Gypsum Wallboard sales were 2,944 MMSF in fiscal 2022, 2,857 MMSF in fiscal 2021, and 2,694 MMSF in fiscal 2020.</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77943C"/>
        </w:rPr>
        <w:t>Demand, Sales, and Distribution</w:t>
      </w:r>
    </w:p>
    <w:p>
      <w:pPr>
        <w:spacing w:after="0" w:line="166"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color w:val="auto"/>
        </w:rPr>
        <w:t>The principal sources of demand for gypsum wallboard are (i) residential construction, (ii) repair and remodeling, (iii) non-residential construction, and (iv) other markets such as manufactured housing. According to the Gypsum Association, industry shipments of gypsum wallboard increased 4% to 27.3 billion square feet in calendar 2022. We estimate that residential construction and repair and remodel accounted for more than 80% of calendar 2021 industry sales.</w:t>
      </w:r>
    </w:p>
    <w:p>
      <w:pPr>
        <w:spacing w:after="0" w:line="97"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Demand for gypsum wallboard closely follows construction industry cycles, particularly housing construction. Demand for wallboard can be seasonal and is generally highest from spring through the middle of autumn.</w:t>
      </w:r>
    </w:p>
    <w:p>
      <w:pPr>
        <w:spacing w:after="0" w:line="89" w:lineRule="exact"/>
        <w:rPr>
          <w:sz w:val="20"/>
          <w:szCs w:val="20"/>
          <w:color w:val="auto"/>
        </w:rPr>
      </w:pPr>
    </w:p>
    <w:p>
      <w:pPr>
        <w:jc w:val="both"/>
        <w:ind w:right="520"/>
        <w:spacing w:after="0" w:line="285" w:lineRule="auto"/>
        <w:rPr>
          <w:sz w:val="20"/>
          <w:szCs w:val="20"/>
          <w:color w:val="auto"/>
        </w:rPr>
      </w:pPr>
      <w:r>
        <w:rPr>
          <w:rFonts w:ascii="Arial" w:cs="Arial" w:eastAsia="Arial" w:hAnsi="Arial"/>
          <w:sz w:val="18"/>
          <w:szCs w:val="18"/>
          <w:color w:val="auto"/>
        </w:rPr>
        <w:t>We sell gypsum wallboard to numerous building-materials dealers, gypsum wallboard specialty distributors, lumber yards, home-center chains, and other customers located throughout the United States, with the exception of the Northeast. Gypsum wallboard is sold on a delivered basis, mostly by truck. We generally use third-party common carriers for deliveries. Two customers collectively accounted for approximately 30% of our Gypsum Wallboard segment sales during fiscal 2022.</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Although gypsum wallboard is distributed principally in local areas, certain industry producers (including the Company) have the ability to ship gypsum wallboard by rail outside their usual regional distribution areas to regions where demand is strong. Our rail distribution capabilities permit us to service customers in markets on both the east and west coasts, except for the Northeast. Less than 10% of our Wallboard volume sold during fiscal 2022 was delivered via rail.</w:t>
      </w:r>
    </w:p>
    <w:p>
      <w:pPr>
        <w:spacing w:after="0" w:line="97"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There are currently six manufacturers of gypsum wallboard in the U.S., operating a total of 61 plants with a total of 71 lines, per the Gypsum Association. We estimate that the four largest producers ‒ Knauf, National Gypsum Company, Certainteed, and Koch Industries ‒ account for approximately 85% of gypsum wallboard sales in the U.S. Total wallboard-rated production capacity in the United States is currently estimated by the Gypsum Association at approximately 34.9 billion square feet per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Raw Materials and Fuel Supplies</w:t>
      </w:r>
    </w:p>
    <w:p>
      <w:pPr>
        <w:spacing w:after="0" w:line="166"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We mine and extract natural gypsum, the principal raw material used in the manufacture of gypsum wallboard, from quarries owned, leased, or subject to mining claims owned by the Company and located near our plants. Certain of our New Mexico reserves are under lease with the Pueblo of Zia. Gypsum ore reserves at the Gypsum, Colorado plant are contained within a total of 115 placer claims encompassing 2,300 acres. Included in this are 94 unpatented mining claims, where mineral rights can be developed upon completion of permitting requirements. We are currently in the thirteenth year of a 60-year supply agreement (original 20-year term with two 20-year extension options) with a public utility in South Carolina for synthetic gypsum, which we use at our Georgetown, South Carolina plant. If the utility is unable to generate the agreed-upon amount of gypsum, it is responsible for providing gypsum from a third party to fulfill its obligations.</w:t>
      </w:r>
    </w:p>
    <w:p>
      <w:pPr>
        <w:spacing w:after="0" w:line="101"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Through our modern low-cost paperboard mill, we manufacture sufficient quantities of paper necessary for our gypsum wallboard production. Paper is a significant cost component in the manufacture of gypsum wallboard, currently representing approximately one-third of our production cost. Paper costs are anticipated to increase in the first half of fiscal 2023, which is expected to increase our manufacturing cost. See Raw Materials and Fuel Supplies in the Recycled Paperboard section for more discussion.</w:t>
      </w:r>
    </w:p>
    <w:p>
      <w:pPr>
        <w:spacing w:after="0" w:line="9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gypsum wallboard manufacturing operations use natural gas and electrical power. A significant portion of the Company’s natural gas requirements for our gypsum wallboard plants are currently provided by three gas producers under gas-supply agreements expiring in October 2023 for Colorado,</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20" w:name="page21"/>
    <w:bookmarkEnd w:id="20"/>
    <w:p>
      <w:pPr>
        <w:ind w:right="40"/>
        <w:spacing w:after="0" w:line="284" w:lineRule="auto"/>
        <w:rPr>
          <w:sz w:val="20"/>
          <w:szCs w:val="20"/>
          <w:color w:val="auto"/>
        </w:rPr>
      </w:pPr>
      <w:r>
        <w:rPr>
          <w:rFonts w:ascii="Arial" w:cs="Arial" w:eastAsia="Arial" w:hAnsi="Arial"/>
          <w:sz w:val="18"/>
          <w:szCs w:val="18"/>
          <w:color w:val="auto"/>
        </w:rPr>
        <w:t>South Carolina, and Oklahoma. If the agreements are not renewed, we anticipate being able to obtain our gas supplies from other suppliers at competitive prices. Electrical power is supplied to our New Mexico plants at standard industrial rates by a local utility. For our Albuquerque plant, we have an interruptible power supply agreement, which may expose it to some production interruptions during periods of power curtailment. Power for our Gypsum, Colorado facility is generated at the facility by a cogeneration power plant that we own and operate. Currently, the cogeneration power facility supplies power and waste hot gases for drying to the gypsum wallboard plant. We do not sell any power to third parties. Natural gas costs represented approximately 10% of our production costs in fiscal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Environmental Matters</w:t>
      </w:r>
    </w:p>
    <w:p>
      <w:pPr>
        <w:spacing w:after="0" w:line="166"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The gypsum wallboard industry is subject to numerous federal, state, and local laws and regulations pertaining to health, safety, and the environment. Some of these laws, such as the federal Clean Air Act and the federal Clean Water Act (and analogous state laws), impose environmental permitting requirements and govern the nature and amount of emissions that may be generated when conducting particular operations. Some laws, such as CERCLA (and analogous state laws), impose obligations to clean up or remediate spills of hazardous materials into the environment. Other laws require us to reclaim certain land upon completion of extraction and mining operations in our quarries. None of our Gypsum Wallboard operations is the subject of any local, state, or federal environmental proceedings. We do not, and have not, used asbestos in any of our gypsum wallboard products.</w:t>
      </w:r>
    </w:p>
    <w:p>
      <w:pPr>
        <w:spacing w:after="0" w:line="10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On April 17, 2015, the EPA published its final rule addressing the storage, reuse, and disposal of coal combustion products, which include fly ash and flue gas desulfurization gypsum (synthetic gypsum). We use synthetic gypsum in wallboard manufactured at our Georgetown, South Carolina plant. The rule, which applies only to electric utilities and independent power producers, establishes standards for the management of coal combustion residuals (CCRs) under Subtitle D of the Resource Conservation and Recovery Act (RCRA), which is the Subtitle that regulates non-hazardous wastes. The rule imposes requirements addressing CCR surface impoundments and landfills, including location restrictions, design, and operating specifications; groundwater monitoring requirements; corrective action requirements; recordkeeping and reporting obligations; and closure requirements. Beneficial encapsulated uses of CCRs, including synthetic gypsum, are exempt from regulation. The rule became effective on October 19, 2015. Given the EPA’s decision to continue to allow CCR to be used in synthetic gypsum and to regulate CCR under the non-hazardous waste sections of RCRA, we do not expect the rule to materially affect our business, financial condition, and results of operations. Although the EPA proposed revisions to the final CCR rule in 2018, 2019, and 2020, material effects on our business, financial condition, and results of operations are unlikely because none of these proposed rules currently seek to overturn the management of CCR as non-hazardous waste or the regulatory exemption for beneficial encapsulated use of CCR.</w:t>
      </w:r>
    </w:p>
    <w:p>
      <w:pPr>
        <w:spacing w:after="0" w:line="106"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As discussed in greater detail in the “Environmental Matters” section for Cement, the EPA in October 2015 strengthened the NAAQS for ozone by lowering the primary and secondary standards from 75 parts per billion (ppb) to 70 ppb. The EPA completed its attainment/nonattainment designations for the revised standards for all areas of the United States in July 2018. In December 2020, the Trump Administration announced its decision to retain the 2015 ozone NAAQS without change. This December 2020 final action, however, is subject to legal challenge and is currently being reviewed by the EPA pursuant to President Biden’s executive order directing federal agencies to review certain environmental actions taken by the Trump Administration. The EPA has not announced whether it plans to uphold or revise the 2020 ozone NAAQS. Consequently, if areas in or surrounding our operations obtain nonattainment designations, or if the EPA chooses to revise and lower the current ozone NAAQS, our consolidated financial results may be materially impacted.</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21" w:name="page22"/>
    <w:bookmarkEnd w:id="21"/>
    <w:p>
      <w:pPr>
        <w:ind w:right="40"/>
        <w:spacing w:after="0" w:line="285" w:lineRule="auto"/>
        <w:rPr>
          <w:sz w:val="20"/>
          <w:szCs w:val="20"/>
          <w:color w:val="auto"/>
        </w:rPr>
      </w:pPr>
      <w:r>
        <w:rPr>
          <w:rFonts w:ascii="Arial" w:cs="Arial" w:eastAsia="Arial" w:hAnsi="Arial"/>
          <w:sz w:val="18"/>
          <w:szCs w:val="18"/>
          <w:color w:val="auto"/>
        </w:rPr>
        <w:t>Our gypsum wallboard manufacturing process combusts natural gas. It is possible that GHG emissions from our manufacturing could become subject to regulation under the CAA as the EPA begins issuing new regulations to achieve President Biden’s GHG emission reduction goals. For a more detailed discussion of this issue, see the “Environmental Matters” section of our Cement business description on pages 11-12.</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Although our Gypsum Wallboard operations could be adversely affected by federal, regional, or state climate change initiatives, at this time, it is not possible to accurately estimate how future laws or regulations addressing GHG emissions would impact our business. However, any imposition of raw materials or production limitations, fuel-use or carbon taxes, or emission limitations or reductions could have a significant impact on the gypsum wallboard manufacturing industry and a material adverse effect on the financial results of our operations.</w:t>
      </w:r>
    </w:p>
    <w:p>
      <w:pPr>
        <w:spacing w:after="0" w:line="97" w:lineRule="exact"/>
        <w:rPr>
          <w:sz w:val="20"/>
          <w:szCs w:val="20"/>
          <w:color w:val="auto"/>
        </w:rPr>
      </w:pPr>
    </w:p>
    <w:p>
      <w:pPr>
        <w:jc w:val="both"/>
        <w:ind w:right="300"/>
        <w:spacing w:after="0" w:line="287" w:lineRule="auto"/>
        <w:rPr>
          <w:sz w:val="20"/>
          <w:szCs w:val="20"/>
          <w:color w:val="auto"/>
        </w:rPr>
      </w:pPr>
      <w:r>
        <w:rPr>
          <w:rFonts w:ascii="Arial" w:cs="Arial" w:eastAsia="Arial" w:hAnsi="Arial"/>
          <w:sz w:val="18"/>
          <w:szCs w:val="18"/>
          <w:color w:val="auto"/>
        </w:rPr>
        <w:t>There were $0.1 million of capital expenditures related to compliance with environmental regulations applicable to our Gypsum Wallboard operations during fiscal 2022. We do not anticipate any material capital expenditures related to our Gypsum Wallboard operations during fiscal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RECYCLED PAPERBOARD</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Our Recycled Paperboard manufacturing operation, which we refer to as Republic Paperboard Company, is located in Lawton, Oklahoma and has a technologically advanced paper machine designed primarily for gypsum liner production utilizing 100% recycled paper. The paper’s uniform cross-directional strength and finish characteristics facilitate the efficiencies of new high-speed wallboard manufacturing lines and improve the efficiencies of the slower wallboard manufacturing lines. Although the machine was designed primarily to manufacture gypsum liner products, we are also able to manufacture several alternative products, including containerboard grades and lightweight packaging grades. We currently estimate the annual capacity of our paper mill to be approximately 390,000 tons.</w:t>
      </w:r>
    </w:p>
    <w:p>
      <w:pPr>
        <w:spacing w:after="0" w:line="96"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Our paper machine allows the Paperboard operation to manufacture high-strength gypsum liner that is approximately 10% to 15% lighter in basis weight than what is generally available in the U.S. The low-basis weight product utilizes less recycled fiber to produce paper that, in turn, requires less energy (natural gas) to evaporate moisture from the board during the gypsum wallboard manufacturing process. The low-basis weight paper also reduces the overall finished board weight, providing our Wallboard operations with more competitive transportation costs for both the inbound and outbound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Demand, Sales, and Distribution</w:t>
      </w:r>
    </w:p>
    <w:p>
      <w:pPr>
        <w:spacing w:after="0" w:line="166"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Our manufactured recycled paperboard products are sold to gypsum wallboard manufacturers and other industrial users. During fiscal 2022, approximately 40% of the recycled paperboard sold by our paper mill was consumed by the Company’s Gypsum Wallboard manufacturing operations. We have contracts with two other gypsum wallboard manufacturers that expire in the next two to three years, that represent approximately 50% of our total segment revenue, with the remaining volume shipped to other gypsum wallboard manufacturers. The loss of any of these contracts or a termination or reduction of their current production of gypsum wallboard, unless replaced by a commercially similar arrangement, could have a material adverse effect on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Raw Materials and Fuel Supplies</w:t>
      </w:r>
    </w:p>
    <w:p>
      <w:pPr>
        <w:spacing w:after="0" w:line="166"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The principal raw materials in recycled paperboard are recycled paper fiber (recovered waste paper), water, and specialty paper chemicals. The largest waste paper source used by the operation is old corrugated containers (known as OCC). A blend of high grades (white papers consisting of ink-free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papers, such as news blank and unprinted papers) is used in the gypsum liner facing paper, white top linerboard, and white bag liner grades.</w:t>
      </w:r>
    </w:p>
    <w:p>
      <w:pPr>
        <w:spacing w:after="0" w:line="14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believe that an adequate supply of recycled paper fiber will continue to be available from sources located within a reasonable proximity of the paper mill. Although we have the capability to receive rail shipments, the vast majority of the recycled fiber purchased is delivered via truck. Prices are subject to market fluctuations based on generation of material (supply), demand, and the presence of the export market. Fiber pricing, on average, increased approximately 50% during fiscal 2022 compared with fiscal 2021. We expect fiber prices to remain consistent for the remainder of fiscal 2023. Current gypsum liner customer contracts include price escalators that partially offset and compensate for changes in raw material fiber prices. The chemicals used in the paper making operation, including size, retention aids, biocides, and bacteria controls, are readily available from several manufacturers at competitive prices.</w:t>
      </w:r>
    </w:p>
    <w:p>
      <w:pPr>
        <w:spacing w:after="0" w:line="101" w:lineRule="exact"/>
        <w:rPr>
          <w:sz w:val="20"/>
          <w:szCs w:val="20"/>
          <w:color w:val="auto"/>
        </w:rPr>
      </w:pPr>
    </w:p>
    <w:p>
      <w:pPr>
        <w:jc w:val="both"/>
        <w:ind w:right="100"/>
        <w:spacing w:after="0" w:line="285" w:lineRule="auto"/>
        <w:rPr>
          <w:sz w:val="20"/>
          <w:szCs w:val="20"/>
          <w:color w:val="auto"/>
        </w:rPr>
      </w:pPr>
      <w:r>
        <w:rPr>
          <w:rFonts w:ascii="Arial" w:cs="Arial" w:eastAsia="Arial" w:hAnsi="Arial"/>
          <w:sz w:val="18"/>
          <w:szCs w:val="18"/>
          <w:color w:val="auto"/>
        </w:rPr>
        <w:t>The manufacture of recycled paperboard involves the use of a large volume of water in the production process. We have an agreement with the City of Lawton municipal services for supply of water to our manufacturing facility. Electricity, natural gas, and other utilities are available to us at either contracted rates or standard industrial rates in adequate supplies. These utilities are subject to standard industrial curtailment provisions.</w:t>
      </w:r>
    </w:p>
    <w:p>
      <w:pPr>
        <w:spacing w:after="0" w:line="97"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Paperboard operations are generally large consumers of energy, mostly natural gas and electricity. Electricity is supplied to the paper mill by Public Service of Oklahoma (PSO), and they have requested an increase in rates for fiscal 2023. Oklahoma is a regulated state for electricity services, and all rate change requests must be presented to the Oklahoma Corporation Commission for review and approval before implementation. At this time, we are unable to estimate how much of the increase will be granted by the Oklahoma Corporation Commission. This power company has been moving its fuel source dependency to natural gas, which could affect our electricity rates in future years. Natural gas costs in fiscal 2022 increased compared with fiscal 2021. Natural gas costs are expected to trend higher in fiscal 2023 due to increased demand and global economic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EB949"/>
        </w:rPr>
        <w:t>Environmental Matters</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There were no capital expenditures related to compliance with environmental regulations applicable to our Recycled Paperboard operations during fiscal 2022. We anticipate spending $2.0 million during fiscal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WHERE YOU CAN FIND MORE INFORMATION</w:t>
      </w:r>
    </w:p>
    <w:p>
      <w:pPr>
        <w:spacing w:after="0" w:line="166"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 xml:space="preserve">We publish our annual reports on Form 10-K and Form DEF 14A, Annual Proxy Statement; our quarterly reports on Form 10-Q; and current reports on Form 8-K. These reports along with all amendments to them, are available free of charge through the Investor Relations page of our website, located at </w:t>
      </w:r>
      <w:r>
        <w:rPr>
          <w:rFonts w:ascii="Arial" w:cs="Arial" w:eastAsia="Arial" w:hAnsi="Arial"/>
          <w:sz w:val="18"/>
          <w:szCs w:val="18"/>
          <w:i w:val="1"/>
          <w:iCs w:val="1"/>
          <w:u w:val="single" w:color="auto"/>
          <w:color w:val="auto"/>
        </w:rPr>
        <w:t>eaglematerials.com</w:t>
      </w:r>
      <w:r>
        <w:rPr>
          <w:rFonts w:ascii="Arial" w:cs="Arial" w:eastAsia="Arial" w:hAnsi="Arial"/>
          <w:sz w:val="18"/>
          <w:szCs w:val="18"/>
          <w:color w:val="auto"/>
        </w:rPr>
        <w:t xml:space="preserve"> as soon as reasonably practicable after they are filed with or furnished to the Securities and Exchange Commission (SEC). This reference to our website is intended solely to inform investors where they may obtain additional information; the materials and other information presented on our website are not incorporated in and should not otherwise be considered part of this Report. Additionally, investors may obtain information by contacting our Investor Relations department directly at (214) 432-2000 or by writing to Eagle Materials Inc., Investor Relations, 5960 Berkshire Lane, Suite 900, Dallas, Texas 75225.</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3" w:name="page24"/>
    <w:bookmarkEnd w:id="23"/>
    <w:p>
      <w:pPr>
        <w:spacing w:after="0"/>
        <w:rPr>
          <w:sz w:val="20"/>
          <w:szCs w:val="20"/>
          <w:color w:val="auto"/>
        </w:rPr>
      </w:pPr>
      <w:r>
        <w:rPr>
          <w:rFonts w:ascii="Arial" w:cs="Arial" w:eastAsia="Arial" w:hAnsi="Arial"/>
          <w:sz w:val="23"/>
          <w:szCs w:val="23"/>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61" w:right="379" w:bottom="1440" w:gutter="0" w:footer="0" w:header="0"/>
        </w:sectPr>
      </w:pPr>
    </w:p>
    <w:p>
      <w:pPr>
        <w:spacing w:after="0" w:line="177"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004483"/>
        </w:rPr>
        <w:t>The foregoing discussion of our business and operations should be read together with the risk factors set forth below. They describe various risks and uncertainties to which we are or may become subject, many of which are outside of our control. These risks and uncertainties, together with other factors described elsewhere in this Report, have affected, or may in the future affect, our business, operations, financial condition and results of operations in a material and adverse manner.</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COVID-19 RISK FACTORS</w:t>
      </w:r>
    </w:p>
    <w:p>
      <w:pPr>
        <w:spacing w:after="0" w:line="127" w:lineRule="exact"/>
        <w:rPr>
          <w:sz w:val="20"/>
          <w:szCs w:val="20"/>
          <w:color w:val="auto"/>
        </w:rPr>
      </w:pPr>
    </w:p>
    <w:p>
      <w:pPr>
        <w:ind w:right="460"/>
        <w:spacing w:after="0" w:line="274" w:lineRule="auto"/>
        <w:rPr>
          <w:sz w:val="20"/>
          <w:szCs w:val="20"/>
          <w:color w:val="auto"/>
        </w:rPr>
      </w:pPr>
      <w:r>
        <w:rPr>
          <w:rFonts w:ascii="Arial" w:cs="Arial" w:eastAsia="Arial" w:hAnsi="Arial"/>
          <w:sz w:val="20"/>
          <w:szCs w:val="20"/>
          <w:i w:val="1"/>
          <w:iCs w:val="1"/>
          <w:color w:val="004483"/>
        </w:rPr>
        <w:t>A pandemic, epidemic, or other public health emergency, such as the COVID-19 pandemic, could have a material adverse effect on our business, results of operations, financial condition, and cash flows.</w:t>
      </w:r>
    </w:p>
    <w:p>
      <w:pPr>
        <w:spacing w:after="0" w:line="85"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Our operations expose us to risks associated with pandemics, epidemics or other public health emergencies, such as the COVID-19 pandemic. The COVID-19 pandemic resulted in governments in the United States and elsewhere in the world implementing or reimplementing strict measures to help control the spread of the virus, including quarantines, “shelter in place” and “stay at home” orders, travel restrictions, business curtailments, school closures, and other measures. In addition, governments and central banks in several parts of the world enacted fiscal and monetary stimulus measures to counteract the impacts of the COVID-19 pandemic and may take further action as circumstances warrant.</w:t>
      </w:r>
    </w:p>
    <w:p>
      <w:pPr>
        <w:spacing w:after="0" w:line="9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Consistent with federal guidelines and with state and local orders to date, we currently continue to operate across our entire network. Notwithstanding the fact that we have been able to continue our operations, the COVID-19 pandemic has had and may in the future have negative impacts on our operations, supply chain, transportation networks and customers, which may lower our revenues and earnings, including as a result of preventative and precautionary measures that we, other businesses and governments are taking. The extent to which the COVID-19 pandemic or any worsening thereof in our primary areas of operation will impact our business, results of operations, financial condition or cash flows will depend on future developments, which remain highly uncertain and cannot be predicted, including, but not limited to, the duration and geographic spread of the outbreak, its severity, the actions to contain the virus or treat its impact including the reimplementation of restrictions on economic activity following new outbreaks, the availability, durability and efficacy of vaccines, the long-term impacts of the virus on transportation revenues, government budgets and other funding priorities and the extent and pace at which normal economic and operating conditions can resume. There can be no assurance that we will not be impacted by adverse consequences that may be brought about by pandemics on global financial markets, which may reduce resources, share prices and financial liquidity and may severely limit the availability of financing capital.</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1" w:right="37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004483"/>
        </w:rPr>
        <w:t>INDUSTRY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are affected by the level of demand in the construction industry.</w:t>
      </w:r>
    </w:p>
    <w:p>
      <w:pPr>
        <w:spacing w:after="0" w:line="137"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Demand for our construction products and building materials is directly related to the level of activity in the construction industry, which includes residential, commercial and infrastructure construction. Although we expect an increase in infrastructure spending by the federal and some state and local governments due to the passage of the Infrastructure Investment and Jobs Act in November 2021, infrastructure spending may be adversely affected by several factors, including the budget constraints by federal, state and local governments. Any decrease in the amount of government funds available for such projects or any decrease in construction activity in general (including any weakness in residential or commercial construction) could have a material adverse effect on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business is seasonal in nature, and this causes our quarterly results to vary significantly.</w:t>
      </w:r>
    </w:p>
    <w:p>
      <w:pPr>
        <w:spacing w:after="0" w:line="137" w:lineRule="exact"/>
        <w:rPr>
          <w:sz w:val="20"/>
          <w:szCs w:val="20"/>
          <w:color w:val="auto"/>
        </w:rPr>
      </w:pPr>
    </w:p>
    <w:p>
      <w:pPr>
        <w:jc w:val="both"/>
        <w:ind w:right="200"/>
        <w:spacing w:after="0" w:line="287" w:lineRule="auto"/>
        <w:rPr>
          <w:sz w:val="20"/>
          <w:szCs w:val="20"/>
          <w:color w:val="auto"/>
        </w:rPr>
      </w:pPr>
      <w:r>
        <w:rPr>
          <w:rFonts w:ascii="Arial" w:cs="Arial" w:eastAsia="Arial" w:hAnsi="Arial"/>
          <w:sz w:val="18"/>
          <w:szCs w:val="18"/>
          <w:color w:val="auto"/>
        </w:rPr>
        <w:t>A majority of our business is seasonal with peak revenue and profits occurring primarily in the months of April through November when the weather in our markets is more suitable for construction activity. Quarterly results have varied significantly in the past and are likely to vary significantly in the future. Such variations could have a negative impact on the price of our common stock.</w:t>
      </w:r>
    </w:p>
    <w:p>
      <w:pPr>
        <w:spacing w:after="0" w:line="78" w:lineRule="exact"/>
        <w:rPr>
          <w:sz w:val="20"/>
          <w:szCs w:val="20"/>
          <w:color w:val="auto"/>
        </w:rPr>
      </w:pPr>
    </w:p>
    <w:p>
      <w:pPr>
        <w:ind w:right="420"/>
        <w:spacing w:after="0" w:line="274" w:lineRule="auto"/>
        <w:rPr>
          <w:sz w:val="20"/>
          <w:szCs w:val="20"/>
          <w:color w:val="auto"/>
        </w:rPr>
      </w:pPr>
      <w:r>
        <w:rPr>
          <w:rFonts w:ascii="Arial" w:cs="Arial" w:eastAsia="Arial" w:hAnsi="Arial"/>
          <w:sz w:val="20"/>
          <w:szCs w:val="20"/>
          <w:i w:val="1"/>
          <w:iCs w:val="1"/>
          <w:color w:val="004483"/>
        </w:rPr>
        <w:t>We are subject to the risk of unfavorable weather conditions, particularly during peak construction periods, as well as other unexpected operational difficulties.</w:t>
      </w:r>
    </w:p>
    <w:p>
      <w:pPr>
        <w:spacing w:after="0" w:line="85"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Unfavorable weather conditions, such as snow, cold weather, tornados, hurricanes, tropical storms, and heavy or sustained rainfall, can reduce construction activity and adversely affect demand for construction products. In addition, severe weather conditions can impair our ability to continue our operations, and even require the closure of certain of our facilities on a temporary or extended basis. Weather conditions also have the potential to increase our costs (including the cost of natural gas and electric power), reduce our production, or impede our ability to transport our products in an efficient and cost-effective manner. Similarly, operational difficulties, such as business interruption due to required maintenance, capital improvement projects, or loss of power, can increase our costs and reduce our production. The effect of these risks is more pronounced during peak construction periods, such as months of April through November, during which any reduction in demand or production could adversely affect our sales and operating profits.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and our customers participate in cyclical industries and regional markets, which are subject to industry downturns.</w:t>
      </w:r>
    </w:p>
    <w:p>
      <w:pPr>
        <w:spacing w:after="0" w:line="137"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 majority of our revenue is from customers who are in industries and businesses that are cyclical in nature and subject to changes in general economic conditions. For example, many of our customers operate in the construction industry, which is affected by a variety of factors, such as general economic conditions, changes in interest rates, demographic and population shifts, levels of infrastructure spending, and other factors beyond our control. In addition, since our operations are in a variety of geographic markets, our businesses are subject to differing economic conditions in each such geographic market. Economic downturns in the industries to which we sell our products or localized downturns in the regions where we have operations generally have an adverse effect on demand for our products and negatively affect the collectability of our receivables. In general, any downturns in these industries or regions could have a material adverse effect on our business, financial condition, and results of operations.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5" w:name="page26"/>
    <w:bookmarkEnd w:id="25"/>
    <w:p>
      <w:pPr>
        <w:spacing w:after="0"/>
        <w:rPr>
          <w:sz w:val="20"/>
          <w:szCs w:val="20"/>
          <w:color w:val="auto"/>
        </w:rPr>
      </w:pPr>
      <w:r>
        <w:rPr>
          <w:rFonts w:ascii="Arial" w:cs="Arial" w:eastAsia="Arial" w:hAnsi="Arial"/>
          <w:sz w:val="20"/>
          <w:szCs w:val="20"/>
          <w:i w:val="1"/>
          <w:iCs w:val="1"/>
          <w:color w:val="004483"/>
        </w:rPr>
        <w:t>Many of our products are commodities, which are subject to significant changes in supply and demand and price fluctuations.</w:t>
      </w:r>
    </w:p>
    <w:p>
      <w:pPr>
        <w:spacing w:after="0" w:line="137"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Many of the products sold by us are commodities, and competition among manufacturers is based largely on price. Prices are often subject to material changes in response to relatively minor fluctuations in supply and demand, general economic conditions, and other market conditions beyond our control. Increases in the production capacity of industry participants for products such as gypsum wallboard, or cement (including in connection with the increased use of Portland Limestone Cement) or increases in cement imports tend to create an oversupply of such products leading to an imbalance between supply and demand, which can have a negative impact on product prices. Currently, there continues to be significant excess nameplate capacity in the gypsum wallboard industry in the United States. There can be no assurance that prices for products sold by us will not decline in the future or that such declines will not have a material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ECONOMIC, POLITICAL, AND LEGAL RISK FACTORS</w:t>
      </w:r>
    </w:p>
    <w:p>
      <w:pPr>
        <w:spacing w:after="0" w:line="118"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i w:val="1"/>
          <w:iCs w:val="1"/>
          <w:color w:val="004483"/>
        </w:rPr>
        <w:t>Our and our customers’ operations are subject to extensive governmental regulation, including environmental laws, which can be costly and burdensome.</w:t>
      </w:r>
    </w:p>
    <w:p>
      <w:pPr>
        <w:spacing w:after="0" w:line="8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operations and those of our customers are subject to and affected by federal, state, and local laws and regulations with respect to such matters as land usage, street and highway usage, noise level, and health and safety and environmental matters. In many instances, various certificates, permits, or licenses are required in order for us or our customers to conduct business or carry out construction and related operations. For example, certain of our waste-burning cement kilns are subject to the Standards of Performance for New Sources and Emissions Guidelines for Existing Sources for Commercial/Industrial Solid Waste Incinerators (the CISWI Rule). Although we believe that we are in compliance in all material respects with applicable regulatory requirements, there can be no assurance that we will not incur material costs or liabilities in connection with regulatory requirements or that demand for our products will not be adversely affected by regulatory issues affecting our customers. In addition, future developments, such as the discovery of new facts or conditions, the enactment or adoption of new or stricter laws or regulations, or stricter interpretations of existing laws or regulations, may impose new liabilities on us, require additional investment by us, or prevent us from opening, expanding, or modifying plants or facilities, any of which could have a material adverse effect on our financial condition or results of operations. Further, many of the states in which we operate contain at least one “area” that was designated as being in nonattainment for the 2015 ozone National Ambient Air Quality Standards (NAAQS). We may be required to meet new control requirements in these states requiring significant capital expenditures for compliance.</w:t>
      </w:r>
    </w:p>
    <w:p>
      <w:pPr>
        <w:spacing w:after="0" w:line="89"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i w:val="1"/>
          <w:iCs w:val="1"/>
          <w:color w:val="004483"/>
        </w:rPr>
        <w:t>Climate change and climate change legislation or regulations may adversely affect our business, including potential physical and financial impacts.</w:t>
      </w:r>
    </w:p>
    <w:p>
      <w:pPr>
        <w:spacing w:after="0" w:line="85"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color w:val="auto"/>
        </w:rPr>
        <w:t>The effects of climate change and legislation and regulation concerning GHGs could have a material adverse effect our financial condition, results of operations, and liquidity. A number of governmental bodies have finalized, proposed, or are contemplating legislative and regulatory changes in response to the potential effects of climate change. Such legislation or regulation has and potentially could include provisions for a “cap and trade” system of allowances and credits or a carbon tax, among other provisions. Any future laws or regulations addressing GHG emissions would likely have a negative impact on our business or results of operations, whether through the imposition of raw material or production limitations, fuel-use, or carbon taxes emission limitations or reductions, or otherwise. Notably, curbing GHG emissions and tackling climate change is a clear priority for President Biden’s administration.</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7" w:right="379" w:bottom="1440" w:gutter="0" w:footer="0" w:header="0"/>
        </w:sectPr>
      </w:pPr>
    </w:p>
    <w:bookmarkStart w:id="26" w:name="page27"/>
    <w:bookmarkEnd w:id="26"/>
    <w:p>
      <w:pPr>
        <w:ind w:right="40"/>
        <w:spacing w:after="0" w:line="307" w:lineRule="auto"/>
        <w:rPr>
          <w:sz w:val="20"/>
          <w:szCs w:val="20"/>
          <w:color w:val="auto"/>
        </w:rPr>
      </w:pPr>
      <w:r>
        <w:rPr>
          <w:rFonts w:ascii="Arial" w:cs="Arial" w:eastAsia="Arial" w:hAnsi="Arial"/>
          <w:sz w:val="17"/>
          <w:szCs w:val="17"/>
          <w:color w:val="auto"/>
        </w:rPr>
        <w:t>Any additional regulatory restrictions on emissions of GHGs imposed by the EPA will likely impact our cement plants, each of which currently file annual reports of GHG emissions as required by the EPA reporting rule. However, it is currently impossible to estimate the cost of any such future requirements at this time. In addition, we may not be able to recover any increased operating costs, taxes or capital investments relating to GHG emission limitations at those plants from our customers in order to remain competitive in pricing in the relevant markets.</w:t>
      </w:r>
    </w:p>
    <w:p>
      <w:pPr>
        <w:spacing w:after="0" w:line="80"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The effects of future climate change legislation and regulation concerning GHGs are highly uncertain and difficult to estimate. However, because a chemical reaction inherent to the manufacture of Portland cement releases carbon dioxide, a GHG, cement kiln operations may be disproportionately affected by future regulation of GHGs. Our cement plants, like those of other cement operators, require combustion of significant amounts of fuel to generate high kiln temperatures and create carbon dioxide as a product of the calcination process, which is an unavoidable step in making cement clinker. Accordingly, we continue to closely monitor GHG regulations and legislation and its potential impact on our cement business. There is also a potential for climate change legislation and regulation to adversely affect the cost of purchased energy and electricity.</w:t>
      </w:r>
    </w:p>
    <w:p>
      <w:pPr>
        <w:spacing w:after="0" w:line="101"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Other potential effects of climate change include physical effects such as disruption in production and product distribution as a result of major storm events and shifts in regional weather patterns and intensities. Production and shipment levels for our businesses correlate with general construction activity, most of which occurs outdoors and, as a result, is affected by erratic weather patterns, seasonal changes, and other unusual or unexpected weather-related conditions, which can significantly affect our businesses.</w:t>
      </w:r>
    </w:p>
    <w:p>
      <w:pPr>
        <w:spacing w:after="0" w:line="81"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i w:val="1"/>
          <w:iCs w:val="1"/>
          <w:color w:val="004483"/>
        </w:rPr>
        <w:t>Increasing regulatory, stakeholder, and societal environmental, social, governance, and other sustainability (ESG) matters and our response to these matters could negatively affect our business.</w:t>
      </w:r>
    </w:p>
    <w:p>
      <w:pPr>
        <w:spacing w:after="0" w:line="85"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We are subject to increasing governmental, stakeholder and societal attention to ESG matters, including, climate change, air emissions, waste management, water management, community engagement, human rights, labor, health and safety, and information disclosure. Such attention may alter the environment in which we do business and may increase the ongoing costs of compliance, assessment and reporting and adversely impact our financial condition, results of operations, and liquidity. Non-compliance with, or a failure to address, the regulatory, stakeholder and societal expectations and accompanying emerging ESG regulation and policy requirements (and related interpretations) may result in potential cost increases, fines, penalties, production restrictions, brand or reputational damage, loss of customers, failure to retain and attract talent and investor activism.</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i w:val="1"/>
          <w:iCs w:val="1"/>
          <w:color w:val="004483"/>
        </w:rPr>
        <w:t>We may become subject to significant cleanup, remediation, reclamation, and other liabilities under applicable environmental laws.</w:t>
      </w:r>
    </w:p>
    <w:p>
      <w:pPr>
        <w:spacing w:after="0" w:line="148"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operations are subject to state, federal, and local environmental laws and regulations, which impose liability for cleanup or remediation of environmental pollution and hazardous waste arising from past acts. These laws and regulations also require pollution control and prevention, site restoration, reclamation, and operating permits, and/or approvals to conduct certain of our operations or expand or modify our facilities. Certain of our operations may from time to time involve the use of substances that are classified as toxic or hazardous substances within the meaning of these laws and regulations. We are unable to estimate accurately the impact on our business or results of operations of any such law or regulation at this time. Risk of environmental liability (including the incurrence of fines, penalties, other sanctions, or litigation liability) is inherent in the operation of our businesses. As a result, it is possible that environmental liabilities and compliance with environmental regulations could have a material adverse effect on our operations in the future.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7" w:name="page28"/>
    <w:bookmarkEnd w:id="27"/>
    <w:p>
      <w:pPr>
        <w:ind w:right="220"/>
        <w:spacing w:after="0" w:line="274" w:lineRule="auto"/>
        <w:rPr>
          <w:sz w:val="20"/>
          <w:szCs w:val="20"/>
          <w:color w:val="auto"/>
        </w:rPr>
      </w:pPr>
      <w:r>
        <w:rPr>
          <w:rFonts w:ascii="Arial" w:cs="Arial" w:eastAsia="Arial" w:hAnsi="Arial"/>
          <w:sz w:val="20"/>
          <w:szCs w:val="20"/>
          <w:i w:val="1"/>
          <w:iCs w:val="1"/>
          <w:color w:val="004483"/>
        </w:rPr>
        <w:t>Our operations are dependent on our rights and ability to mine our properties and on our having renewed or received the required permits and approvals from governmental authorities and other third parties.</w:t>
      </w:r>
    </w:p>
    <w:p>
      <w:pPr>
        <w:spacing w:after="0" w:line="85"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We hold numerous governmental, environmental, mining, and other permits, water rights, and approvals authorizing operations at many of our facilities. A decision by a governmental agency or other third parties to deny or delay issuing a new or renewed permit or approval, or to revoke or substantially modify an existing permit or approval, could have a material adverse effect on our ability to continue operations at the affected facility. Expansion of our existing operations is also predicated on securing the necessary environmental or other permits, water rights, or approvals, which we may not receive in a timely manner or at all.</w:t>
      </w:r>
    </w:p>
    <w:p>
      <w:pPr>
        <w:spacing w:after="0" w:line="98"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Title to, and the area of, mineral properties and water rights may also be disputed. Mineral properties sometimes contain claims or transfer histories that examiners cannot verify. A successful claim that we do not have title to one or more of our properties or lack appropriate water rights could cause us to lose any rights to explore, develop, and extract any minerals or utilize water on that property, without compensation for our prior expenditures relating to such property. Our business may suffer a material adverse effect in the event one or more of our properties are determined to have title deficiencies.</w:t>
      </w:r>
    </w:p>
    <w:p>
      <w:pPr>
        <w:spacing w:after="0" w:line="9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some instances, we have received access rights or easements from third parties, which allow for a more efficient operation than would exist without the access or easement. A third party could take action to suspend the access or easement, and any such action could be materially adverse to our results of operations or financial conditions.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We may incur significant costs in connection with pending and future litigation.</w:t>
      </w:r>
    </w:p>
    <w:p>
      <w:pPr>
        <w:spacing w:after="0" w:line="137" w:lineRule="exact"/>
        <w:rPr>
          <w:sz w:val="20"/>
          <w:szCs w:val="20"/>
          <w:color w:val="auto"/>
        </w:rPr>
      </w:pPr>
    </w:p>
    <w:p>
      <w:pPr>
        <w:ind w:right="40"/>
        <w:spacing w:after="0" w:line="302" w:lineRule="auto"/>
        <w:rPr>
          <w:sz w:val="20"/>
          <w:szCs w:val="20"/>
          <w:color w:val="auto"/>
        </w:rPr>
      </w:pPr>
      <w:r>
        <w:rPr>
          <w:rFonts w:ascii="Arial" w:cs="Arial" w:eastAsia="Arial" w:hAnsi="Arial"/>
          <w:sz w:val="17"/>
          <w:szCs w:val="17"/>
          <w:color w:val="auto"/>
        </w:rPr>
        <w:t>We are, or may become, party to various lawsuits, claims, investigations, and proceedings, including but not limited to personal injury, environmental, antitrust, tax, asbestos, property entitlements and land use, intellectual property, commercial, contract, product liability, health and safety, and employment matters. The outcome of pending or future lawsuits, claims, investigations, or proceedings is often difficult to predict and could be adverse and material in amount. Developments in these proceedings can lead to changes in management’s estimates of liabilities associated with these proceedings, including as a result of rulings or judgments by a judge, agency, or arbitrator, settlements, or changes in applicable law. A future adverse ruling, settlement, or unfavorable development could result in charges that could have a material adverse effect on our results of operations and cash flows in a particular period. In addition, the defense of these lawsuits, claims, investigations, and proceedings may divert our management’s attention, and we may incur significant costs in defending these matters.</w:t>
      </w:r>
    </w:p>
    <w:p>
      <w:pPr>
        <w:spacing w:after="0" w:line="55"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i w:val="1"/>
          <w:iCs w:val="1"/>
          <w:color w:val="004483"/>
        </w:rPr>
        <w:t>Our bylaws include a forum selection clause, which could limit our stockholders’ ability to obtain a favorable judicial forum for disputes with us.</w:t>
      </w:r>
    </w:p>
    <w:p>
      <w:pPr>
        <w:spacing w:after="0" w:line="98"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Our bylaws provide that, unless we consent in writing to the selection of an alternative forum, the sole and exclusive forum for (i) any internal corporate claims within the meaning of the Delaware General Corporation Law (DGCL), (ii) any derivative action or proceeding brought on our behalf, (iii) any action asserting a claim of breach of a fiduciary duty owed by any of our directors, officers, or employees to us or to our stockholders, or (iv) any action asserting a claim arising pursuant to any provision of the DGCL, will be a state or federal court located within the State of Delaware in all cases subject to the court’s having personal jurisdiction over the indispensable parties named as defendants. Any person or entity purchasing or otherwise acquiring any interest in shares of our capital stock is deemed to have notice of and consented to the foregoing provisions. This forum selection provision in our bylaws may limit our stockholders’ ability to pursue claims in a judicial forum of their choosing for disputes with us or our directors, officers, or employees. It is also possible that, notwithstanding the forum selection clause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7" w:right="359" w:bottom="1440" w:gutter="0" w:footer="0" w:header="0"/>
        </w:sectPr>
      </w:pPr>
    </w:p>
    <w:bookmarkStart w:id="28" w:name="page29"/>
    <w:bookmarkEnd w:id="28"/>
    <w:p>
      <w:pPr>
        <w:spacing w:after="0" w:line="293" w:lineRule="auto"/>
        <w:rPr>
          <w:sz w:val="20"/>
          <w:szCs w:val="20"/>
          <w:color w:val="auto"/>
        </w:rPr>
      </w:pPr>
      <w:r>
        <w:rPr>
          <w:rFonts w:ascii="Arial" w:cs="Arial" w:eastAsia="Arial" w:hAnsi="Arial"/>
          <w:sz w:val="18"/>
          <w:szCs w:val="18"/>
          <w:color w:val="auto"/>
        </w:rPr>
        <w:t>included in our bylaws, a court could rule in specific circumstances that such a provision is inapplicable or unenforceable, which could require that we defend claims in other forums.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CYBER RISK FACTORS</w:t>
      </w:r>
    </w:p>
    <w:p>
      <w:pPr>
        <w:spacing w:after="0" w:line="118" w:lineRule="exact"/>
        <w:rPr>
          <w:sz w:val="20"/>
          <w:szCs w:val="20"/>
          <w:color w:val="auto"/>
        </w:rPr>
      </w:pPr>
    </w:p>
    <w:p>
      <w:pPr>
        <w:ind w:right="800"/>
        <w:spacing w:after="0" w:line="274" w:lineRule="auto"/>
        <w:rPr>
          <w:sz w:val="20"/>
          <w:szCs w:val="20"/>
          <w:color w:val="auto"/>
        </w:rPr>
      </w:pPr>
      <w:r>
        <w:rPr>
          <w:rFonts w:ascii="Arial" w:cs="Arial" w:eastAsia="Arial" w:hAnsi="Arial"/>
          <w:sz w:val="20"/>
          <w:szCs w:val="20"/>
          <w:i w:val="1"/>
          <w:iCs w:val="1"/>
          <w:color w:val="004483"/>
        </w:rPr>
        <w:t>A cyber-attack or data security breach affecting our information technology systems may negatively affect our businesses, financial condition, and operating results.</w:t>
      </w:r>
    </w:p>
    <w:p>
      <w:pPr>
        <w:spacing w:after="0" w:line="85"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Our operations rely on the secure processing, storage, and transmission of confidential, sensitive, proprietary, and other types of information relating to our business operations. We also rely on confidential and sensitive information about our customers and employees, which is maintained both in our computer systems and networks, and in the computer systems and networks of our third-party vendors. Cyber threats are rapidly evolving as data thieves and hackers have become increasingly sophisticated and carry out direct large-scale, complex automated attacks against a company or through vendor software supply chain compromises. We are not able to anticipate or prevent all such attacks and could be held liable for any resulting material security breach or data loss. Additionally, it is not always possible to deter misconduct by employees or third-party vendors.</w:t>
      </w:r>
    </w:p>
    <w:p>
      <w:pPr>
        <w:spacing w:after="0" w:line="101"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Any breaches of our technology systems, or those of our vendors and customers, whether from circumvention of security systems, denial-of service attacks or other cyber-attacks, hacking, “phishing”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or such vendors’ and customers’ websites, applications, data processing and certain products and services, or disruption of other business operations. Furthermore, any such breaches could compromise the confidentiality and integrity of material information held by us (including information about our business, employees or customers), as well as sensitive personally identifiable information, the disclosure of which could lead to identity theft. Any measures that we take to avoid, detect, mitigate or recover from material incidents, may be insufficient, circumvented, or may become ineffective.</w:t>
      </w:r>
    </w:p>
    <w:p>
      <w:pPr>
        <w:spacing w:after="0" w:line="9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have invested and continue to invest in risk management and information security and data privacy measures in order to protect our systems and data, including employee training, organizational investments, incident response plans, table top exercises and technical defenses. The cost and operational consequences of implementing, maintaining and enhancing further data or system protection measures could increase significantly to overcome increasingly intense, complex and sophisticated global cyber threats. Despite our best efforts, we are not fully insulated from data breaches and system disruptions. Recent well-publicized security breaches at other companies have led to enhanced government and regulatory scrutiny of the measures taken by companies to protect against cyber-attacks, and may in the future result in heightened cybersecurity requirements, including additional regulatory expectations for oversight of vendors and service providers. Any material breaches of cybersecurity, including the accidental loss, inadvertent disclosure or unapproved dissemination of proprietary information or sensitive or confidential data, or media reports of perceived security vulnerabilities to the our systems, products and services or those of our third parties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 The report, rumor or assumption regarding a potential breach may have similar results, even if no breach has been attempted or occurred. Any of the foregoing may have a material adverse effect on our business, operating results and financial condition.</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004483"/>
        </w:rPr>
        <w:t>FINANCIAL AND OPERATIONAL RISK FACTORS</w:t>
      </w:r>
    </w:p>
    <w:p>
      <w:pPr>
        <w:spacing w:after="0" w:line="118"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i w:val="1"/>
          <w:iCs w:val="1"/>
          <w:color w:val="004483"/>
        </w:rPr>
        <w:t>Our Cement business is capital intensive, resulting in significant fixed and semi-fixed costs. Therefore, our earnings are sensitive to changes in volume.</w:t>
      </w:r>
    </w:p>
    <w:p>
      <w:pPr>
        <w:spacing w:after="0" w:line="85"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color w:val="auto"/>
        </w:rPr>
        <w:t>Due to the high levels of fixed capital required to produce cement, the ability of our Cement segment to remain profitable is dependent on achieving and maintaining strong volumes of cement production and sales. Any decreases in volume could have an adverse effect on our financial condition and results of operations. In addition, our cement plants require significant capital expenditures to support our business. We believe that our current cash balance, along with our projected internal cash flows and our available financing resources will provide sufficient cash to support our currently anticipated operating and capital needs. However, if we are unable to generate sufficient cash to purchase and maintain the property and machinery necessary to operate our cement business, we may be required to reduce or delay planned capital expenditures or incur additional debt.</w:t>
      </w:r>
    </w:p>
    <w:p>
      <w:pPr>
        <w:spacing w:after="0" w:line="85" w:lineRule="exact"/>
        <w:rPr>
          <w:sz w:val="20"/>
          <w:szCs w:val="20"/>
          <w:color w:val="auto"/>
        </w:rPr>
      </w:pPr>
    </w:p>
    <w:p>
      <w:pPr>
        <w:spacing w:after="0" w:line="274" w:lineRule="auto"/>
        <w:rPr>
          <w:sz w:val="20"/>
          <w:szCs w:val="20"/>
          <w:color w:val="auto"/>
        </w:rPr>
      </w:pPr>
      <w:r>
        <w:rPr>
          <w:rFonts w:ascii="Arial" w:cs="Arial" w:eastAsia="Arial" w:hAnsi="Arial"/>
          <w:sz w:val="20"/>
          <w:szCs w:val="20"/>
          <w:i w:val="1"/>
          <w:iCs w:val="1"/>
          <w:color w:val="004483"/>
        </w:rPr>
        <w:t>Any material nonpayment or nonperformance by any of our key customers could have a material adverse effect on our business and results of operations.</w:t>
      </w:r>
    </w:p>
    <w:p>
      <w:pPr>
        <w:spacing w:after="0" w:line="85"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Any material nonpayment or nonperformance by any of our key customers could have a material adverse effect on our revenue and cash flows. Our contracts with our customers provide for different potential remedies in the event a customer fails to purchase the minimum contracted amount of product in a given period. If we were to pursue legal remedies against a customer that failed to purchase the minimum contracted amount of product under a fixed-volume contract or failed to satisfy the take-or-pay commitment under a take-or-pay contract, we may receive significantly less in a judgment or settlement of any claimed breach than we would have received had the customer fully performed under the contract. In the event of any customer’s breach, we may also choose to renegotiate any disputed contract on less favorable terms (including with respect to price and volume) in order to allow for us to preserve the relationship with that customer.</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Volatility and disruption of financial markets could affect access to credit.</w:t>
      </w:r>
    </w:p>
    <w:p>
      <w:pPr>
        <w:spacing w:after="0" w:line="137" w:lineRule="exact"/>
        <w:rPr>
          <w:sz w:val="20"/>
          <w:szCs w:val="20"/>
          <w:color w:val="auto"/>
        </w:rPr>
      </w:pPr>
    </w:p>
    <w:p>
      <w:pPr>
        <w:jc w:val="both"/>
        <w:ind w:right="100"/>
        <w:spacing w:after="0" w:line="285" w:lineRule="auto"/>
        <w:rPr>
          <w:sz w:val="20"/>
          <w:szCs w:val="20"/>
          <w:color w:val="auto"/>
        </w:rPr>
      </w:pPr>
      <w:r>
        <w:rPr>
          <w:rFonts w:ascii="Arial" w:cs="Arial" w:eastAsia="Arial" w:hAnsi="Arial"/>
          <w:sz w:val="18"/>
          <w:szCs w:val="18"/>
          <w:color w:val="auto"/>
        </w:rPr>
        <w:t>Difficult economic conditions can cause a contraction in the availability, and increase the cost, of credit in the marketplace. A number of our customers or suppliers have been and may continue to be adversely affected by unsettled conditions in capital and credit markets, which in some cases have made it more difficult or costly for them to finance their business operations. These unsettled conditions have the potential to reduce the sources of liquidity for the Company and our customers.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results of operations are subject to significant changes in the cost and availability of fuel, energy and other raw materials.</w:t>
      </w:r>
    </w:p>
    <w:p>
      <w:pPr>
        <w:spacing w:after="0" w:line="137"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Major cost components in each of our businesses are the costs of fuel, energy, and raw materials. Significant increases in the costs of fuel, energy, or raw materials, or substantial decreases in their availability, could materially and adversely affect our sales and operating profits. Prices for fuel, energy, or raw materials used in connection with our businesses have in some cases been subject to significant changes in a short period of time for reasons outside our control. For example, prices for fuel and electrical power, which are significant components of the costs associated with our Gypsum Wallboard and Cement businesses, have fluctuated significantly in recent years and may increase in the future. The prices we pay for fuel and electric power are often determined in whole or in part by market-based pricing mechanisms (including spot market pricing mechanisms). In the past, we have experienced significant and unanticipated price increases due to, among other things, unfavorable weather conditions and governmental responses from the resulting shortages in fuel and power. Significant price fluctuations also have the potential to give rise to disputes with contractual counterparties, which can be complex and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0" w:name="page31"/>
    <w:bookmarkEnd w:id="30"/>
    <w:p>
      <w:pPr>
        <w:ind w:right="260"/>
        <w:spacing w:after="0" w:line="293" w:lineRule="auto"/>
        <w:rPr>
          <w:sz w:val="20"/>
          <w:szCs w:val="20"/>
          <w:color w:val="auto"/>
        </w:rPr>
      </w:pPr>
      <w:r>
        <w:rPr>
          <w:rFonts w:ascii="Arial" w:cs="Arial" w:eastAsia="Arial" w:hAnsi="Arial"/>
          <w:sz w:val="18"/>
          <w:szCs w:val="18"/>
          <w:color w:val="auto"/>
        </w:rPr>
        <w:t>difficult to resolve. In the event of large or rapid increases in prices, we may not be able to pass the increases through to our customers in full, which would reduce our operating margin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Changes in the cost or availability of raw materials supplied by third parties may adversely affect our operating and financial performance.</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generally maintain our own reserves of limestone, gypsum, aggregates, and other materials that we use to manufacture our products. However, we obtain certain raw materials used to manufacture our products, such as synthetic gypsum and slag granules, from third parties who produce such materials as by-products of industrial processes. While we try to secure our needed supply of such materials through long-term contracts, those contracts may not be sufficient to meet our needs, or we may be unable to renew or replace existing contracts when they expire or are terminated in the future. Should our existing suppliers cease operations or reduce or eliminate production of these by-products, our costs to procure these materials may increase significantly, or we may be obliged to procure alternatives to replace these materials, which may not be available on commercially reasonable terms or at all. Any such developments may adversely affect our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Our production facilities may experience unexpected equipment failures, catastrophic events, and scheduled maintenance.</w:t>
      </w:r>
    </w:p>
    <w:p>
      <w:pPr>
        <w:spacing w:after="0" w:line="137"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Our manufacturing processes are complex and dependent upon critical pieces of equipment and effective maintenance programs. Such equipment may, on occasion, be out of service as a result of unanticipated events such as fires, explosions, violent weather conditions, or unexpected operational difficulties. We also have periodically scheduled shut-downs to perform maintenance on our facilities. Any significant interruption in production capability may require us to make significant capital expenditures to remedy problems or damage as well as cause us to lose revenue and profits due to lost production time, which could have a material adverse effect on our results of operations and financial condition. In general, any interruptions in our production processes or limitation in our production capabilities may cause our productivity and results of operations to decline significantly during the affected period.</w:t>
      </w:r>
    </w:p>
    <w:p>
      <w:pPr>
        <w:spacing w:after="0" w:line="85" w:lineRule="exact"/>
        <w:rPr>
          <w:sz w:val="20"/>
          <w:szCs w:val="20"/>
          <w:color w:val="auto"/>
        </w:rPr>
      </w:pPr>
    </w:p>
    <w:p>
      <w:pPr>
        <w:ind w:right="520"/>
        <w:spacing w:after="0" w:line="274" w:lineRule="auto"/>
        <w:rPr>
          <w:sz w:val="20"/>
          <w:szCs w:val="20"/>
          <w:color w:val="auto"/>
        </w:rPr>
      </w:pPr>
      <w:r>
        <w:rPr>
          <w:rFonts w:ascii="Arial" w:cs="Arial" w:eastAsia="Arial" w:hAnsi="Arial"/>
          <w:sz w:val="20"/>
          <w:szCs w:val="20"/>
          <w:i w:val="1"/>
          <w:iCs w:val="1"/>
          <w:color w:val="004483"/>
        </w:rPr>
        <w:t>Significant changes in the cost and availability of transportation could adversely affect our business, financial condition, and results of operations.</w:t>
      </w:r>
    </w:p>
    <w:p>
      <w:pPr>
        <w:spacing w:after="0" w:line="85"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Some of the raw materials used in our manufacturing processes, such as coal or coke, are transported to our facilities by truck or rail. In addition, transportation logistics play an important part in allowing us to supply products to our customers, whether by truck, rail, or barge. For example, we deliver gypsum wallboard to many areas of the United States, and the transportation costs associated with the delivery of our wallboard products represent a significant portion of the variable cost of our Gypsum Wallboard segment. On the other hand, cement is more difficult and costly to transport over long distances, which limits the areas typically served by our cement plants. Significant increases in the cost of fuel or energy can result in material increases in the cost of transportation, which could materially and adversely affect our operating profits. In addition, reductions in the availability of certain modes of transportation, such as rail or trucking, could limit our ability to deliver product and therefore materially and adversely affect our operating profits.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1" w:name="page32"/>
    <w:bookmarkEnd w:id="31"/>
    <w:p>
      <w:pPr>
        <w:ind w:right="300"/>
        <w:spacing w:after="0" w:line="274" w:lineRule="auto"/>
        <w:rPr>
          <w:sz w:val="20"/>
          <w:szCs w:val="20"/>
          <w:color w:val="auto"/>
        </w:rPr>
      </w:pPr>
      <w:r>
        <w:rPr>
          <w:rFonts w:ascii="Arial" w:cs="Arial" w:eastAsia="Arial" w:hAnsi="Arial"/>
          <w:sz w:val="20"/>
          <w:szCs w:val="20"/>
          <w:i w:val="1"/>
          <w:iCs w:val="1"/>
          <w:color w:val="004483"/>
        </w:rPr>
        <w:t>Our debt agreements contain restrictive covenants and require us to meet certain financial ratios and tests, which limit our flexibility and could give rise to a default if we are unable to remain in compliance.</w:t>
      </w:r>
    </w:p>
    <w:p>
      <w:pPr>
        <w:spacing w:after="0" w:line="8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Our outstanding debt agreements contain, among other things, covenants that limit our ability to finance future operations or capital needs or to engage in other business activities, including but not limited to our ability to:</w:t>
      </w:r>
    </w:p>
    <w:p>
      <w:pPr>
        <w:spacing w:after="0" w:line="15"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color w:val="004483"/>
        </w:rPr>
      </w:pPr>
      <w:r>
        <w:rPr>
          <w:rFonts w:ascii="Arial" w:cs="Arial" w:eastAsia="Arial" w:hAnsi="Arial"/>
          <w:sz w:val="18"/>
          <w:szCs w:val="18"/>
          <w:color w:val="auto"/>
        </w:rPr>
        <w:t>permit our consolidated subsidiaries to incur indebtedness;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2"/>
        </w:numPr>
        <w:rPr>
          <w:rFonts w:ascii="Arial" w:cs="Arial" w:eastAsia="Arial" w:hAnsi="Arial"/>
          <w:sz w:val="18"/>
          <w:szCs w:val="18"/>
          <w:color w:val="004483"/>
        </w:rPr>
      </w:pPr>
      <w:r>
        <w:rPr>
          <w:rFonts w:ascii="Arial" w:cs="Arial" w:eastAsia="Arial" w:hAnsi="Arial"/>
          <w:sz w:val="18"/>
          <w:szCs w:val="18"/>
          <w:color w:val="auto"/>
        </w:rPr>
        <w:t>sell, transfer, lease, or otherwise dispose of all substantially all of the assets of the Company and its consolidated subsidiaries;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2"/>
        </w:numPr>
        <w:rPr>
          <w:rFonts w:ascii="Arial" w:cs="Arial" w:eastAsia="Arial" w:hAnsi="Arial"/>
          <w:sz w:val="18"/>
          <w:szCs w:val="18"/>
          <w:color w:val="004483"/>
        </w:rPr>
      </w:pPr>
      <w:r>
        <w:rPr>
          <w:rFonts w:ascii="Arial" w:cs="Arial" w:eastAsia="Arial" w:hAnsi="Arial"/>
          <w:sz w:val="18"/>
          <w:szCs w:val="18"/>
          <w:color w:val="auto"/>
        </w:rPr>
        <w:t>create liens;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2"/>
        </w:numPr>
        <w:rPr>
          <w:rFonts w:ascii="Arial" w:cs="Arial" w:eastAsia="Arial" w:hAnsi="Arial"/>
          <w:sz w:val="18"/>
          <w:szCs w:val="18"/>
          <w:color w:val="004483"/>
        </w:rPr>
      </w:pPr>
      <w:r>
        <w:rPr>
          <w:rFonts w:ascii="Arial" w:cs="Arial" w:eastAsia="Arial" w:hAnsi="Arial"/>
          <w:sz w:val="18"/>
          <w:szCs w:val="18"/>
          <w:color w:val="auto"/>
        </w:rPr>
        <w:t>consolidate or merge with or into another Person;</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2"/>
        </w:numPr>
        <w:rPr>
          <w:rFonts w:ascii="Arial" w:cs="Arial" w:eastAsia="Arial" w:hAnsi="Arial"/>
          <w:sz w:val="18"/>
          <w:szCs w:val="18"/>
          <w:color w:val="004483"/>
        </w:rPr>
      </w:pPr>
      <w:r>
        <w:rPr>
          <w:rFonts w:ascii="Arial" w:cs="Arial" w:eastAsia="Arial" w:hAnsi="Arial"/>
          <w:sz w:val="18"/>
          <w:szCs w:val="18"/>
          <w:color w:val="auto"/>
        </w:rPr>
        <w:t>enter into transactions with our affiliates; and</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2"/>
        </w:numPr>
        <w:rPr>
          <w:rFonts w:ascii="Arial" w:cs="Arial" w:eastAsia="Arial" w:hAnsi="Arial"/>
          <w:sz w:val="18"/>
          <w:szCs w:val="18"/>
          <w:color w:val="004483"/>
        </w:rPr>
      </w:pPr>
      <w:r>
        <w:rPr>
          <w:rFonts w:ascii="Arial" w:cs="Arial" w:eastAsia="Arial" w:hAnsi="Arial"/>
          <w:sz w:val="18"/>
          <w:szCs w:val="18"/>
          <w:color w:val="auto"/>
        </w:rPr>
        <w:t>enter into sale/leaseback transactions.</w:t>
      </w:r>
    </w:p>
    <w:p>
      <w:pPr>
        <w:spacing w:after="0" w:line="14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these agreements require us to meet and maintain certain financial ratios and tests, which may require that we take action to reduce our debt or to act in a manner contrary to our business objectives. Events beyond our control, including changes in general business and economic conditions, may impair our ability to comply with these covenants or meet those financial ratios and tests. A breach of any of these covenants or failure to maintain the required ratios and meet the required tests may result in an event of default under these agreements. This may allow the lenders under these agreements to declare all amounts outstanding to be immediately due and payable, terminate any commitments to extend further credit to us, and pursue other remedies available to them under the applicable agreements. If this occurs, our indebtedness may be accelerated, and we may not be able to refinance the accelerated indebtedness on favorable terms, or at all, or repay the accelerated indebtedness. In general, the occurrence of any event of default under these agreements could have a material adverse effect on our financial condition or results of operations.</w:t>
      </w:r>
    </w:p>
    <w:p>
      <w:pPr>
        <w:spacing w:after="0" w:line="85" w:lineRule="exact"/>
        <w:rPr>
          <w:sz w:val="20"/>
          <w:szCs w:val="20"/>
          <w:color w:val="auto"/>
        </w:rPr>
      </w:pPr>
    </w:p>
    <w:p>
      <w:pPr>
        <w:spacing w:after="0" w:line="274" w:lineRule="auto"/>
        <w:rPr>
          <w:sz w:val="20"/>
          <w:szCs w:val="20"/>
          <w:color w:val="auto"/>
        </w:rPr>
      </w:pPr>
      <w:r>
        <w:rPr>
          <w:rFonts w:ascii="Arial" w:cs="Arial" w:eastAsia="Arial" w:hAnsi="Arial"/>
          <w:sz w:val="20"/>
          <w:szCs w:val="20"/>
          <w:i w:val="1"/>
          <w:iCs w:val="1"/>
          <w:color w:val="004483"/>
        </w:rPr>
        <w:t>We have incurred or may incur substantial indebtedness, which could adversely affect our business, limit our ability to plan for or respond to changes in our business, and reduce our profitability.</w:t>
      </w:r>
    </w:p>
    <w:p>
      <w:pPr>
        <w:spacing w:after="0" w:line="8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In the past, we have incurred significant indebtedness in connection with acquisition transactions or otherwise to fund the growth and development of our business. We may also incur significant indebtedness from time to time in the future for these or other reasons. Our future ability to satisfy our debt obligations is subject, to some extent, to financial, market, competitive, legislative, regulatory, and other factors that are beyond our control. Substantial debt obligations could have negative consequences to our business, and, in particular, could impede, restrict, or delay the implementation of our business strategy or prevent us from entering into transactions that would otherwise benefit our business. For example:</w:t>
      </w:r>
    </w:p>
    <w:p>
      <w:pPr>
        <w:spacing w:after="0" w:line="14" w:lineRule="exact"/>
        <w:rPr>
          <w:sz w:val="20"/>
          <w:szCs w:val="20"/>
          <w:color w:val="auto"/>
        </w:rPr>
      </w:pPr>
    </w:p>
    <w:p>
      <w:pPr>
        <w:ind w:left="240" w:right="360" w:hanging="232"/>
        <w:spacing w:after="0" w:line="276" w:lineRule="auto"/>
        <w:tabs>
          <w:tab w:leader="none" w:pos="240" w:val="left"/>
        </w:tabs>
        <w:numPr>
          <w:ilvl w:val="0"/>
          <w:numId w:val="13"/>
        </w:numPr>
        <w:rPr>
          <w:rFonts w:ascii="Arial" w:cs="Arial" w:eastAsia="Arial" w:hAnsi="Arial"/>
          <w:sz w:val="18"/>
          <w:szCs w:val="18"/>
          <w:color w:val="004483"/>
        </w:rPr>
      </w:pPr>
      <w:r>
        <w:rPr>
          <w:rFonts w:ascii="Arial" w:cs="Arial" w:eastAsia="Arial" w:hAnsi="Arial"/>
          <w:sz w:val="18"/>
          <w:szCs w:val="18"/>
          <w:color w:val="auto"/>
        </w:rPr>
        <w:t>we may be required to dedicate a substantial portion of our cash flows from operations to payments on our indebtedness, thereby reducing the availability of our cash flow for other purposes, including business development efforts, capital expenditures, or strategic acquisitions;</w:t>
      </w:r>
    </w:p>
    <w:p>
      <w:pPr>
        <w:spacing w:after="0" w:line="14" w:lineRule="exact"/>
        <w:rPr>
          <w:rFonts w:ascii="Arial" w:cs="Arial" w:eastAsia="Arial" w:hAnsi="Arial"/>
          <w:sz w:val="18"/>
          <w:szCs w:val="18"/>
          <w:color w:val="004483"/>
        </w:rPr>
      </w:pPr>
    </w:p>
    <w:p>
      <w:pPr>
        <w:ind w:left="240" w:right="80" w:hanging="232"/>
        <w:spacing w:after="0" w:line="276" w:lineRule="auto"/>
        <w:tabs>
          <w:tab w:leader="none" w:pos="240" w:val="left"/>
        </w:tabs>
        <w:numPr>
          <w:ilvl w:val="0"/>
          <w:numId w:val="13"/>
        </w:numPr>
        <w:rPr>
          <w:rFonts w:ascii="Arial" w:cs="Arial" w:eastAsia="Arial" w:hAnsi="Arial"/>
          <w:sz w:val="18"/>
          <w:szCs w:val="18"/>
          <w:color w:val="004483"/>
        </w:rPr>
      </w:pPr>
      <w:r>
        <w:rPr>
          <w:rFonts w:ascii="Arial" w:cs="Arial" w:eastAsia="Arial" w:hAnsi="Arial"/>
          <w:sz w:val="18"/>
          <w:szCs w:val="18"/>
          <w:color w:val="auto"/>
        </w:rPr>
        <w:t>we may not be able to generate sufficient cash flow to meet our substantial debt service obligations or to fund our other liquidity needs. If this occurs, we may have to take actions such as selling assets, selling equity, or reducing or delaying capital expenditures, strategic acquisitions, investments and joint ventures, or restructuring our debt;</w:t>
      </w:r>
    </w:p>
    <w:p>
      <w:pPr>
        <w:spacing w:after="0" w:line="14" w:lineRule="exact"/>
        <w:rPr>
          <w:rFonts w:ascii="Arial" w:cs="Arial" w:eastAsia="Arial" w:hAnsi="Arial"/>
          <w:sz w:val="18"/>
          <w:szCs w:val="18"/>
          <w:color w:val="004483"/>
        </w:rPr>
      </w:pPr>
    </w:p>
    <w:p>
      <w:pPr>
        <w:ind w:left="240" w:right="80" w:hanging="232"/>
        <w:spacing w:after="0" w:line="287" w:lineRule="auto"/>
        <w:tabs>
          <w:tab w:leader="none" w:pos="240" w:val="left"/>
        </w:tabs>
        <w:numPr>
          <w:ilvl w:val="0"/>
          <w:numId w:val="13"/>
        </w:numPr>
        <w:rPr>
          <w:rFonts w:ascii="Arial" w:cs="Arial" w:eastAsia="Arial" w:hAnsi="Arial"/>
          <w:sz w:val="18"/>
          <w:szCs w:val="18"/>
          <w:color w:val="004483"/>
        </w:rPr>
      </w:pPr>
      <w:r>
        <w:rPr>
          <w:rFonts w:ascii="Arial" w:cs="Arial" w:eastAsia="Arial" w:hAnsi="Arial"/>
          <w:sz w:val="18"/>
          <w:szCs w:val="18"/>
          <w:color w:val="auto"/>
        </w:rPr>
        <w:t>as a result of the amount of our outstanding indebtedness and the restrictive covenants to which we are or may become subject, if we determine that we require additional financing to fund future working capital, capital investments, or other business activities, we may not be able to obtain such financing on commercially reasonable terms, or at all; and</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7" w:right="399" w:bottom="1440" w:gutter="0" w:footer="0" w:header="0"/>
        </w:sectPr>
      </w:pPr>
    </w:p>
    <w:bookmarkStart w:id="32" w:name="page33"/>
    <w:bookmarkEnd w:id="32"/>
    <w:p>
      <w:pPr>
        <w:ind w:left="240" w:right="540" w:hanging="232"/>
        <w:spacing w:after="0" w:line="293" w:lineRule="auto"/>
        <w:tabs>
          <w:tab w:leader="none" w:pos="240" w:val="left"/>
        </w:tabs>
        <w:numPr>
          <w:ilvl w:val="0"/>
          <w:numId w:val="14"/>
        </w:numPr>
        <w:rPr>
          <w:rFonts w:ascii="Arial" w:cs="Arial" w:eastAsia="Arial" w:hAnsi="Arial"/>
          <w:sz w:val="18"/>
          <w:szCs w:val="18"/>
          <w:color w:val="004483"/>
        </w:rPr>
      </w:pPr>
      <w:r>
        <w:rPr>
          <w:rFonts w:ascii="Arial" w:cs="Arial" w:eastAsia="Arial" w:hAnsi="Arial"/>
          <w:sz w:val="18"/>
          <w:szCs w:val="18"/>
          <w:color w:val="auto"/>
        </w:rPr>
        <w:t>our flexibility in planning for, or reacting to, changes in our business and industry may be limited, thereby placing us at a competitive disadvantage compared with our competitors that have less indebtedness.</w:t>
      </w:r>
    </w:p>
    <w:p>
      <w:pPr>
        <w:spacing w:after="0" w:line="73"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i w:val="1"/>
          <w:iCs w:val="1"/>
          <w:color w:val="004483"/>
        </w:rPr>
        <w:t>Increases in interest rates and inflation could adversely affect our business and demand for our products, which would have a negative effect on our results of operations.</w:t>
      </w:r>
    </w:p>
    <w:p>
      <w:pPr>
        <w:spacing w:after="0" w:line="85"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Our business is significantly affected by the movement of interest rates. Interest rates have a direct impact on the level of residential, commercial, and infrastructure construction activity by impacting the cost of borrowed funds to builders. Higher interest rates could result in decreased demand for our products, which would have a material adverse effect on our business and results of operations. In addition, increases in interest rates could result in higher interest expense related to borrowings under our borrowing facilities. Inflation can result in higher interest rates. With inflation, the costs of capital increase, and the purchasing power of our cash resources can decline. Current or future efforts by the government to stimulate the economy may increase the risk of significant inflation, which could have a direct and indirect adverse impact on our business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Increases in our effective income tax rate may harm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may increase our future effective income tax rate, including:</w:t>
      </w:r>
    </w:p>
    <w:p>
      <w:pPr>
        <w:spacing w:after="0" w:line="36"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governmental authorities increasing taxes or eliminating deductions, particularly the depletion deduction;</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the mix of earnings from depletable versus non-depletable businesses;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the jurisdictions in which earnings are taxed;</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the resolution of issues arising from tax audits with various tax authorities;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changes in the valuation of our deferred tax assets and liabilities;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adjustments to estimated taxes upon finalization of various tax returns;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changes in available tax credits;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changes in stock-based compensation;</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other changes in tax laws; and</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5"/>
        </w:numPr>
        <w:rPr>
          <w:rFonts w:ascii="Arial" w:cs="Arial" w:eastAsia="Arial" w:hAnsi="Arial"/>
          <w:sz w:val="18"/>
          <w:szCs w:val="18"/>
          <w:color w:val="004483"/>
        </w:rPr>
      </w:pPr>
      <w:r>
        <w:rPr>
          <w:rFonts w:ascii="Arial" w:cs="Arial" w:eastAsia="Arial" w:hAnsi="Arial"/>
          <w:sz w:val="18"/>
          <w:szCs w:val="18"/>
          <w:color w:val="auto"/>
        </w:rPr>
        <w:t>the interpretation of tax laws and/or administrative practices.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income tax rate could reduce net earnings and free cash flow for future periods.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Disruption of our business operations due to disputes with organized labor.</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Approximately half of our hourly employees are covered by collective bargaining agreements. Disputes with trade unions or the inability to renew our labor agreements may lead to work stoppages or strikes that could disrupt our business operations and lead to higher costs and/or reduced revenue and operating earnings.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OTHER RISK FACTORS</w:t>
      </w:r>
    </w:p>
    <w:p>
      <w:pPr>
        <w:spacing w:after="0" w:line="118" w:lineRule="exact"/>
        <w:rPr>
          <w:sz w:val="20"/>
          <w:szCs w:val="20"/>
          <w:color w:val="auto"/>
        </w:rPr>
      </w:pPr>
    </w:p>
    <w:p>
      <w:pPr>
        <w:jc w:val="both"/>
        <w:ind w:right="100"/>
        <w:spacing w:after="0" w:line="284" w:lineRule="auto"/>
        <w:rPr>
          <w:sz w:val="20"/>
          <w:szCs w:val="20"/>
          <w:color w:val="auto"/>
        </w:rPr>
      </w:pPr>
      <w:r>
        <w:rPr>
          <w:rFonts w:ascii="Arial" w:cs="Arial" w:eastAsia="Arial" w:hAnsi="Arial"/>
          <w:sz w:val="19"/>
          <w:szCs w:val="19"/>
          <w:i w:val="1"/>
          <w:iCs w:val="1"/>
          <w:color w:val="004483"/>
        </w:rPr>
        <w:t>We may pursue acquisitions, joint ventures and other transactions that are intended to complement or expand our businesses. We may not be able to complete proposed transactions, and even if completed, the transactions may involve a number of risks that may result in a material adverse effect on our business, financial condition, operating results, and cash flows.</w:t>
      </w:r>
    </w:p>
    <w:p>
      <w:pPr>
        <w:spacing w:after="0" w:line="7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business conditions warrant and our financial resources permit, we may pursue opportunities to acquire businesses or technologies and to form joint ventures that we believe could complement, enhance, or expand our current businesses or product lines or that might otherwise offer us growth opportunities. We may have difficulty identifying appropriate opportunities, or if we do identify</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3" w:name="page34"/>
    <w:bookmarkEnd w:id="33"/>
    <w:p>
      <w:pPr>
        <w:spacing w:after="0" w:line="273" w:lineRule="auto"/>
        <w:rPr>
          <w:sz w:val="20"/>
          <w:szCs w:val="20"/>
          <w:color w:val="auto"/>
        </w:rPr>
      </w:pPr>
      <w:r>
        <w:rPr>
          <w:rFonts w:ascii="Arial" w:cs="Arial" w:eastAsia="Arial" w:hAnsi="Arial"/>
          <w:sz w:val="18"/>
          <w:szCs w:val="18"/>
          <w:color w:val="auto"/>
        </w:rPr>
        <w:t>opportunities, we may not be successful in completing transactions for a number of reasons. Any transactions that we are able to identify and complete may involve one or more of a number of risks, including:</w:t>
      </w:r>
    </w:p>
    <w:p>
      <w:pPr>
        <w:spacing w:after="0" w:line="15" w:lineRule="exact"/>
        <w:rPr>
          <w:sz w:val="20"/>
          <w:szCs w:val="20"/>
          <w:color w:val="auto"/>
        </w:rPr>
      </w:pPr>
    </w:p>
    <w:p>
      <w:pPr>
        <w:ind w:left="240" w:right="120" w:hanging="232"/>
        <w:spacing w:after="0" w:line="273" w:lineRule="auto"/>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the diversion of management’s attention from our existing businesses to integrate the operations and personnel of the acquired business or joint venture;</w:t>
      </w:r>
    </w:p>
    <w:p>
      <w:pPr>
        <w:spacing w:after="0" w:line="15"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possible adverse effects on our operating results during the integration process;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failure of the acquired business or joint venture to achieve expected operational, profitability, and investment return objectives;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the incurrence of significant charges, such as impairment of goodwill or intangible assets, asset devaluation, or restructuring charges;</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the assumption of unanticipated liabilities and costs for which indemnification is unavailable or inadequate;</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unforeseen difficulties encountered in operating in new geographic areas; and</w:t>
      </w:r>
    </w:p>
    <w:p>
      <w:pPr>
        <w:spacing w:after="0" w:line="36" w:lineRule="exact"/>
        <w:rPr>
          <w:rFonts w:ascii="Arial" w:cs="Arial" w:eastAsia="Arial" w:hAnsi="Arial"/>
          <w:sz w:val="18"/>
          <w:szCs w:val="18"/>
          <w:color w:val="004483"/>
        </w:rPr>
      </w:pPr>
    </w:p>
    <w:p>
      <w:pPr>
        <w:ind w:left="240" w:hanging="232"/>
        <w:spacing w:after="0"/>
        <w:tabs>
          <w:tab w:leader="none" w:pos="240" w:val="left"/>
        </w:tabs>
        <w:numPr>
          <w:ilvl w:val="0"/>
          <w:numId w:val="16"/>
        </w:numPr>
        <w:rPr>
          <w:rFonts w:ascii="Arial" w:cs="Arial" w:eastAsia="Arial" w:hAnsi="Arial"/>
          <w:sz w:val="18"/>
          <w:szCs w:val="18"/>
          <w:color w:val="004483"/>
        </w:rPr>
      </w:pPr>
      <w:r>
        <w:rPr>
          <w:rFonts w:ascii="Arial" w:cs="Arial" w:eastAsia="Arial" w:hAnsi="Arial"/>
          <w:sz w:val="18"/>
          <w:szCs w:val="18"/>
          <w:color w:val="auto"/>
        </w:rPr>
        <w:t>the inability to achieve other intended objectives of the transaction.</w:t>
      </w:r>
    </w:p>
    <w:p>
      <w:pPr>
        <w:spacing w:after="0" w:line="14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addition, we may not be able to successfully or profitably integrate, operate, maintain, and manage our newly acquired operations or their employees. We may not be able to maintain uniform standards, controls, procedures, and policies, which may lead to operational inefficiencies. In addition, future acquisitions may result in dilutive issuances of equity securities or the incurrence of additional indebtedness.</w:t>
      </w:r>
    </w:p>
    <w:p>
      <w:pPr>
        <w:spacing w:after="0" w:line="78" w:lineRule="exact"/>
        <w:rPr>
          <w:sz w:val="20"/>
          <w:szCs w:val="20"/>
          <w:color w:val="auto"/>
        </w:rPr>
      </w:pPr>
    </w:p>
    <w:p>
      <w:pPr>
        <w:ind w:right="260"/>
        <w:spacing w:after="0" w:line="274" w:lineRule="auto"/>
        <w:rPr>
          <w:sz w:val="20"/>
          <w:szCs w:val="20"/>
          <w:color w:val="auto"/>
        </w:rPr>
      </w:pPr>
      <w:r>
        <w:rPr>
          <w:rFonts w:ascii="Arial" w:cs="Arial" w:eastAsia="Arial" w:hAnsi="Arial"/>
          <w:sz w:val="20"/>
          <w:szCs w:val="20"/>
          <w:i w:val="1"/>
          <w:iCs w:val="1"/>
          <w:color w:val="004483"/>
        </w:rPr>
        <w:t>Our Cement business has grown largely through acquisitions, and there is no assurance that we will be able to continue to acquire cement plans to support future growth.</w:t>
      </w:r>
    </w:p>
    <w:p>
      <w:pPr>
        <w:spacing w:after="0" w:line="85"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In prior years, we have been able to increase the size and scope of our Cement business in large part through acquisitions of cement plants from third parties. There are a limited number of companies operating cement plant in the United States, and plants typically become available for purchase only infrequently, such as in connection with a merger, acquisition or corporate reorganization or refinancing. When cement plants become available for purchase, the purchase process is often highly competitive, which tends to result in relatively high valuations for the plants offered for sale. There can be no assurance that we will be able to continue to identify appropriate acquisition candidates or acquire cement plants at values that we regard as reasonable.</w:t>
      </w:r>
    </w:p>
    <w:p>
      <w:pPr>
        <w:spacing w:after="0" w:line="80"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i w:val="1"/>
          <w:iCs w:val="1"/>
          <w:color w:val="004483"/>
        </w:rPr>
        <w:t>We may pursue new business opportunities and, if we do so, these opportunities will be subject to the risks typically associated with the early stages of business development or product line expansion.</w:t>
      </w:r>
    </w:p>
    <w:p>
      <w:pPr>
        <w:spacing w:after="0" w:line="85"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may from time to time pursue opportunities which are natural extensions of our existing core businesses and which allow us to leverage our core competencies, existing infrastructure, and customer relationships. Our likelihood of success in pursuing and realizing these opportunities must be considered in light of the expenses, difficulties, and delays frequently encountered in connection with the early phases of business development or product line expansion, including the difficulties involved in obtaining permits; planning and constructing new facilities; transporting and storing products; establishing, maintaining, or expanding customer relationships; as well as navigating the regulatory environment in which we operate. There can be no assurance that we will be successful in the pursuit and realization of these opportunities.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4" w:name="page35"/>
    <w:bookmarkEnd w:id="34"/>
    <w:p>
      <w:pPr>
        <w:ind w:right="220"/>
        <w:spacing w:after="0" w:line="274" w:lineRule="auto"/>
        <w:rPr>
          <w:sz w:val="20"/>
          <w:szCs w:val="20"/>
          <w:color w:val="auto"/>
        </w:rPr>
      </w:pPr>
      <w:r>
        <w:rPr>
          <w:rFonts w:ascii="Arial" w:cs="Arial" w:eastAsia="Arial" w:hAnsi="Arial"/>
          <w:sz w:val="20"/>
          <w:szCs w:val="20"/>
          <w:i w:val="1"/>
          <w:iCs w:val="1"/>
          <w:color w:val="004483"/>
        </w:rPr>
        <w:t>This report includes various forward-looking statements, which are not facts or guarantees of future performance and which are subject to significant risks and uncertainties.</w:t>
      </w:r>
    </w:p>
    <w:p>
      <w:pPr>
        <w:spacing w:after="0" w:line="85"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This report and other materials we have filed or will file with the SEC, as well as information included in oral statements or other written statements made or to be made by us contain or may contain forward-looking statements within the meaning of Section 27A of the Securities Act of 1933, Section 21E of the Exchange Act of 1934, and the Private Securities Litigation Reform Act of 1995. You can identify these statements by the fact that they do not relate to matters of a strictly factual or historical nature and generally discuss or relate to forecasts, estimates, or other expectations regarding future events. Generally, the words “believe,” “expect,” “intend,” “estimate,” “anticipate,” “project,” “may,” “can,” “could,” “might,” “will,” and similar expressions identify forward-looking statements, including statements related to expected operating and performing results, planned transactions, plans, and objectives of management, future developments, or conditions in the industries in which we participate, including future prices for our products, audits, and legal proceedings to which we are a party, and other trends, developments, and uncertainties that may affect our business in the future.</w:t>
      </w:r>
    </w:p>
    <w:p>
      <w:pPr>
        <w:spacing w:after="0" w:line="98"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Forward-looking statements are not historical facts or guarantees of future performance but instead represent only our beliefs at the time the statements were made regarding future events, which are subject to significant risks, uncertainties, and other factors, many of which are outside of our control. Any or all of the forward-looking statements made by us may turn out to be materially inaccurate. This can occur as a result of incorrect assumptions, changes in facts and circumstances, or the effects of known risks and uncertainties. Many of the risks and uncertainties mentioned in this report or other reports filed by us with the SEC, including those discussed in the risk factor section of this report, will be important in determining whether these forward-looking statements prove to be accurate. Consequently, neither our stockholders nor any other person should place undue reliance on our forward-looking statements and should recognize that actual results may differ materially from those that may be anticipated by us.</w:t>
      </w:r>
    </w:p>
    <w:p>
      <w:pPr>
        <w:spacing w:after="0" w:line="99"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All forward-looking statements made in this report are made as of the date hereof, and the risk that actual results will differ materially from expectations expressed in this report will increase with the passage of time. We undertake no obligation, and disclaim any duty, to publicly update or revise any forward-looking statements, whether as a result of new information, future events, changes in our expectations, or otherwise.</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7" w:right="379" w:bottom="1440" w:gutter="0" w:footer="0" w:header="0"/>
        </w:sectPr>
      </w:pPr>
    </w:p>
    <w:bookmarkStart w:id="35" w:name="page36"/>
    <w:bookmarkEnd w:id="35"/>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unresolved Staff comments.</w:t>
      </w:r>
    </w:p>
    <w:p>
      <w:pPr>
        <w:spacing w:after="0" w:line="31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Our operating facilities span the U.S. They include cement plants, quarries, and related facilities; concrete and aggregates plants and quarries; gypsum wallboard plants; and a recycled paperboard mill; as well as distribution terminals and our headquarters in Dallas. All of our facilities are owned, with the exception of our headquarters in Dallas, which is leased through May 2029, and certain terminals, as discussed on page 10. None of our facilities are pledged as security for any debts. Please see the Industry Segment Information section on pages 4-21 for more information about the location of our facilities, and a summary of mineral reserves for each of our applicable businesses.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map shows the locations of our operating facilities at March 31, 2022, by type of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143510</wp:posOffset>
            </wp:positionV>
            <wp:extent cx="5143500" cy="3711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5" w:right="379" w:bottom="1440" w:gutter="0" w:footer="0" w:header="0"/>
        </w:sectPr>
      </w:pPr>
    </w:p>
    <w:bookmarkStart w:id="36" w:name="page37"/>
    <w:bookmarkEnd w:id="36"/>
    <w:p>
      <w:pPr>
        <w:spacing w:after="0"/>
        <w:rPr>
          <w:sz w:val="20"/>
          <w:szCs w:val="20"/>
          <w:color w:val="auto"/>
        </w:rPr>
      </w:pPr>
      <w:r>
        <w:rPr>
          <w:rFonts w:ascii="Arial" w:cs="Arial" w:eastAsia="Arial" w:hAnsi="Arial"/>
          <w:sz w:val="23"/>
          <w:szCs w:val="23"/>
          <w:b w:val="1"/>
          <w:bCs w:val="1"/>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98"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(K) in the Audited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45" w:right="439" w:bottom="1440" w:gutter="0" w:footer="0" w:header="0"/>
        </w:sectPr>
      </w:pPr>
    </w:p>
    <w:bookmarkStart w:id="37" w:name="page38"/>
    <w:bookmarkEnd w:id="37"/>
    <w:p>
      <w:pPr>
        <w:spacing w:after="0"/>
        <w:rPr>
          <w:sz w:val="20"/>
          <w:szCs w:val="20"/>
          <w:color w:val="auto"/>
        </w:rPr>
      </w:pPr>
      <w:r>
        <w:rPr>
          <w:rFonts w:ascii="Arial" w:cs="Arial" w:eastAsia="Arial" w:hAnsi="Arial"/>
          <w:sz w:val="23"/>
          <w:szCs w:val="23"/>
          <w:b w:val="1"/>
          <w:bCs w:val="1"/>
          <w:color w:val="004483"/>
        </w:rPr>
        <w:t>PART II</w:t>
      </w:r>
    </w:p>
    <w:p>
      <w:pPr>
        <w:spacing w:after="0" w:line="200" w:lineRule="exact"/>
        <w:rPr>
          <w:sz w:val="20"/>
          <w:szCs w:val="20"/>
          <w:color w:val="auto"/>
        </w:rPr>
      </w:pPr>
    </w:p>
    <w:p>
      <w:pPr>
        <w:spacing w:after="0" w:line="278" w:lineRule="exact"/>
        <w:rPr>
          <w:sz w:val="20"/>
          <w:szCs w:val="20"/>
          <w:color w:val="auto"/>
        </w:rPr>
      </w:pPr>
    </w:p>
    <w:p>
      <w:pPr>
        <w:ind w:right="140"/>
        <w:spacing w:after="0" w:line="261" w:lineRule="auto"/>
        <w:rPr>
          <w:sz w:val="20"/>
          <w:szCs w:val="20"/>
          <w:color w:val="auto"/>
        </w:rPr>
      </w:pPr>
      <w:r>
        <w:rPr>
          <w:rFonts w:ascii="Arial" w:cs="Arial" w:eastAsia="Arial" w:hAnsi="Arial"/>
          <w:sz w:val="23"/>
          <w:szCs w:val="23"/>
          <w:b w:val="1"/>
          <w:bCs w:val="1"/>
          <w:color w:val="auto"/>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STOCK PRICES AND DIVIDENDS</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May 18, 2022, there were approximately 1,100 holders of record of our Common Stock which trades on the New York Stock Exchange under the symbol EXP. See Management's Discussion and Analysis of Financial Condition and Results of Operations - Dividends for a discussion of our dividend policy.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SHARE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May 17, 2022, the Board of Directors authorized us to repurchase an additional 7,500,000 shares. Including this latest authorization, our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has approved the repurchase in the open market of a cumulative total of approximately 55.9 million shares of our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Common Stock since we became publicly held in April 1994.</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fiscal years 2022 and 2020, we repurchased 3,982,657 and 3,574,109 shares, respectively, at average prices of $148.08 and $87.82, respectively. We did not repurchase any shares in fiscal 2021. We have repurchased approximately 45.1 million shares from April 1994 through March 31, 2022.</w:t>
      </w:r>
    </w:p>
    <w:p>
      <w:pPr>
        <w:spacing w:after="0" w:line="94"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occasionally by the Company’s management, including plans to comply with the safe harbor provided by Rule 10b5-1.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Purchases of the Company's common stock during the quarter ended March 31, 2022,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21"/>
        </w:trPr>
        <w:tc>
          <w:tcPr>
            <w:tcW w:w="5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Shares Purchased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22"/>
        </w:trPr>
        <w:tc>
          <w:tcPr>
            <w:tcW w:w="536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Average Price Paid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as Part of Publicly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21"/>
        </w:trPr>
        <w:tc>
          <w:tcPr>
            <w:tcW w:w="5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Announced Plans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004483"/>
            </w:tcBorders>
            <w:vMerge w:val="continue"/>
          </w:tcPr>
          <w:p>
            <w:pPr>
              <w:spacing w:after="0"/>
              <w:rPr>
                <w:sz w:val="15"/>
                <w:szCs w:val="15"/>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8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January 1 through January 31, 2022</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362,211</w:t>
            </w:r>
          </w:p>
        </w:tc>
        <w:tc>
          <w:tcPr>
            <w:tcW w:w="100" w:type="dxa"/>
            <w:vAlign w:val="bottom"/>
          </w:tcPr>
          <w:p>
            <w:pPr>
              <w:spacing w:after="0"/>
              <w:rPr>
                <w:sz w:val="16"/>
                <w:szCs w:val="16"/>
                <w:color w:val="auto"/>
              </w:rPr>
            </w:pPr>
          </w:p>
        </w:tc>
        <w:tc>
          <w:tcPr>
            <w:tcW w:w="3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155.98</w:t>
            </w: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8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February 1 through February 28, 2022</w:t>
            </w: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418,000</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142.16</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March 1 through March 31, 2022</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286,000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132.34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A6A6A6"/>
            </w:tcBorders>
          </w:tcPr>
          <w:p>
            <w:pPr>
              <w:spacing w:after="0"/>
              <w:rPr>
                <w:sz w:val="2"/>
                <w:szCs w:val="2"/>
                <w:color w:val="auto"/>
              </w:rPr>
            </w:pPr>
          </w:p>
        </w:tc>
        <w:tc>
          <w:tcPr>
            <w:tcW w:w="12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60" w:type="dxa"/>
            <w:vAlign w:val="bottom"/>
            <w:tcBorders>
              <w:bottom w:val="single" w:sz="8" w:color="004483"/>
            </w:tcBorders>
            <w:shd w:val="clear" w:color="auto" w:fill="004483"/>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28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3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Quarter 4 Totals</w:t>
            </w: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1,066,211</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144.22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10,822,992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The shares available for repurchase under the plan includes the additional share authorization on May 17, 2022. We did not have any sales of unregistered equity securities during fiscal 2022, 2021, or 2020.</w:t>
      </w:r>
    </w:p>
    <w:p>
      <w:pPr>
        <w:spacing w:after="0" w:line="8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Equity Compensation Plan information set forth in Part III, Item 12 of this Form 10-K is hereby incorporated by reference into this Part II, Item 5.</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5"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004483"/>
        </w:rPr>
        <w:t>PERFORMANCE GRAPH</w:t>
      </w:r>
    </w:p>
    <w:p>
      <w:pPr>
        <w:spacing w:after="0" w:line="166"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004483"/>
        </w:rPr>
        <w:t>The following performance graph and related information shall not be deemed soliciting material or to be filed with the Securities and Exchange Commission, nor shall such information be incorporated by reference into any future filing under the Securities Act of 1933 or the Securities Exchange Act of 1934, each as amended, except to the extent that the Company specifically incorporates it by reference into such filing.</w:t>
      </w:r>
    </w:p>
    <w:p>
      <w:pPr>
        <w:spacing w:after="0" w:line="97"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color w:val="auto"/>
        </w:rPr>
        <w:t>The graph below compares the cumulative 5-year total return to holders of Eagle Materials Inc. common stock with the cumulative total returns of the Russell 1000 index and the Dow Jones US Building Materials &amp; Fixtures index. The graph assumes that the value of the investment (including the reinvestment of dividends) in the Company’s common stock and in each of the indices was $100 on March 31, 2017, and tracks it through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5349240" cy="4440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Borders>
              <w:bottom w:val="single" w:sz="8" w:color="004483"/>
            </w:tcBorders>
          </w:tcPr>
          <w:p>
            <w:pPr>
              <w:spacing w:after="0"/>
              <w:rPr>
                <w:sz w:val="16"/>
                <w:szCs w:val="16"/>
                <w:color w:val="auto"/>
              </w:rPr>
            </w:pPr>
          </w:p>
        </w:tc>
        <w:tc>
          <w:tcPr>
            <w:tcW w:w="1840" w:type="dxa"/>
            <w:vAlign w:val="bottom"/>
            <w:tcBorders>
              <w:bottom w:val="single" w:sz="8" w:color="004483"/>
            </w:tcBorders>
          </w:tcPr>
          <w:p>
            <w:pPr>
              <w:jc w:val="right"/>
              <w:ind w:right="284"/>
              <w:spacing w:after="0"/>
              <w:rPr>
                <w:sz w:val="20"/>
                <w:szCs w:val="20"/>
                <w:color w:val="auto"/>
              </w:rPr>
            </w:pPr>
            <w:r>
              <w:rPr>
                <w:rFonts w:ascii="Arial" w:cs="Arial" w:eastAsia="Arial" w:hAnsi="Arial"/>
                <w:sz w:val="13"/>
                <w:szCs w:val="13"/>
                <w:b w:val="1"/>
                <w:bCs w:val="1"/>
                <w:color w:val="auto"/>
              </w:rPr>
              <w:t>3/17</w:t>
            </w:r>
          </w:p>
        </w:tc>
        <w:tc>
          <w:tcPr>
            <w:tcW w:w="1140" w:type="dxa"/>
            <w:vAlign w:val="bottom"/>
            <w:tcBorders>
              <w:bottom w:val="single" w:sz="8" w:color="004483"/>
            </w:tcBorders>
          </w:tcPr>
          <w:p>
            <w:pPr>
              <w:jc w:val="right"/>
              <w:ind w:right="264"/>
              <w:spacing w:after="0"/>
              <w:rPr>
                <w:sz w:val="20"/>
                <w:szCs w:val="20"/>
                <w:color w:val="auto"/>
              </w:rPr>
            </w:pPr>
            <w:r>
              <w:rPr>
                <w:rFonts w:ascii="Arial" w:cs="Arial" w:eastAsia="Arial" w:hAnsi="Arial"/>
                <w:sz w:val="13"/>
                <w:szCs w:val="13"/>
                <w:b w:val="1"/>
                <w:bCs w:val="1"/>
                <w:color w:val="auto"/>
              </w:rPr>
              <w:t>3/18</w:t>
            </w:r>
          </w:p>
        </w:tc>
        <w:tc>
          <w:tcPr>
            <w:tcW w:w="1140" w:type="dxa"/>
            <w:vAlign w:val="bottom"/>
            <w:tcBorders>
              <w:bottom w:val="single" w:sz="8" w:color="004483"/>
            </w:tcBorders>
          </w:tcPr>
          <w:p>
            <w:pPr>
              <w:jc w:val="right"/>
              <w:ind w:right="264"/>
              <w:spacing w:after="0"/>
              <w:rPr>
                <w:sz w:val="20"/>
                <w:szCs w:val="20"/>
                <w:color w:val="auto"/>
              </w:rPr>
            </w:pPr>
            <w:r>
              <w:rPr>
                <w:rFonts w:ascii="Arial" w:cs="Arial" w:eastAsia="Arial" w:hAnsi="Arial"/>
                <w:sz w:val="13"/>
                <w:szCs w:val="13"/>
                <w:b w:val="1"/>
                <w:bCs w:val="1"/>
                <w:color w:val="auto"/>
              </w:rPr>
              <w:t>3/19</w:t>
            </w:r>
          </w:p>
        </w:tc>
        <w:tc>
          <w:tcPr>
            <w:tcW w:w="1100" w:type="dxa"/>
            <w:vAlign w:val="bottom"/>
            <w:tcBorders>
              <w:bottom w:val="single" w:sz="8" w:color="004483"/>
            </w:tcBorders>
          </w:tcPr>
          <w:p>
            <w:pPr>
              <w:jc w:val="right"/>
              <w:ind w:right="244"/>
              <w:spacing w:after="0"/>
              <w:rPr>
                <w:sz w:val="20"/>
                <w:szCs w:val="20"/>
                <w:color w:val="auto"/>
              </w:rPr>
            </w:pPr>
            <w:r>
              <w:rPr>
                <w:rFonts w:ascii="Arial" w:cs="Arial" w:eastAsia="Arial" w:hAnsi="Arial"/>
                <w:sz w:val="13"/>
                <w:szCs w:val="13"/>
                <w:b w:val="1"/>
                <w:bCs w:val="1"/>
                <w:color w:val="auto"/>
              </w:rPr>
              <w:t>3/20</w:t>
            </w:r>
          </w:p>
        </w:tc>
        <w:tc>
          <w:tcPr>
            <w:tcW w:w="1080" w:type="dxa"/>
            <w:vAlign w:val="bottom"/>
            <w:tcBorders>
              <w:bottom w:val="single" w:sz="8" w:color="004483"/>
            </w:tcBorders>
          </w:tcPr>
          <w:p>
            <w:pPr>
              <w:jc w:val="right"/>
              <w:ind w:right="244"/>
              <w:spacing w:after="0"/>
              <w:rPr>
                <w:sz w:val="20"/>
                <w:szCs w:val="20"/>
                <w:color w:val="auto"/>
              </w:rPr>
            </w:pPr>
            <w:r>
              <w:rPr>
                <w:rFonts w:ascii="Arial" w:cs="Arial" w:eastAsia="Arial" w:hAnsi="Arial"/>
                <w:sz w:val="13"/>
                <w:szCs w:val="13"/>
                <w:b w:val="1"/>
                <w:bCs w:val="1"/>
                <w:color w:val="auto"/>
              </w:rPr>
              <w:t>3/21</w:t>
            </w:r>
          </w:p>
        </w:tc>
        <w:tc>
          <w:tcPr>
            <w:tcW w:w="900" w:type="dxa"/>
            <w:vAlign w:val="bottom"/>
            <w:tcBorders>
              <w:bottom w:val="single" w:sz="8" w:color="004483"/>
            </w:tcBorders>
          </w:tcPr>
          <w:p>
            <w:pPr>
              <w:jc w:val="right"/>
              <w:ind w:right="44"/>
              <w:spacing w:after="0"/>
              <w:rPr>
                <w:sz w:val="20"/>
                <w:szCs w:val="20"/>
                <w:color w:val="auto"/>
              </w:rPr>
            </w:pPr>
            <w:r>
              <w:rPr>
                <w:rFonts w:ascii="Arial" w:cs="Arial" w:eastAsia="Arial" w:hAnsi="Arial"/>
                <w:sz w:val="13"/>
                <w:szCs w:val="13"/>
                <w:b w:val="1"/>
                <w:bCs w:val="1"/>
                <w:color w:val="auto"/>
              </w:rPr>
              <w:t>3/22</w:t>
            </w:r>
          </w:p>
        </w:tc>
      </w:tr>
      <w:tr>
        <w:trPr>
          <w:trHeight w:val="189"/>
        </w:trPr>
        <w:tc>
          <w:tcPr>
            <w:tcW w:w="40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Eagle Materials Inc.</w:t>
            </w:r>
          </w:p>
        </w:tc>
        <w:tc>
          <w:tcPr>
            <w:tcW w:w="1840" w:type="dxa"/>
            <w:vAlign w:val="bottom"/>
            <w:tcBorders>
              <w:bottom w:val="single" w:sz="8" w:color="A6A6A6"/>
            </w:tcBorders>
          </w:tcPr>
          <w:p>
            <w:pPr>
              <w:jc w:val="right"/>
              <w:ind w:right="284"/>
              <w:spacing w:after="0"/>
              <w:rPr>
                <w:sz w:val="20"/>
                <w:szCs w:val="20"/>
                <w:color w:val="auto"/>
              </w:rPr>
            </w:pPr>
            <w:r>
              <w:rPr>
                <w:rFonts w:ascii="Arial" w:cs="Arial" w:eastAsia="Arial" w:hAnsi="Arial"/>
                <w:sz w:val="16"/>
                <w:szCs w:val="16"/>
                <w:color w:val="auto"/>
              </w:rPr>
              <w:t>100.00</w:t>
            </w:r>
          </w:p>
        </w:tc>
        <w:tc>
          <w:tcPr>
            <w:tcW w:w="1140" w:type="dxa"/>
            <w:vAlign w:val="bottom"/>
            <w:tcBorders>
              <w:bottom w:val="single" w:sz="8" w:color="A6A6A6"/>
            </w:tcBorders>
          </w:tcPr>
          <w:p>
            <w:pPr>
              <w:jc w:val="right"/>
              <w:ind w:right="264"/>
              <w:spacing w:after="0"/>
              <w:rPr>
                <w:sz w:val="20"/>
                <w:szCs w:val="20"/>
                <w:color w:val="auto"/>
              </w:rPr>
            </w:pPr>
            <w:r>
              <w:rPr>
                <w:rFonts w:ascii="Arial" w:cs="Arial" w:eastAsia="Arial" w:hAnsi="Arial"/>
                <w:sz w:val="16"/>
                <w:szCs w:val="16"/>
                <w:color w:val="auto"/>
              </w:rPr>
              <w:t>106.50</w:t>
            </w:r>
          </w:p>
        </w:tc>
        <w:tc>
          <w:tcPr>
            <w:tcW w:w="1140" w:type="dxa"/>
            <w:vAlign w:val="bottom"/>
            <w:tcBorders>
              <w:bottom w:val="single" w:sz="8" w:color="A6A6A6"/>
            </w:tcBorders>
          </w:tcPr>
          <w:p>
            <w:pPr>
              <w:jc w:val="right"/>
              <w:ind w:right="264"/>
              <w:spacing w:after="0"/>
              <w:rPr>
                <w:sz w:val="20"/>
                <w:szCs w:val="20"/>
                <w:color w:val="auto"/>
              </w:rPr>
            </w:pPr>
            <w:r>
              <w:rPr>
                <w:rFonts w:ascii="Arial" w:cs="Arial" w:eastAsia="Arial" w:hAnsi="Arial"/>
                <w:sz w:val="16"/>
                <w:szCs w:val="16"/>
                <w:color w:val="auto"/>
              </w:rPr>
              <w:t>87.54</w:t>
            </w:r>
          </w:p>
        </w:tc>
        <w:tc>
          <w:tcPr>
            <w:tcW w:w="110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60.94</w:t>
            </w:r>
          </w:p>
        </w:tc>
        <w:tc>
          <w:tcPr>
            <w:tcW w:w="108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rPr>
              <w:t>140.42</w:t>
            </w:r>
          </w:p>
        </w:tc>
        <w:tc>
          <w:tcPr>
            <w:tcW w:w="90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135.06</w:t>
            </w:r>
          </w:p>
        </w:tc>
      </w:tr>
      <w:tr>
        <w:trPr>
          <w:trHeight w:val="183"/>
        </w:trPr>
        <w:tc>
          <w:tcPr>
            <w:tcW w:w="4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Russell 1000</w:t>
            </w:r>
          </w:p>
        </w:tc>
        <w:tc>
          <w:tcPr>
            <w:tcW w:w="1840" w:type="dxa"/>
            <w:vAlign w:val="bottom"/>
            <w:tcBorders>
              <w:bottom w:val="single" w:sz="8" w:color="A6A6A6"/>
            </w:tcBorders>
          </w:tcPr>
          <w:p>
            <w:pPr>
              <w:jc w:val="right"/>
              <w:ind w:right="284"/>
              <w:spacing w:after="0" w:line="183" w:lineRule="exact"/>
              <w:rPr>
                <w:sz w:val="20"/>
                <w:szCs w:val="20"/>
                <w:color w:val="auto"/>
              </w:rPr>
            </w:pPr>
            <w:r>
              <w:rPr>
                <w:rFonts w:ascii="Arial" w:cs="Arial" w:eastAsia="Arial" w:hAnsi="Arial"/>
                <w:sz w:val="16"/>
                <w:szCs w:val="16"/>
                <w:color w:val="auto"/>
              </w:rPr>
              <w:t>100.00</w:t>
            </w:r>
          </w:p>
        </w:tc>
        <w:tc>
          <w:tcPr>
            <w:tcW w:w="1140" w:type="dxa"/>
            <w:vAlign w:val="bottom"/>
            <w:tcBorders>
              <w:bottom w:val="single" w:sz="8" w:color="A6A6A6"/>
            </w:tcBorders>
          </w:tcPr>
          <w:p>
            <w:pPr>
              <w:jc w:val="right"/>
              <w:ind w:right="264"/>
              <w:spacing w:after="0" w:line="183" w:lineRule="exact"/>
              <w:rPr>
                <w:sz w:val="20"/>
                <w:szCs w:val="20"/>
                <w:color w:val="auto"/>
              </w:rPr>
            </w:pPr>
            <w:r>
              <w:rPr>
                <w:rFonts w:ascii="Arial" w:cs="Arial" w:eastAsia="Arial" w:hAnsi="Arial"/>
                <w:sz w:val="16"/>
                <w:szCs w:val="16"/>
                <w:color w:val="auto"/>
              </w:rPr>
              <w:t>113.98</w:t>
            </w:r>
          </w:p>
        </w:tc>
        <w:tc>
          <w:tcPr>
            <w:tcW w:w="1140" w:type="dxa"/>
            <w:vAlign w:val="bottom"/>
            <w:tcBorders>
              <w:bottom w:val="single" w:sz="8" w:color="A6A6A6"/>
            </w:tcBorders>
          </w:tcPr>
          <w:p>
            <w:pPr>
              <w:jc w:val="right"/>
              <w:ind w:right="264"/>
              <w:spacing w:after="0" w:line="183" w:lineRule="exact"/>
              <w:rPr>
                <w:sz w:val="20"/>
                <w:szCs w:val="20"/>
                <w:color w:val="auto"/>
              </w:rPr>
            </w:pPr>
            <w:r>
              <w:rPr>
                <w:rFonts w:ascii="Arial" w:cs="Arial" w:eastAsia="Arial" w:hAnsi="Arial"/>
                <w:sz w:val="16"/>
                <w:szCs w:val="16"/>
                <w:color w:val="auto"/>
              </w:rPr>
              <w:t>124.58</w:t>
            </w:r>
          </w:p>
        </w:tc>
        <w:tc>
          <w:tcPr>
            <w:tcW w:w="1100" w:type="dxa"/>
            <w:vAlign w:val="bottom"/>
            <w:tcBorders>
              <w:bottom w:val="single" w:sz="8" w:color="A6A6A6"/>
            </w:tcBorders>
          </w:tcPr>
          <w:p>
            <w:pPr>
              <w:jc w:val="right"/>
              <w:ind w:right="244"/>
              <w:spacing w:after="0" w:line="183" w:lineRule="exact"/>
              <w:rPr>
                <w:sz w:val="20"/>
                <w:szCs w:val="20"/>
                <w:color w:val="auto"/>
              </w:rPr>
            </w:pPr>
            <w:r>
              <w:rPr>
                <w:rFonts w:ascii="Arial" w:cs="Arial" w:eastAsia="Arial" w:hAnsi="Arial"/>
                <w:sz w:val="16"/>
                <w:szCs w:val="16"/>
                <w:color w:val="auto"/>
              </w:rPr>
              <w:t>114.58</w:t>
            </w:r>
          </w:p>
        </w:tc>
        <w:tc>
          <w:tcPr>
            <w:tcW w:w="1080" w:type="dxa"/>
            <w:vAlign w:val="bottom"/>
            <w:tcBorders>
              <w:bottom w:val="single" w:sz="8" w:color="A6A6A6"/>
            </w:tcBorders>
          </w:tcPr>
          <w:p>
            <w:pPr>
              <w:jc w:val="right"/>
              <w:ind w:right="244"/>
              <w:spacing w:after="0" w:line="183" w:lineRule="exact"/>
              <w:rPr>
                <w:sz w:val="20"/>
                <w:szCs w:val="20"/>
                <w:color w:val="auto"/>
              </w:rPr>
            </w:pPr>
            <w:r>
              <w:rPr>
                <w:rFonts w:ascii="Arial" w:cs="Arial" w:eastAsia="Arial" w:hAnsi="Arial"/>
                <w:sz w:val="16"/>
                <w:szCs w:val="16"/>
                <w:color w:val="auto"/>
              </w:rPr>
              <w:t>184.00</w:t>
            </w:r>
          </w:p>
        </w:tc>
        <w:tc>
          <w:tcPr>
            <w:tcW w:w="90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208.42</w:t>
            </w:r>
          </w:p>
        </w:tc>
      </w:tr>
      <w:tr>
        <w:trPr>
          <w:trHeight w:val="183"/>
        </w:trPr>
        <w:tc>
          <w:tcPr>
            <w:tcW w:w="4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Dow Jones US Building Materials &amp; Fixtures</w:t>
            </w:r>
          </w:p>
        </w:tc>
        <w:tc>
          <w:tcPr>
            <w:tcW w:w="1840" w:type="dxa"/>
            <w:vAlign w:val="bottom"/>
            <w:tcBorders>
              <w:bottom w:val="single" w:sz="8" w:color="A6A6A6"/>
            </w:tcBorders>
          </w:tcPr>
          <w:p>
            <w:pPr>
              <w:jc w:val="right"/>
              <w:ind w:right="284"/>
              <w:spacing w:after="0" w:line="183" w:lineRule="exact"/>
              <w:rPr>
                <w:sz w:val="20"/>
                <w:szCs w:val="20"/>
                <w:color w:val="auto"/>
              </w:rPr>
            </w:pPr>
            <w:r>
              <w:rPr>
                <w:rFonts w:ascii="Arial" w:cs="Arial" w:eastAsia="Arial" w:hAnsi="Arial"/>
                <w:sz w:val="16"/>
                <w:szCs w:val="16"/>
                <w:color w:val="auto"/>
              </w:rPr>
              <w:t>100.00</w:t>
            </w:r>
          </w:p>
        </w:tc>
        <w:tc>
          <w:tcPr>
            <w:tcW w:w="1140" w:type="dxa"/>
            <w:vAlign w:val="bottom"/>
            <w:tcBorders>
              <w:bottom w:val="single" w:sz="8" w:color="A6A6A6"/>
            </w:tcBorders>
          </w:tcPr>
          <w:p>
            <w:pPr>
              <w:jc w:val="right"/>
              <w:ind w:right="264"/>
              <w:spacing w:after="0" w:line="183" w:lineRule="exact"/>
              <w:rPr>
                <w:sz w:val="20"/>
                <w:szCs w:val="20"/>
                <w:color w:val="auto"/>
              </w:rPr>
            </w:pPr>
            <w:r>
              <w:rPr>
                <w:rFonts w:ascii="Arial" w:cs="Arial" w:eastAsia="Arial" w:hAnsi="Arial"/>
                <w:sz w:val="16"/>
                <w:szCs w:val="16"/>
                <w:color w:val="auto"/>
              </w:rPr>
              <w:t>105.73</w:t>
            </w:r>
          </w:p>
        </w:tc>
        <w:tc>
          <w:tcPr>
            <w:tcW w:w="1140" w:type="dxa"/>
            <w:vAlign w:val="bottom"/>
            <w:tcBorders>
              <w:bottom w:val="single" w:sz="8" w:color="A6A6A6"/>
            </w:tcBorders>
          </w:tcPr>
          <w:p>
            <w:pPr>
              <w:jc w:val="right"/>
              <w:ind w:right="264"/>
              <w:spacing w:after="0" w:line="183" w:lineRule="exact"/>
              <w:rPr>
                <w:sz w:val="20"/>
                <w:szCs w:val="20"/>
                <w:color w:val="auto"/>
              </w:rPr>
            </w:pPr>
            <w:r>
              <w:rPr>
                <w:rFonts w:ascii="Arial" w:cs="Arial" w:eastAsia="Arial" w:hAnsi="Arial"/>
                <w:sz w:val="16"/>
                <w:szCs w:val="16"/>
                <w:color w:val="auto"/>
              </w:rPr>
              <w:t>104.19</w:t>
            </w:r>
          </w:p>
        </w:tc>
        <w:tc>
          <w:tcPr>
            <w:tcW w:w="1100" w:type="dxa"/>
            <w:vAlign w:val="bottom"/>
            <w:tcBorders>
              <w:bottom w:val="single" w:sz="8" w:color="A6A6A6"/>
            </w:tcBorders>
          </w:tcPr>
          <w:p>
            <w:pPr>
              <w:jc w:val="right"/>
              <w:ind w:right="244"/>
              <w:spacing w:after="0" w:line="183" w:lineRule="exact"/>
              <w:rPr>
                <w:sz w:val="20"/>
                <w:szCs w:val="20"/>
                <w:color w:val="auto"/>
              </w:rPr>
            </w:pPr>
            <w:r>
              <w:rPr>
                <w:rFonts w:ascii="Arial" w:cs="Arial" w:eastAsia="Arial" w:hAnsi="Arial"/>
                <w:sz w:val="16"/>
                <w:szCs w:val="16"/>
                <w:color w:val="auto"/>
              </w:rPr>
              <w:t>95.81</w:t>
            </w:r>
          </w:p>
        </w:tc>
        <w:tc>
          <w:tcPr>
            <w:tcW w:w="1080" w:type="dxa"/>
            <w:vAlign w:val="bottom"/>
            <w:tcBorders>
              <w:bottom w:val="single" w:sz="8" w:color="A6A6A6"/>
            </w:tcBorders>
          </w:tcPr>
          <w:p>
            <w:pPr>
              <w:jc w:val="right"/>
              <w:ind w:right="244"/>
              <w:spacing w:after="0" w:line="183" w:lineRule="exact"/>
              <w:rPr>
                <w:sz w:val="20"/>
                <w:szCs w:val="20"/>
                <w:color w:val="auto"/>
              </w:rPr>
            </w:pPr>
            <w:r>
              <w:rPr>
                <w:rFonts w:ascii="Arial" w:cs="Arial" w:eastAsia="Arial" w:hAnsi="Arial"/>
                <w:sz w:val="16"/>
                <w:szCs w:val="16"/>
                <w:color w:val="auto"/>
              </w:rPr>
              <w:t>186.13</w:t>
            </w:r>
          </w:p>
        </w:tc>
        <w:tc>
          <w:tcPr>
            <w:tcW w:w="90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187.51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 Release No. 33-10890 eliminated the requirement of selected financial data previously required by Item 301 of Regulation S-K.</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EXECUTIVE SUMMARY</w:t>
      </w:r>
    </w:p>
    <w:p>
      <w:pPr>
        <w:spacing w:after="0" w:line="166"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or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96"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Our current businesses are organized into two sectors: Heavy Materials, which includes the Cement and Concrete and Aggregates segments; and Light Materials, which includes the Gypsum Wallboard and Recycled Paperboard segments. Financial results and other information for the fiscal years ended March 31, 2022 and 2021, are presented on a consolidated basis and with respect to these business segments – Cement, Concrete and Aggregates, Gypsum Wallboard, and Recycled Paperboard.</w:t>
      </w:r>
    </w:p>
    <w:p>
      <w:pPr>
        <w:spacing w:after="0" w:line="97"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9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April 22, 2022, we finalized the ConAgg Acquisition. The purchase price of the ConAgg Acquisition was approximately $121.2 million. The ConAgg Acquisition will be included in our Heavy Materials sector, in the Concrete and Aggregates segment. See Footnote (B) to the Audited Consolidated Financial Statements for more information regarding the ConAgg Acquisition.</w:t>
      </w:r>
    </w:p>
    <w:p>
      <w:pPr>
        <w:spacing w:after="0" w:line="95"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On September 18, 2020, we sold our Oil and Gas Proppants business, which had previously been reported as a separate operating segment, for a purchase price of $2.0 million, which was paid in Smart Sand common stock. For financial reporting purposes, the sale resulted in a gain of approximately $9.2 million. Because the sale of the Oil and Gas Proppants business was determined to meet the accounting criteria for discontinued operations, this segment is no longer separately reported in our reportable segment footnote for any of the periods presented. See Footnotes (C) and (I) in the Audited Consolidated Financial Statements for more information about the sale of the Oil and Gas Proppants business.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004483"/>
        </w:rPr>
        <w:t>MARKET CONDITIONS AND OUTLOOK</w:t>
      </w:r>
    </w:p>
    <w:p>
      <w:pPr>
        <w:spacing w:after="0" w:line="1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fiscal 2022 results were strong, with increased operating earnings in our Cement and Gypsum Wallboard segments. Favorable underlying economic conditions supported construction activity in our markets. Our end markets generally remained resilient despite external challenges, such as transportation disruptions, supply chain constraints and the resurgence of COVID-19 in multiple variants across the country. Our regional construction markets continued in most cases to outperform the national average, and sales volume in our largest business lines remained strong – our Gypsum Wallboard shipments were up 3%, and our Cement sales volume increased 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Demand Outlook</w:t>
      </w:r>
    </w:p>
    <w:p>
      <w:pPr>
        <w:spacing w:after="0" w:line="14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principal end-use market of Cement is public infrastructure (i.e. roads, bridges, and highways). While construction spending in the public and private market segments is affected by economic cycles, the historic level of spending on public infrastructure projects has been comparatively more stable in recent periods due to levels of funding from federal, state, and local governments. The federal </w:t>
      </w:r>
      <w:r>
        <w:rPr>
          <w:rFonts w:ascii="Arial" w:cs="Arial" w:eastAsia="Arial" w:hAnsi="Arial"/>
          <w:sz w:val="18"/>
          <w:szCs w:val="18"/>
          <w:i w:val="1"/>
          <w:iCs w:val="1"/>
          <w:color w:val="auto"/>
        </w:rPr>
        <w:t>Infrastructure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and Jobs Act </w:t>
      </w:r>
      <w:r>
        <w:rPr>
          <w:rFonts w:ascii="Arial" w:cs="Arial" w:eastAsia="Arial" w:hAnsi="Arial"/>
          <w:sz w:val="18"/>
          <w:szCs w:val="18"/>
          <w:color w:val="auto"/>
        </w:rPr>
        <w:t>was signed into law on November 15, 2021, and maintains a five-year surface transportation reauthorization, plus</w:t>
      </w:r>
      <w:r>
        <w:rPr>
          <w:rFonts w:ascii="Arial" w:cs="Arial" w:eastAsia="Arial" w:hAnsi="Arial"/>
          <w:sz w:val="18"/>
          <w:szCs w:val="18"/>
          <w:i w:val="1"/>
          <w:iCs w:val="1"/>
          <w:color w:val="auto"/>
        </w:rPr>
        <w:t xml:space="preserve"> </w:t>
      </w:r>
      <w:r>
        <w:rPr>
          <w:rFonts w:ascii="Arial" w:cs="Arial" w:eastAsia="Arial" w:hAnsi="Arial"/>
          <w:sz w:val="18"/>
          <w:szCs w:val="18"/>
          <w:color w:val="auto"/>
        </w:rPr>
        <w:t>$110 billion of funding for roads, bridges, and other infrastructure projects. The PCA is estimating cement consumption will increase slightly in calendar 2022. Our integrated cement sales network stretches across the U.S. heartland and is operating at high utilization levels; therefore, our ability to achieve further Cement sales volume growth from our existing facilities is limited.</w:t>
      </w:r>
    </w:p>
    <w:p>
      <w:pPr>
        <w:spacing w:after="0" w:line="9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principal end use for Gypsum Wallboard is residential housing, consisting of new construction (both single-family and multi-family homes) as well as repair and remodel. The construction of single-family homes is more wallboard-intensive than multi-family homes. The timing of new housing permits is a good indication of future residential volumes. Residential housing starts increased, on a seasonally adjusted basis, approximately 4% from March 2021 through March 2022, and are expected to remain strong throughout the remainder of calendar 2022, despite recent increases in both inflation and mortgage interest rates. In the long term, we expect continued growth in the residential market driven by favorable demographics, notably millennials entering into the housing market, undersupply of homes, job growth, and the shift in population from urban areas to the suburbs. Our Recycled Paperboard business sells paper primarily into the gypsum wallboard market, and demand for our paper generally follows the demand for gypsum wallboard.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Cost Outlook</w:t>
      </w:r>
    </w:p>
    <w:p>
      <w:pPr>
        <w:spacing w:after="0" w:line="149"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We are well positioned to manage our cost structure and meet our customers’ needs during the upcoming fiscal year, despite growing challenges related to rising inflation and increased transportation costs. Our substantial raw material reserves for our Cement, Aggregates, and Gypsum Wallboard businesses, and their proximity to our respective manufacturing facilities, support our low-cost producer position across all of our business segments.</w:t>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Energy and freight costs increased in all of our businesses during fiscal 2022, and we anticipate further increases throughout fiscal 2023. The increases in energy costs are related to rising demand and disruption in the global supply of natural gas. Regarding energy, we have forward purchase contracts for approximately 30% of our natural gas needs across all of our businesses for fiscal 2023. For freight, several factors are contributing to higher costs, including: limited availability of trucking and rail service, congestion on the shipping routes, and the increase in price of diesel fuel, all of which have constrained freight capacity. We do not expect these factors to improve in the near term.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41" w:name="page42"/>
    <w:bookmarkEnd w:id="41"/>
    <w:p>
      <w:pPr>
        <w:spacing w:after="0" w:line="268" w:lineRule="auto"/>
        <w:rPr>
          <w:sz w:val="20"/>
          <w:szCs w:val="20"/>
          <w:color w:val="auto"/>
        </w:rPr>
      </w:pPr>
      <w:r>
        <w:rPr>
          <w:rFonts w:ascii="Arial" w:cs="Arial" w:eastAsia="Arial" w:hAnsi="Arial"/>
          <w:sz w:val="18"/>
          <w:szCs w:val="18"/>
          <w:color w:val="auto"/>
        </w:rPr>
        <w:t>The primary raw material used to produce paperboard is OCC. Prices for OCC significantly increased during fiscal 2022 but started to decline during the winter and spring. We expect OCC prices to remain relatively level for the remainder of fiscal 2023. Our current customer contracts for gypsum liner include price adjustments that partially compensate for changes in raw material fiber prices. However, because these price escalations are not realized until future quarters, material costs in our Gypsum Wallboard segment are likely to be higher in the period that these price increases are realized.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COMPARED WITH FISCAL YEAR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20" w:type="dxa"/>
            <w:vAlign w:val="bottom"/>
          </w:tcPr>
          <w:p>
            <w:pPr>
              <w:spacing w:after="0"/>
              <w:rPr>
                <w:sz w:val="13"/>
                <w:szCs w:val="13"/>
                <w:color w:val="auto"/>
              </w:rPr>
            </w:pPr>
          </w:p>
        </w:tc>
        <w:tc>
          <w:tcPr>
            <w:tcW w:w="380" w:type="dxa"/>
            <w:vAlign w:val="bottom"/>
            <w:shd w:val="clear" w:color="auto" w:fill="004483"/>
          </w:tcPr>
          <w:p>
            <w:pPr>
              <w:spacing w:after="0"/>
              <w:rPr>
                <w:sz w:val="13"/>
                <w:szCs w:val="13"/>
                <w:color w:val="auto"/>
              </w:rPr>
            </w:pPr>
          </w:p>
        </w:tc>
        <w:tc>
          <w:tcPr>
            <w:tcW w:w="2780" w:type="dxa"/>
            <w:vAlign w:val="bottom"/>
            <w:gridSpan w:val="4"/>
            <w:shd w:val="clear" w:color="auto" w:fill="004483"/>
          </w:tcPr>
          <w:p>
            <w:pPr>
              <w:jc w:val="right"/>
              <w:ind w:right="700"/>
              <w:spacing w:after="0"/>
              <w:rPr>
                <w:sz w:val="20"/>
                <w:szCs w:val="20"/>
                <w:color w:val="auto"/>
              </w:rPr>
            </w:pPr>
            <w:r>
              <w:rPr>
                <w:rFonts w:ascii="Arial" w:cs="Arial" w:eastAsia="Arial" w:hAnsi="Arial"/>
                <w:sz w:val="13"/>
                <w:szCs w:val="13"/>
                <w:b w:val="1"/>
                <w:bCs w:val="1"/>
                <w:color w:val="FFFFFF"/>
              </w:rPr>
              <w:t>For the Years Ended March 31,</w:t>
            </w:r>
          </w:p>
        </w:tc>
        <w:tc>
          <w:tcPr>
            <w:tcW w:w="1660" w:type="dxa"/>
            <w:vAlign w:val="bottom"/>
            <w:vMerge w:val="restart"/>
          </w:tcPr>
          <w:p>
            <w:pPr>
              <w:jc w:val="right"/>
              <w:ind w:right="300"/>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34"/>
        </w:trPr>
        <w:tc>
          <w:tcPr>
            <w:tcW w:w="6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jc w:val="right"/>
              <w:ind w:right="42"/>
              <w:spacing w:after="0" w:line="134"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2021</w:t>
            </w: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42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1960" w:type="dxa"/>
            <w:vAlign w:val="bottom"/>
            <w:tcBorders>
              <w:bottom w:val="single" w:sz="8" w:color="004483"/>
            </w:tcBorders>
            <w:gridSpan w:val="3"/>
          </w:tcPr>
          <w:p>
            <w:pPr>
              <w:jc w:val="right"/>
              <w:spacing w:after="0"/>
              <w:rPr>
                <w:sz w:val="20"/>
                <w:szCs w:val="20"/>
                <w:color w:val="auto"/>
              </w:rPr>
            </w:pPr>
            <w:r>
              <w:rPr>
                <w:rFonts w:ascii="Arial" w:cs="Arial" w:eastAsia="Arial" w:hAnsi="Arial"/>
                <w:sz w:val="13"/>
                <w:szCs w:val="13"/>
                <w:color w:val="auto"/>
              </w:rPr>
              <w:t>(in thousands, except per share)</w:t>
            </w:r>
          </w:p>
        </w:tc>
        <w:tc>
          <w:tcPr>
            <w:tcW w:w="820" w:type="dxa"/>
            <w:vAlign w:val="bottom"/>
            <w:tcBorders>
              <w:bottom w:val="single" w:sz="8" w:color="004483"/>
            </w:tcBorders>
          </w:tcPr>
          <w:p>
            <w:pPr>
              <w:spacing w:after="0"/>
              <w:rPr>
                <w:sz w:val="15"/>
                <w:szCs w:val="15"/>
                <w:color w:val="auto"/>
              </w:rPr>
            </w:pPr>
          </w:p>
        </w:tc>
        <w:tc>
          <w:tcPr>
            <w:tcW w:w="166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38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1,861,522</w:t>
            </w:r>
          </w:p>
        </w:tc>
        <w:tc>
          <w:tcPr>
            <w:tcW w:w="820" w:type="dxa"/>
            <w:vAlign w:val="bottom"/>
            <w:tcBorders>
              <w:bottom w:val="single" w:sz="8" w:color="A6A6A6"/>
            </w:tcBorders>
            <w:gridSpan w:val="2"/>
          </w:tcPr>
          <w:p>
            <w:pPr>
              <w:jc w:val="right"/>
              <w:ind w:right="50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w w:val="95"/>
              </w:rPr>
              <w:t>1,622,642</w:t>
            </w:r>
          </w:p>
        </w:tc>
        <w:tc>
          <w:tcPr>
            <w:tcW w:w="1660" w:type="dxa"/>
            <w:vAlign w:val="bottom"/>
            <w:tcBorders>
              <w:bottom w:val="single" w:sz="8" w:color="A6A6A6"/>
            </w:tcBorders>
          </w:tcPr>
          <w:p>
            <w:pPr>
              <w:jc w:val="right"/>
              <w:ind w:right="14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Cost of Goods Sold</w:t>
            </w:r>
          </w:p>
        </w:tc>
        <w:tc>
          <w:tcPr>
            <w:tcW w:w="3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(1,341,908 )</w:t>
            </w:r>
          </w:p>
        </w:tc>
        <w:tc>
          <w:tcPr>
            <w:tcW w:w="160" w:type="dxa"/>
            <w:vAlign w:val="bottom"/>
            <w:tcBorders>
              <w:bottom w:val="single" w:sz="8" w:color="A6A6A6"/>
            </w:tcBorders>
          </w:tcPr>
          <w:p>
            <w:pPr>
              <w:spacing w:after="0"/>
              <w:rPr>
                <w:sz w:val="18"/>
                <w:szCs w:val="18"/>
                <w:color w:val="auto"/>
              </w:rPr>
            </w:pPr>
          </w:p>
        </w:tc>
        <w:tc>
          <w:tcPr>
            <w:tcW w:w="660" w:type="dxa"/>
            <w:vAlign w:val="bottom"/>
            <w:tcBorders>
              <w:bottom w:val="single" w:sz="8" w:color="004483"/>
            </w:tcBorders>
          </w:tcPr>
          <w:p>
            <w:pPr>
              <w:spacing w:after="0"/>
              <w:rPr>
                <w:sz w:val="18"/>
                <w:szCs w:val="18"/>
                <w:color w:val="auto"/>
              </w:rPr>
            </w:pPr>
          </w:p>
        </w:tc>
        <w:tc>
          <w:tcPr>
            <w:tcW w:w="8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w w:val="88"/>
              </w:rPr>
              <w:t>(1,214,287 )</w:t>
            </w:r>
          </w:p>
        </w:tc>
        <w:tc>
          <w:tcPr>
            <w:tcW w:w="1660" w:type="dxa"/>
            <w:vAlign w:val="bottom"/>
            <w:tcBorders>
              <w:bottom w:val="single" w:sz="8" w:color="A6A6A6"/>
            </w:tcBorders>
          </w:tcPr>
          <w:p>
            <w:pPr>
              <w:jc w:val="right"/>
              <w:ind w:right="140"/>
              <w:spacing w:after="0" w:line="183" w:lineRule="exact"/>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Gross Profit</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519,614</w:t>
            </w:r>
          </w:p>
        </w:tc>
        <w:tc>
          <w:tcPr>
            <w:tcW w:w="1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408,355</w:t>
            </w:r>
          </w:p>
        </w:tc>
        <w:tc>
          <w:tcPr>
            <w:tcW w:w="1660" w:type="dxa"/>
            <w:vAlign w:val="bottom"/>
            <w:tcBorders>
              <w:bottom w:val="single" w:sz="8" w:color="A6A6A6"/>
            </w:tcBorders>
          </w:tcPr>
          <w:p>
            <w:pPr>
              <w:jc w:val="right"/>
              <w:ind w:right="140"/>
              <w:spacing w:after="0" w:line="183" w:lineRule="exact"/>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32,488</w:t>
            </w:r>
          </w:p>
        </w:tc>
        <w:tc>
          <w:tcPr>
            <w:tcW w:w="1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37,441</w:t>
            </w:r>
          </w:p>
        </w:tc>
        <w:tc>
          <w:tcPr>
            <w:tcW w:w="1660" w:type="dxa"/>
            <w:vAlign w:val="bottom"/>
            <w:tcBorders>
              <w:bottom w:val="single" w:sz="8" w:color="A6A6A6"/>
            </w:tcBorders>
          </w:tcPr>
          <w:p>
            <w:pPr>
              <w:jc w:val="right"/>
              <w:ind w:right="80"/>
              <w:spacing w:after="0" w:line="183" w:lineRule="exact"/>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Corporate General and Administrative</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(46,801 )</w:t>
            </w:r>
          </w:p>
        </w:tc>
        <w:tc>
          <w:tcPr>
            <w:tcW w:w="1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(49,511 )</w:t>
            </w:r>
          </w:p>
        </w:tc>
        <w:tc>
          <w:tcPr>
            <w:tcW w:w="1660" w:type="dxa"/>
            <w:vAlign w:val="bottom"/>
            <w:tcBorders>
              <w:bottom w:val="single" w:sz="8" w:color="A6A6A6"/>
            </w:tcBorders>
          </w:tcPr>
          <w:p>
            <w:pPr>
              <w:jc w:val="right"/>
              <w:ind w:right="80"/>
              <w:spacing w:after="0" w:line="183" w:lineRule="exact"/>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Loss on Early Retirement of Senior Notes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(8,407 )</w:t>
            </w:r>
          </w:p>
        </w:tc>
        <w:tc>
          <w:tcPr>
            <w:tcW w:w="1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6A6A6"/>
            </w:tcBorders>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Gain on Sale of Businesses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51,973</w:t>
            </w:r>
          </w:p>
        </w:tc>
        <w:tc>
          <w:tcPr>
            <w:tcW w:w="1660" w:type="dxa"/>
            <w:vAlign w:val="bottom"/>
            <w:tcBorders>
              <w:bottom w:val="single" w:sz="8" w:color="A6A6A6"/>
            </w:tcBorders>
          </w:tcPr>
          <w:p>
            <w:pPr>
              <w:jc w:val="right"/>
              <w:ind w:right="80"/>
              <w:spacing w:after="0" w:line="183"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Other Non-Operating Income</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9,073</w:t>
            </w:r>
          </w:p>
        </w:tc>
        <w:tc>
          <w:tcPr>
            <w:tcW w:w="1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20,274</w:t>
            </w:r>
          </w:p>
        </w:tc>
        <w:tc>
          <w:tcPr>
            <w:tcW w:w="1660" w:type="dxa"/>
            <w:vAlign w:val="bottom"/>
            <w:tcBorders>
              <w:bottom w:val="single" w:sz="8" w:color="A6A6A6"/>
            </w:tcBorders>
          </w:tcPr>
          <w:p>
            <w:pPr>
              <w:jc w:val="right"/>
              <w:ind w:right="80"/>
              <w:spacing w:after="0" w:line="183" w:lineRule="exact"/>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 Expense, net</w:t>
            </w:r>
          </w:p>
        </w:tc>
        <w:tc>
          <w:tcPr>
            <w:tcW w:w="3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(30,873 )</w:t>
            </w:r>
          </w:p>
        </w:tc>
        <w:tc>
          <w:tcPr>
            <w:tcW w:w="160" w:type="dxa"/>
            <w:vAlign w:val="bottom"/>
            <w:tcBorders>
              <w:bottom w:val="single" w:sz="8" w:color="A6A6A6"/>
            </w:tcBorders>
          </w:tcPr>
          <w:p>
            <w:pPr>
              <w:spacing w:after="0"/>
              <w:rPr>
                <w:sz w:val="18"/>
                <w:szCs w:val="18"/>
                <w:color w:val="auto"/>
              </w:rPr>
            </w:pPr>
          </w:p>
        </w:tc>
        <w:tc>
          <w:tcPr>
            <w:tcW w:w="660" w:type="dxa"/>
            <w:vAlign w:val="bottom"/>
            <w:tcBorders>
              <w:bottom w:val="single" w:sz="8" w:color="004483"/>
            </w:tcBorders>
          </w:tcPr>
          <w:p>
            <w:pPr>
              <w:spacing w:after="0"/>
              <w:rPr>
                <w:sz w:val="18"/>
                <w:szCs w:val="18"/>
                <w:color w:val="auto"/>
              </w:rPr>
            </w:pPr>
          </w:p>
        </w:tc>
        <w:tc>
          <w:tcPr>
            <w:tcW w:w="8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(44,420 )</w:t>
            </w:r>
          </w:p>
        </w:tc>
        <w:tc>
          <w:tcPr>
            <w:tcW w:w="1660" w:type="dxa"/>
            <w:vAlign w:val="bottom"/>
            <w:tcBorders>
              <w:bottom w:val="single" w:sz="8" w:color="A6A6A6"/>
            </w:tcBorders>
          </w:tcPr>
          <w:p>
            <w:pPr>
              <w:jc w:val="right"/>
              <w:ind w:right="80"/>
              <w:spacing w:after="0" w:line="183" w:lineRule="exact"/>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Earnings from Continuing Operations Before Income Taxes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475,094</w:t>
            </w:r>
          </w:p>
        </w:tc>
        <w:tc>
          <w:tcPr>
            <w:tcW w:w="1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424,112</w:t>
            </w:r>
          </w:p>
        </w:tc>
        <w:tc>
          <w:tcPr>
            <w:tcW w:w="1660" w:type="dxa"/>
            <w:vAlign w:val="bottom"/>
            <w:tcBorders>
              <w:bottom w:val="single" w:sz="8" w:color="A6A6A6"/>
            </w:tcBorders>
          </w:tcPr>
          <w:p>
            <w:pPr>
              <w:jc w:val="right"/>
              <w:ind w:right="140"/>
              <w:spacing w:after="0" w:line="183" w:lineRule="exact"/>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Income Tax Expense</w:t>
            </w:r>
          </w:p>
        </w:tc>
        <w:tc>
          <w:tcPr>
            <w:tcW w:w="3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(100,847 )</w:t>
            </w:r>
          </w:p>
        </w:tc>
        <w:tc>
          <w:tcPr>
            <w:tcW w:w="160" w:type="dxa"/>
            <w:vAlign w:val="bottom"/>
            <w:tcBorders>
              <w:bottom w:val="single" w:sz="8" w:color="A6A6A6"/>
            </w:tcBorders>
          </w:tcPr>
          <w:p>
            <w:pPr>
              <w:spacing w:after="0"/>
              <w:rPr>
                <w:sz w:val="18"/>
                <w:szCs w:val="18"/>
                <w:color w:val="auto"/>
              </w:rPr>
            </w:pPr>
          </w:p>
        </w:tc>
        <w:tc>
          <w:tcPr>
            <w:tcW w:w="660" w:type="dxa"/>
            <w:vAlign w:val="bottom"/>
            <w:tcBorders>
              <w:bottom w:val="single" w:sz="8" w:color="004483"/>
            </w:tcBorders>
          </w:tcPr>
          <w:p>
            <w:pPr>
              <w:spacing w:after="0"/>
              <w:rPr>
                <w:sz w:val="18"/>
                <w:szCs w:val="18"/>
                <w:color w:val="auto"/>
              </w:rPr>
            </w:pPr>
          </w:p>
        </w:tc>
        <w:tc>
          <w:tcPr>
            <w:tcW w:w="8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(89,946 )</w:t>
            </w:r>
          </w:p>
        </w:tc>
        <w:tc>
          <w:tcPr>
            <w:tcW w:w="1660" w:type="dxa"/>
            <w:vAlign w:val="bottom"/>
            <w:tcBorders>
              <w:bottom w:val="single" w:sz="8" w:color="A6A6A6"/>
            </w:tcBorders>
          </w:tcPr>
          <w:p>
            <w:pPr>
              <w:jc w:val="right"/>
              <w:ind w:right="140"/>
              <w:spacing w:after="0" w:line="183" w:lineRule="exact"/>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Net Earnings From Continuing Operations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374,247</w:t>
            </w:r>
          </w:p>
        </w:tc>
        <w:tc>
          <w:tcPr>
            <w:tcW w:w="160" w:type="dxa"/>
            <w:vAlign w:val="bottom"/>
            <w:tcBorders>
              <w:bottom w:val="single" w:sz="8" w:color="A6A6A6"/>
            </w:tcBorders>
          </w:tcPr>
          <w:p>
            <w:pPr>
              <w:spacing w:after="0"/>
              <w:rPr>
                <w:sz w:val="15"/>
                <w:szCs w:val="15"/>
                <w:color w:val="auto"/>
              </w:rPr>
            </w:pPr>
          </w:p>
        </w:tc>
        <w:tc>
          <w:tcPr>
            <w:tcW w:w="66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334,166</w:t>
            </w:r>
          </w:p>
        </w:tc>
        <w:tc>
          <w:tcPr>
            <w:tcW w:w="1660" w:type="dxa"/>
            <w:vAlign w:val="bottom"/>
            <w:tcBorders>
              <w:bottom w:val="single" w:sz="8" w:color="A6A6A6"/>
            </w:tcBorders>
          </w:tcPr>
          <w:p>
            <w:pPr>
              <w:jc w:val="right"/>
              <w:ind w:right="140"/>
              <w:spacing w:after="0" w:line="183" w:lineRule="exact"/>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line="183" w:lineRule="exact"/>
              <w:rPr>
                <w:sz w:val="20"/>
                <w:szCs w:val="20"/>
                <w:color w:val="auto"/>
              </w:rPr>
            </w:pPr>
            <w:r>
              <w:rPr>
                <w:rFonts w:ascii="Arial" w:cs="Arial" w:eastAsia="Arial" w:hAnsi="Arial"/>
                <w:sz w:val="16"/>
                <w:szCs w:val="16"/>
                <w:color w:val="004483"/>
              </w:rPr>
              <w:t>Net Earnings from Discontinued Operations</w:t>
            </w:r>
          </w:p>
        </w:tc>
        <w:tc>
          <w:tcPr>
            <w:tcW w:w="380" w:type="dxa"/>
            <w:vAlign w:val="bottom"/>
          </w:tcPr>
          <w:p>
            <w:pPr>
              <w:spacing w:after="0"/>
              <w:rPr>
                <w:sz w:val="15"/>
                <w:szCs w:val="15"/>
                <w:color w:val="auto"/>
              </w:rPr>
            </w:pPr>
          </w:p>
        </w:tc>
        <w:tc>
          <w:tcPr>
            <w:tcW w:w="1140" w:type="dxa"/>
            <w:vAlign w:val="bottom"/>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ind w:right="40"/>
              <w:spacing w:after="0" w:line="183" w:lineRule="exact"/>
              <w:rPr>
                <w:sz w:val="20"/>
                <w:szCs w:val="20"/>
                <w:color w:val="auto"/>
              </w:rPr>
            </w:pPr>
            <w:r>
              <w:rPr>
                <w:rFonts w:ascii="Arial" w:cs="Arial" w:eastAsia="Arial" w:hAnsi="Arial"/>
                <w:sz w:val="16"/>
                <w:szCs w:val="16"/>
                <w:color w:val="auto"/>
              </w:rPr>
              <w:t>5,278</w:t>
            </w:r>
          </w:p>
        </w:tc>
        <w:tc>
          <w:tcPr>
            <w:tcW w:w="1660" w:type="dxa"/>
            <w:vAlign w:val="bottom"/>
          </w:tcPr>
          <w:p>
            <w:pPr>
              <w:jc w:val="right"/>
              <w:ind w:right="80"/>
              <w:spacing w:after="0" w:line="183"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7"/>
        </w:trPr>
        <w:tc>
          <w:tcPr>
            <w:tcW w:w="642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820" w:type="dxa"/>
            <w:vAlign w:val="bottom"/>
            <w:tcBorders>
              <w:bottom w:val="single" w:sz="8" w:color="004483"/>
            </w:tcBorders>
            <w:shd w:val="clear" w:color="auto" w:fill="004483"/>
          </w:tcPr>
          <w:p>
            <w:pPr>
              <w:spacing w:after="0"/>
              <w:rPr>
                <w:sz w:val="2"/>
                <w:szCs w:val="2"/>
                <w:color w:val="auto"/>
              </w:rPr>
            </w:pPr>
          </w:p>
        </w:tc>
        <w:tc>
          <w:tcPr>
            <w:tcW w:w="166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Net Earnings</w:t>
            </w: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374,247</w:t>
            </w:r>
          </w:p>
        </w:tc>
        <w:tc>
          <w:tcPr>
            <w:tcW w:w="160" w:type="dxa"/>
            <w:vAlign w:val="bottom"/>
          </w:tcPr>
          <w:p>
            <w:pPr>
              <w:spacing w:after="0"/>
              <w:rPr>
                <w:sz w:val="15"/>
                <w:szCs w:val="15"/>
                <w:color w:val="auto"/>
              </w:rPr>
            </w:pPr>
          </w:p>
        </w:tc>
        <w:tc>
          <w:tcPr>
            <w:tcW w:w="660" w:type="dxa"/>
            <w:vAlign w:val="bottom"/>
            <w:tcBorders>
              <w:bottom w:val="single" w:sz="8" w:color="004483"/>
            </w:tcBorders>
          </w:tcPr>
          <w:p>
            <w:pPr>
              <w:jc w:val="right"/>
              <w:ind w:right="50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339,444</w:t>
            </w:r>
          </w:p>
        </w:tc>
        <w:tc>
          <w:tcPr>
            <w:tcW w:w="1660" w:type="dxa"/>
            <w:vAlign w:val="bottom"/>
          </w:tcPr>
          <w:p>
            <w:pPr>
              <w:jc w:val="right"/>
              <w:ind w:right="100"/>
              <w:spacing w:after="0" w:line="183" w:lineRule="exact"/>
              <w:rPr>
                <w:sz w:val="20"/>
                <w:szCs w:val="20"/>
                <w:color w:val="auto"/>
              </w:rPr>
            </w:pPr>
            <w:r>
              <w:rPr>
                <w:rFonts w:ascii="Arial" w:cs="Arial" w:eastAsia="Arial" w:hAnsi="Arial"/>
                <w:sz w:val="16"/>
                <w:szCs w:val="16"/>
                <w:b w:val="1"/>
                <w:bCs w:val="1"/>
                <w:color w:val="auto"/>
              </w:rPr>
              <w:t>10 %</w:t>
            </w:r>
          </w:p>
        </w:tc>
        <w:tc>
          <w:tcPr>
            <w:tcW w:w="0" w:type="dxa"/>
            <w:vAlign w:val="bottom"/>
          </w:tcPr>
          <w:p>
            <w:pPr>
              <w:spacing w:after="0"/>
              <w:rPr>
                <w:sz w:val="1"/>
                <w:szCs w:val="1"/>
                <w:color w:val="auto"/>
              </w:rPr>
            </w:pPr>
          </w:p>
        </w:tc>
      </w:tr>
      <w:tr>
        <w:trPr>
          <w:trHeight w:val="20"/>
        </w:trPr>
        <w:tc>
          <w:tcPr>
            <w:tcW w:w="642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66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tcPr>
          <w:p>
            <w:pPr>
              <w:ind w:left="20"/>
              <w:spacing w:after="0" w:line="170" w:lineRule="exact"/>
              <w:rPr>
                <w:sz w:val="20"/>
                <w:szCs w:val="20"/>
                <w:color w:val="auto"/>
              </w:rPr>
            </w:pPr>
            <w:r>
              <w:rPr>
                <w:rFonts w:ascii="Arial" w:cs="Arial" w:eastAsia="Arial" w:hAnsi="Arial"/>
                <w:sz w:val="16"/>
                <w:szCs w:val="16"/>
                <w:b w:val="1"/>
                <w:bCs w:val="1"/>
                <w:color w:val="004483"/>
              </w:rPr>
              <w:t>Diluted Earnings per Share from Continuing Operations</w:t>
            </w:r>
          </w:p>
        </w:tc>
        <w:tc>
          <w:tcPr>
            <w:tcW w:w="380" w:type="dxa"/>
            <w:vAlign w:val="bottom"/>
            <w:tcBorders>
              <w:bottom w:val="single" w:sz="8" w:color="004483"/>
            </w:tcBorders>
          </w:tcPr>
          <w:p>
            <w:pPr>
              <w:jc w:val="right"/>
              <w:ind w:right="199"/>
              <w:spacing w:after="0" w:line="170"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42"/>
              <w:spacing w:after="0" w:line="170" w:lineRule="exact"/>
              <w:rPr>
                <w:sz w:val="20"/>
                <w:szCs w:val="20"/>
                <w:color w:val="auto"/>
              </w:rPr>
            </w:pPr>
            <w:r>
              <w:rPr>
                <w:rFonts w:ascii="Arial" w:cs="Arial" w:eastAsia="Arial" w:hAnsi="Arial"/>
                <w:sz w:val="16"/>
                <w:szCs w:val="16"/>
                <w:b w:val="1"/>
                <w:bCs w:val="1"/>
                <w:color w:val="auto"/>
              </w:rPr>
              <w:t>9.14</w:t>
            </w:r>
          </w:p>
        </w:tc>
        <w:tc>
          <w:tcPr>
            <w:tcW w:w="160" w:type="dxa"/>
            <w:vAlign w:val="bottom"/>
          </w:tcPr>
          <w:p>
            <w:pPr>
              <w:spacing w:after="0"/>
              <w:rPr>
                <w:sz w:val="14"/>
                <w:szCs w:val="14"/>
                <w:color w:val="auto"/>
              </w:rPr>
            </w:pPr>
          </w:p>
        </w:tc>
        <w:tc>
          <w:tcPr>
            <w:tcW w:w="660" w:type="dxa"/>
            <w:vAlign w:val="bottom"/>
            <w:tcBorders>
              <w:bottom w:val="single" w:sz="8" w:color="004483"/>
            </w:tcBorders>
          </w:tcPr>
          <w:p>
            <w:pPr>
              <w:jc w:val="right"/>
              <w:ind w:right="504"/>
              <w:spacing w:after="0" w:line="169" w:lineRule="exact"/>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004483"/>
            </w:tcBorders>
          </w:tcPr>
          <w:p>
            <w:pPr>
              <w:jc w:val="right"/>
              <w:ind w:right="40"/>
              <w:spacing w:after="0" w:line="170" w:lineRule="exact"/>
              <w:rPr>
                <w:sz w:val="20"/>
                <w:szCs w:val="20"/>
                <w:color w:val="auto"/>
              </w:rPr>
            </w:pPr>
            <w:r>
              <w:rPr>
                <w:rFonts w:ascii="Arial" w:cs="Arial" w:eastAsia="Arial" w:hAnsi="Arial"/>
                <w:sz w:val="16"/>
                <w:szCs w:val="16"/>
                <w:b w:val="1"/>
                <w:bCs w:val="1"/>
                <w:color w:val="auto"/>
              </w:rPr>
              <w:t>7.99</w:t>
            </w:r>
          </w:p>
        </w:tc>
        <w:tc>
          <w:tcPr>
            <w:tcW w:w="1660" w:type="dxa"/>
            <w:vAlign w:val="bottom"/>
          </w:tcPr>
          <w:p>
            <w:pPr>
              <w:jc w:val="right"/>
              <w:ind w:right="100"/>
              <w:spacing w:after="0" w:line="170" w:lineRule="exact"/>
              <w:rPr>
                <w:sz w:val="20"/>
                <w:szCs w:val="20"/>
                <w:color w:val="auto"/>
              </w:rPr>
            </w:pPr>
            <w:r>
              <w:rPr>
                <w:rFonts w:ascii="Arial" w:cs="Arial" w:eastAsia="Arial" w:hAnsi="Arial"/>
                <w:sz w:val="16"/>
                <w:szCs w:val="16"/>
                <w:b w:val="1"/>
                <w:bCs w:val="1"/>
                <w:color w:val="auto"/>
              </w:rPr>
              <w:t>14 %</w:t>
            </w:r>
          </w:p>
        </w:tc>
        <w:tc>
          <w:tcPr>
            <w:tcW w:w="0" w:type="dxa"/>
            <w:vAlign w:val="bottom"/>
          </w:tcPr>
          <w:p>
            <w:pPr>
              <w:spacing w:after="0"/>
              <w:rPr>
                <w:sz w:val="1"/>
                <w:szCs w:val="1"/>
                <w:color w:val="auto"/>
              </w:rPr>
            </w:pPr>
          </w:p>
        </w:tc>
      </w:tr>
      <w:tr>
        <w:trPr>
          <w:trHeight w:val="20"/>
        </w:trPr>
        <w:tc>
          <w:tcPr>
            <w:tcW w:w="642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66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REVENUE</w:t>
      </w:r>
    </w:p>
    <w:p>
      <w:pPr>
        <w:spacing w:after="0" w:line="153"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Revenue increased in fiscal 2022 by $238.9 million, or 15%, to $1,861.5 million. The increase in Revenue was due to higher gross sales prices and Sales Volume of approximately $211.2 million and $27.7 million, respectively. All of our segments contributed to the higher gross sales prices, while the increase in Sales Volume primarily related to the Cement and Gypsum Wallboard segments. See individual segment disclosure on pages 43-46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COST OF GOODS SOLD</w:t>
      </w:r>
    </w:p>
    <w:p>
      <w:pPr>
        <w:spacing w:after="0" w:line="16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Cost of Goods Sold increased by $127.6 million, or 11%, to $1,341.9 million in fiscal 2022. The rise in Cost of Goods Sold was due to higher operating costs of $107.4 million and higher Sales Volume of $20.2 million. Operating costs increased in all of our businesses, and this is discussed further on pages 43-46.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4483"/>
        </w:rPr>
        <w:t>GROSS PROFIT</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Gross Profit increased by 27% to $519.6 million in fiscal 2022. The increase in Gross Profit was mainly due to higher gross sales prices and Sales Volume, partially offset by higher operating costs, as noted above. The gross margin increased to 28% in fiscal 2022 from 25% in fiscal 2021, primarily because of higher gross sales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EQUITY IN EARNINGS OF UNCONSOLIDATED JOINT VENTURE</w:t>
      </w:r>
    </w:p>
    <w:p>
      <w:pPr>
        <w:spacing w:after="0" w:line="166"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color w:val="auto"/>
        </w:rPr>
        <w:t>Equity in Earnings of Unconsolidated Joint Venture decreased by $4.9 million, or 13%. The decline was mostly due to lower Sales Volume and higher operating costs of approximately $2.8 million and $8.7 million, respectively. This was partially offset by increased gross sales prices of $6.6 million. The higher operating costs were due primarily to higher maintenance costs and increased amounts of purchased cement, which increased by approximately $3.3 million and $3.7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CORPORATE GENERAL AND ADMINISTRATIVE</w:t>
      </w:r>
    </w:p>
    <w:p>
      <w:pPr>
        <w:spacing w:after="0" w:line="166" w:lineRule="exact"/>
        <w:rPr>
          <w:sz w:val="20"/>
          <w:szCs w:val="20"/>
          <w:color w:val="auto"/>
        </w:rPr>
      </w:pPr>
    </w:p>
    <w:p>
      <w:pPr>
        <w:ind w:right="100"/>
        <w:spacing w:after="0" w:line="304" w:lineRule="auto"/>
        <w:rPr>
          <w:sz w:val="20"/>
          <w:szCs w:val="20"/>
          <w:color w:val="auto"/>
        </w:rPr>
      </w:pPr>
      <w:r>
        <w:rPr>
          <w:rFonts w:ascii="Arial" w:cs="Arial" w:eastAsia="Arial" w:hAnsi="Arial"/>
          <w:sz w:val="17"/>
          <w:szCs w:val="17"/>
          <w:color w:val="auto"/>
        </w:rPr>
        <w:t>Corporate General and Administrative expenses decreased by approximately $2.7 million, or 5%, to $46.8 million in fiscal 2022. The decrease was due primarily to professional and transaction fees incurred in fiscal 2021 of approximately $5.2 million and $3.9 million, respectively. Professional fees related mainly to our strategic portfolio review, and the transaction fees mostly related to the sale of Mathews Readymix and Western Aggregates, as well as our Oil and Gas Proppants business. The decrease was partially offset by higher insurance, travel, and incentive compensation costs, which increased by approximately $3.2 million, $2.6 million, and $0.9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LOSS ON EARLY RETIRMENT OF SENIOR NOTES</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July 2021, the Company redeemed and retired its 4.500% Senior Unsecured Notes due in 2026 prior to the maturity date. As a result of the early retirement, the Company paid a premium of $8.4 million. See Footnote (G) to the Audit Consolidated Financial Statements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GAIN ON SALE OF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April 17, 2020, we sold Western and Mathews for approximately $93.5 million, resulting in a gain on sale of approximately $52.0 million.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See Footnote (C) to the Audited Consolidated Financial Statements for more information regarding this sale.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OTHER NON-OPERATING INCOME</w:t>
      </w:r>
    </w:p>
    <w:p>
      <w:pPr>
        <w:spacing w:after="0" w:line="16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Other Non-Operating Income was $9.1 million in fiscal 2022, compared with $20.3 million in fiscal 2021. Other Non-Operating Income consists of a variety of items that are non-segment operating in nature, including lease and rental income, investment income, asset sales, and other miscellaneous income and cost items, such as large non-routine sales of excess raw materials or energy.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INTEREST EXPENSE, NET</w:t>
      </w:r>
    </w:p>
    <w:p>
      <w:pPr>
        <w:spacing w:after="0" w:line="16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Interest Expense, net decreased by approximately $13.5 million, or 30%, during fiscal 2022. The decline was primarily due to lower interest on borrowings under our Revolving Credit Facility and Term Loan of approximately $7.3 million and $14.5 million, respectively. Interest Expense related to our Revolving Credit Facility was lower because our average outstanding borrowings under the Revolving Credit Facility were significantly less during fiscal 2022, compared with fiscal 2021. Interest Expense on our Term Loan declined because we repaid the Term Loan on July 1, 2021. The lower interest on our Revolving Credit Facility and Term Loan was partially offset by higher Interest Expense on our public notes and loan</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9" w:right="359" w:bottom="1440" w:gutter="0" w:footer="0" w:header="0"/>
        </w:sectPr>
      </w:pPr>
    </w:p>
    <w:bookmarkStart w:id="43" w:name="page44"/>
    <w:bookmarkEnd w:id="43"/>
    <w:p>
      <w:pPr>
        <w:ind w:right="40"/>
        <w:spacing w:after="0" w:line="284" w:lineRule="auto"/>
        <w:rPr>
          <w:sz w:val="20"/>
          <w:szCs w:val="20"/>
          <w:color w:val="auto"/>
        </w:rPr>
      </w:pPr>
      <w:r>
        <w:rPr>
          <w:rFonts w:ascii="Arial" w:cs="Arial" w:eastAsia="Arial" w:hAnsi="Arial"/>
          <w:sz w:val="18"/>
          <w:szCs w:val="18"/>
          <w:color w:val="auto"/>
        </w:rPr>
        <w:t>amortization expense of approximately $2.9 million and $5.4 million, respectively. Interest on our public notes was higher because our public notes outstanding balance increased to $750.0 million from $350.0 million in July 2021, although the increase was partially offset by the interest rate decreasing to 2.500% from 4.500%. Loan amortization expense increased as a result of our $6.1 million write-off of debt issuance costs in July 2021 related to our 4.500% Unsecured Senior Notes due in 2026 and our Term Loan. See Footnote (G) to the Consolidated Financial Statements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EARNINGS FROM CONTINUING OPERATIONS BEFORE INCOME TAXES</w:t>
      </w:r>
    </w:p>
    <w:p>
      <w:pPr>
        <w:spacing w:after="0" w:line="166" w:lineRule="exact"/>
        <w:rPr>
          <w:sz w:val="20"/>
          <w:szCs w:val="20"/>
          <w:color w:val="auto"/>
        </w:rPr>
      </w:pPr>
    </w:p>
    <w:p>
      <w:pPr>
        <w:ind w:right="40"/>
        <w:spacing w:after="0" w:line="311" w:lineRule="auto"/>
        <w:rPr>
          <w:sz w:val="20"/>
          <w:szCs w:val="20"/>
          <w:color w:val="auto"/>
        </w:rPr>
      </w:pPr>
      <w:r>
        <w:rPr>
          <w:rFonts w:ascii="Arial" w:cs="Arial" w:eastAsia="Arial" w:hAnsi="Arial"/>
          <w:sz w:val="17"/>
          <w:szCs w:val="17"/>
          <w:color w:val="auto"/>
        </w:rPr>
        <w:t>Earnings from Continuing Operations Before Income Taxes increased to $475.1 million during fiscal 2022, primarily because of higher Gross Profit and lower Corporate General and Administrative expenses and Interest Expense. This was partially offset by lower Gain on Sale of Businesses and Equity in Earnings of Unconsolidated Joint Venture, as well as the Premium Paid on Early Retirement of Senior Notes.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INCOME TAX EXPENSE</w:t>
      </w:r>
    </w:p>
    <w:p>
      <w:pPr>
        <w:spacing w:after="0" w:line="166"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Income Tax Expense for fiscal 2022 increased to $100.8 million from $89.9 million for fiscal 2021. The effective tax rate was 21%, same as the prior-year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NET EARNINGS FROM CONTINUING OPERATIONS AND DILUTED EARNINGS PER SHARE FROM CONTINUING OPERATIONS</w:t>
      </w:r>
    </w:p>
    <w:p>
      <w:pPr>
        <w:spacing w:after="0" w:line="166"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Net Earnings from Continuing Operations increased 12% in fiscal 2022 to $374.2 million. Diluted Earnings per Share in fiscal 2022 was $9.14, compared with $7.99 for fiscal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NET EARNINGS FROM DISCONTINUED OPERATIONS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Net Earnings from Discontinued Operations was $5.3 million during fiscal 2021. The Oil and Gas Proppants business was sold in September 2020, and there was no activity related to this business in fiscal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NET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10% to $374.2 million for fiscal 2022, primarily related to the reasons discussed above.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FISCAL YEAR 2022 vs FISCAL YEAR 2021 RESULTS BY SEGMENT</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presents results within our two business sectors in fiscal 2022 and fiscal 2021. Revenue and operating results are organized by sector and discussed by individual business segment within each respective business sector.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86191"/>
        </w:rPr>
        <w:t>Heavy Materials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77EBF"/>
        </w:rPr>
        <w:t xml:space="preserve">CEMENT </w:t>
      </w:r>
      <w:r>
        <w:rPr>
          <w:rFonts w:ascii="Arial" w:cs="Arial" w:eastAsia="Arial" w:hAnsi="Arial"/>
          <w:sz w:val="12"/>
          <w:szCs w:val="12"/>
          <w:b w:val="1"/>
          <w:bCs w:val="1"/>
          <w:color w:val="277EBF"/>
        </w:rPr>
        <w:t>(1)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60" w:type="dxa"/>
            <w:vAlign w:val="bottom"/>
          </w:tcPr>
          <w:p>
            <w:pPr>
              <w:spacing w:after="0"/>
              <w:rPr>
                <w:sz w:val="13"/>
                <w:szCs w:val="13"/>
                <w:color w:val="auto"/>
              </w:rPr>
            </w:pPr>
          </w:p>
        </w:tc>
        <w:tc>
          <w:tcPr>
            <w:tcW w:w="280" w:type="dxa"/>
            <w:vAlign w:val="bottom"/>
            <w:tcBorders>
              <w:bottom w:val="single" w:sz="8" w:color="auto"/>
            </w:tcBorders>
            <w:shd w:val="clear" w:color="auto" w:fill="004483"/>
          </w:tcPr>
          <w:p>
            <w:pPr>
              <w:spacing w:after="0"/>
              <w:rPr>
                <w:sz w:val="13"/>
                <w:szCs w:val="13"/>
                <w:color w:val="auto"/>
              </w:rPr>
            </w:pPr>
          </w:p>
        </w:tc>
        <w:tc>
          <w:tcPr>
            <w:tcW w:w="2100" w:type="dxa"/>
            <w:vAlign w:val="bottom"/>
            <w:tcBorders>
              <w:bottom w:val="single" w:sz="8" w:color="auto"/>
            </w:tcBorders>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Years Ended March 31,</w:t>
            </w:r>
          </w:p>
        </w:tc>
        <w:tc>
          <w:tcPr>
            <w:tcW w:w="620" w:type="dxa"/>
            <w:vAlign w:val="bottom"/>
            <w:tcBorders>
              <w:bottom w:val="single" w:sz="8" w:color="auto"/>
            </w:tcBorders>
            <w:shd w:val="clear" w:color="auto" w:fill="004483"/>
          </w:tcPr>
          <w:p>
            <w:pPr>
              <w:spacing w:after="0"/>
              <w:rPr>
                <w:sz w:val="13"/>
                <w:szCs w:val="13"/>
                <w:color w:val="auto"/>
              </w:rPr>
            </w:pPr>
          </w:p>
        </w:tc>
        <w:tc>
          <w:tcPr>
            <w:tcW w:w="120" w:type="dxa"/>
            <w:vAlign w:val="bottom"/>
            <w:tcBorders>
              <w:bottom w:val="single" w:sz="8" w:color="004483"/>
            </w:tcBorders>
            <w:shd w:val="clear" w:color="auto" w:fill="004483"/>
          </w:tcPr>
          <w:p>
            <w:pPr>
              <w:spacing w:after="0"/>
              <w:rPr>
                <w:sz w:val="13"/>
                <w:szCs w:val="13"/>
                <w:color w:val="auto"/>
              </w:rPr>
            </w:pPr>
          </w:p>
        </w:tc>
        <w:tc>
          <w:tcPr>
            <w:tcW w:w="1600" w:type="dxa"/>
            <w:vAlign w:val="bottom"/>
            <w:gridSpan w:val="2"/>
            <w:vMerge w:val="restart"/>
          </w:tcPr>
          <w:p>
            <w:pPr>
              <w:jc w:val="right"/>
              <w:ind w:right="239"/>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6"/>
          </w:tcPr>
          <w:p>
            <w:pPr>
              <w:jc w:val="right"/>
              <w:ind w:right="479"/>
              <w:spacing w:after="0"/>
              <w:rPr>
                <w:sz w:val="20"/>
                <w:szCs w:val="20"/>
                <w:color w:val="auto"/>
              </w:rPr>
            </w:pPr>
            <w:r>
              <w:rPr>
                <w:rFonts w:ascii="Arial" w:cs="Arial" w:eastAsia="Arial" w:hAnsi="Arial"/>
                <w:sz w:val="13"/>
                <w:szCs w:val="13"/>
                <w:color w:val="auto"/>
                <w:w w:val="94"/>
              </w:rPr>
              <w:t>(in thousands, except per ton information)</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6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3983C5"/>
              </w:rPr>
              <w:t>Gross Revenue, including Intersegment and Joint Venture</w:t>
            </w:r>
          </w:p>
        </w:tc>
        <w:tc>
          <w:tcPr>
            <w:tcW w:w="280" w:type="dxa"/>
            <w:vAlign w:val="bottom"/>
            <w:tcBorders>
              <w:top w:val="single" w:sz="8" w:color="17385E"/>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1,007,094</w:t>
            </w:r>
          </w:p>
        </w:tc>
        <w:tc>
          <w:tcPr>
            <w:tcW w:w="120" w:type="dxa"/>
            <w:vAlign w:val="bottom"/>
            <w:tcBorders>
              <w:top w:val="single" w:sz="8" w:color="17385E"/>
            </w:tcBorders>
          </w:tcPr>
          <w:p>
            <w:pPr>
              <w:spacing w:after="0"/>
              <w:rPr>
                <w:sz w:val="16"/>
                <w:szCs w:val="16"/>
                <w:color w:val="auto"/>
              </w:rPr>
            </w:pPr>
          </w:p>
        </w:tc>
        <w:tc>
          <w:tcPr>
            <w:tcW w:w="880" w:type="dxa"/>
            <w:vAlign w:val="bottom"/>
            <w:tcBorders>
              <w:top w:val="single" w:sz="8" w:color="17385E"/>
              <w:bottom w:val="single" w:sz="8" w:color="A6A6A6"/>
            </w:tcBorders>
            <w:gridSpan w:val="2"/>
          </w:tcPr>
          <w:p>
            <w:pPr>
              <w:jc w:val="right"/>
              <w:ind w:right="564"/>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944,556</w:t>
            </w:r>
          </w:p>
        </w:tc>
        <w:tc>
          <w:tcPr>
            <w:tcW w:w="120" w:type="dxa"/>
            <w:vAlign w:val="bottom"/>
          </w:tcPr>
          <w:p>
            <w:pPr>
              <w:spacing w:after="0"/>
              <w:rPr>
                <w:sz w:val="16"/>
                <w:szCs w:val="16"/>
                <w:color w:val="auto"/>
              </w:rPr>
            </w:pPr>
          </w:p>
        </w:tc>
        <w:tc>
          <w:tcPr>
            <w:tcW w:w="14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3983C5"/>
              </w:rPr>
              <w:t>Less Intersegment Revenue</w:t>
            </w:r>
          </w:p>
        </w:tc>
        <w:tc>
          <w:tcPr>
            <w:tcW w:w="2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(22,915</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gridSpan w:val="2"/>
          </w:tcPr>
          <w:p>
            <w:pPr>
              <w:jc w:val="right"/>
              <w:ind w:right="564"/>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(20,862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line="183" w:lineRule="exact"/>
              <w:rPr>
                <w:sz w:val="20"/>
                <w:szCs w:val="20"/>
                <w:color w:val="auto"/>
              </w:rPr>
            </w:pPr>
            <w:r>
              <w:rPr>
                <w:rFonts w:ascii="Arial" w:cs="Arial" w:eastAsia="Arial" w:hAnsi="Arial"/>
                <w:sz w:val="16"/>
                <w:szCs w:val="16"/>
                <w:color w:val="3983C5"/>
              </w:rPr>
              <w:t>Less Joint Venture Revenue</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(103,899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64"/>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w w:val="94"/>
              </w:rPr>
              <w:t>(105,191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83"/>
        </w:trPr>
        <w:tc>
          <w:tcPr>
            <w:tcW w:w="63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3983C5"/>
              </w:rPr>
              <w:t>Gross Revenue, as reported</w:t>
            </w:r>
          </w:p>
        </w:tc>
        <w:tc>
          <w:tcPr>
            <w:tcW w:w="280" w:type="dxa"/>
            <w:vAlign w:val="bottom"/>
            <w:tcBorders>
              <w:top w:val="single" w:sz="8" w:color="004483"/>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880,280</w:t>
            </w: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004483"/>
              <w:bottom w:val="single" w:sz="8" w:color="A6A6A6"/>
            </w:tcBorders>
          </w:tcPr>
          <w:p>
            <w:pPr>
              <w:jc w:val="right"/>
              <w:ind w:right="56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818,503</w:t>
            </w:r>
          </w:p>
        </w:tc>
        <w:tc>
          <w:tcPr>
            <w:tcW w:w="120" w:type="dxa"/>
            <w:vAlign w:val="bottom"/>
          </w:tcPr>
          <w:p>
            <w:pPr>
              <w:spacing w:after="0"/>
              <w:rPr>
                <w:sz w:val="15"/>
                <w:szCs w:val="15"/>
                <w:color w:val="auto"/>
              </w:rPr>
            </w:pPr>
          </w:p>
        </w:tc>
        <w:tc>
          <w:tcPr>
            <w:tcW w:w="14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line="183" w:lineRule="exact"/>
              <w:rPr>
                <w:sz w:val="20"/>
                <w:szCs w:val="20"/>
                <w:color w:val="auto"/>
              </w:rPr>
            </w:pPr>
            <w:r>
              <w:rPr>
                <w:rFonts w:ascii="Arial" w:cs="Arial" w:eastAsia="Arial" w:hAnsi="Arial"/>
                <w:sz w:val="16"/>
                <w:szCs w:val="16"/>
                <w:color w:val="3983C5"/>
              </w:rPr>
              <w:t>Freight and Delivery Costs billed to Customers</w:t>
            </w:r>
          </w:p>
        </w:tc>
        <w:tc>
          <w:tcPr>
            <w:tcW w:w="28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(60,620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Borders>
              <w:bottom w:val="single" w:sz="8" w:color="004483"/>
            </w:tcBorders>
          </w:tcPr>
          <w:p>
            <w:pPr>
              <w:spacing w:after="0"/>
              <w:rPr>
                <w:sz w:val="18"/>
                <w:szCs w:val="18"/>
                <w:color w:val="auto"/>
              </w:rPr>
            </w:pPr>
          </w:p>
        </w:tc>
        <w:tc>
          <w:tcPr>
            <w:tcW w:w="6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(68,725</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83"/>
        </w:trPr>
        <w:tc>
          <w:tcPr>
            <w:tcW w:w="63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3983C5"/>
              </w:rPr>
              <w:t>Net Revenue</w:t>
            </w:r>
          </w:p>
        </w:tc>
        <w:tc>
          <w:tcPr>
            <w:tcW w:w="280" w:type="dxa"/>
            <w:vAlign w:val="bottom"/>
            <w:tcBorders>
              <w:top w:val="single" w:sz="8" w:color="004483"/>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819,660</w:t>
            </w: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004483"/>
              <w:bottom w:val="single" w:sz="8" w:color="A6A6A6"/>
            </w:tcBorders>
          </w:tcPr>
          <w:p>
            <w:pPr>
              <w:jc w:val="right"/>
              <w:ind w:right="56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749,778</w:t>
            </w:r>
          </w:p>
        </w:tc>
        <w:tc>
          <w:tcPr>
            <w:tcW w:w="120" w:type="dxa"/>
            <w:vAlign w:val="bottom"/>
          </w:tcPr>
          <w:p>
            <w:pPr>
              <w:spacing w:after="0"/>
              <w:rPr>
                <w:sz w:val="15"/>
                <w:szCs w:val="15"/>
                <w:color w:val="auto"/>
              </w:rPr>
            </w:pPr>
          </w:p>
        </w:tc>
        <w:tc>
          <w:tcPr>
            <w:tcW w:w="14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3983C5"/>
              </w:rPr>
              <w:t>Sales Volume (M Tons)</w:t>
            </w:r>
          </w:p>
        </w:tc>
        <w:tc>
          <w:tcPr>
            <w:tcW w:w="280" w:type="dxa"/>
            <w:vAlign w:val="bottom"/>
            <w:tcBorders>
              <w:top w:val="single" w:sz="8" w:color="A6A6A6"/>
              <w:bottom w:val="single" w:sz="8" w:color="A6A6A6"/>
            </w:tcBorders>
          </w:tcPr>
          <w:p>
            <w:pPr>
              <w:spacing w:after="0"/>
              <w:rPr>
                <w:sz w:val="15"/>
                <w:szCs w:val="15"/>
                <w:color w:val="auto"/>
              </w:rPr>
            </w:pPr>
          </w:p>
        </w:tc>
        <w:tc>
          <w:tcPr>
            <w:tcW w:w="11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7,534</w:t>
            </w: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A6A6A6"/>
              <w:bottom w:val="single" w:sz="8" w:color="A6A6A6"/>
            </w:tcBorders>
          </w:tcPr>
          <w:p>
            <w:pPr>
              <w:spacing w:after="0"/>
              <w:rPr>
                <w:sz w:val="15"/>
                <w:szCs w:val="15"/>
                <w:color w:val="auto"/>
              </w:rPr>
            </w:pPr>
          </w:p>
        </w:tc>
        <w:tc>
          <w:tcPr>
            <w:tcW w:w="6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7,466</w:t>
            </w:r>
          </w:p>
        </w:tc>
        <w:tc>
          <w:tcPr>
            <w:tcW w:w="120" w:type="dxa"/>
            <w:vAlign w:val="bottom"/>
          </w:tcPr>
          <w:p>
            <w:pPr>
              <w:spacing w:after="0"/>
              <w:rPr>
                <w:sz w:val="15"/>
                <w:szCs w:val="15"/>
                <w:color w:val="auto"/>
              </w:rPr>
            </w:pPr>
          </w:p>
        </w:tc>
        <w:tc>
          <w:tcPr>
            <w:tcW w:w="14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3983C5"/>
              </w:rPr>
              <w:t xml:space="preserve">Average Net Sales Price, per ton </w:t>
            </w:r>
            <w:r>
              <w:rPr>
                <w:rFonts w:ascii="Arial" w:cs="Arial" w:eastAsia="Arial" w:hAnsi="Arial"/>
                <w:sz w:val="21"/>
                <w:szCs w:val="21"/>
                <w:color w:val="3983C5"/>
                <w:vertAlign w:val="superscript"/>
              </w:rPr>
              <w:t>(2)</w:t>
            </w:r>
          </w:p>
        </w:tc>
        <w:tc>
          <w:tcPr>
            <w:tcW w:w="2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119.13</w:t>
            </w:r>
          </w:p>
        </w:tc>
        <w:tc>
          <w:tcPr>
            <w:tcW w:w="120" w:type="dxa"/>
            <w:vAlign w:val="bottom"/>
          </w:tcPr>
          <w:p>
            <w:pPr>
              <w:spacing w:after="0"/>
              <w:rPr>
                <w:sz w:val="15"/>
                <w:szCs w:val="15"/>
                <w:color w:val="auto"/>
              </w:rPr>
            </w:pPr>
          </w:p>
        </w:tc>
        <w:tc>
          <w:tcPr>
            <w:tcW w:w="880" w:type="dxa"/>
            <w:vAlign w:val="bottom"/>
            <w:tcBorders>
              <w:bottom w:val="single" w:sz="8" w:color="A6A6A6"/>
            </w:tcBorders>
            <w:gridSpan w:val="2"/>
          </w:tcPr>
          <w:p>
            <w:pPr>
              <w:jc w:val="right"/>
              <w:ind w:right="564"/>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111.19</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3983C5"/>
              </w:rPr>
              <w:t>Operating Margin, per ton</w:t>
            </w:r>
          </w:p>
        </w:tc>
        <w:tc>
          <w:tcPr>
            <w:tcW w:w="2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34.45</w:t>
            </w:r>
          </w:p>
        </w:tc>
        <w:tc>
          <w:tcPr>
            <w:tcW w:w="120" w:type="dxa"/>
            <w:vAlign w:val="bottom"/>
          </w:tcPr>
          <w:p>
            <w:pPr>
              <w:spacing w:after="0"/>
              <w:rPr>
                <w:sz w:val="15"/>
                <w:szCs w:val="15"/>
                <w:color w:val="auto"/>
              </w:rPr>
            </w:pPr>
          </w:p>
        </w:tc>
        <w:tc>
          <w:tcPr>
            <w:tcW w:w="880" w:type="dxa"/>
            <w:vAlign w:val="bottom"/>
            <w:tcBorders>
              <w:bottom w:val="single" w:sz="8" w:color="A6A6A6"/>
            </w:tcBorders>
            <w:gridSpan w:val="2"/>
          </w:tcPr>
          <w:p>
            <w:pPr>
              <w:jc w:val="right"/>
              <w:ind w:right="564"/>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31.34</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3983C5"/>
              </w:rPr>
              <w:t>Operating Earnings</w:t>
            </w:r>
          </w:p>
        </w:tc>
        <w:tc>
          <w:tcPr>
            <w:tcW w:w="2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259,556</w:t>
            </w:r>
          </w:p>
        </w:tc>
        <w:tc>
          <w:tcPr>
            <w:tcW w:w="120" w:type="dxa"/>
            <w:vAlign w:val="bottom"/>
          </w:tcPr>
          <w:p>
            <w:pPr>
              <w:spacing w:after="0"/>
              <w:rPr>
                <w:sz w:val="15"/>
                <w:szCs w:val="15"/>
                <w:color w:val="auto"/>
              </w:rPr>
            </w:pPr>
          </w:p>
        </w:tc>
        <w:tc>
          <w:tcPr>
            <w:tcW w:w="880" w:type="dxa"/>
            <w:vAlign w:val="bottom"/>
            <w:tcBorders>
              <w:bottom w:val="single" w:sz="8" w:color="A6A6A6"/>
            </w:tcBorders>
            <w:gridSpan w:val="2"/>
          </w:tcPr>
          <w:p>
            <w:pPr>
              <w:jc w:val="right"/>
              <w:ind w:right="564"/>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233,957</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-1668145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rPr>
          <w:sz w:val="20"/>
          <w:szCs w:val="20"/>
          <w:color w:val="auto"/>
        </w:rPr>
      </w:pPr>
      <w:r>
        <w:rPr>
          <w:rFonts w:ascii="Arial" w:cs="Arial" w:eastAsia="Arial" w:hAnsi="Arial"/>
          <w:sz w:val="12"/>
          <w:szCs w:val="12"/>
          <w:color w:val="auto"/>
        </w:rPr>
        <w:t>(2)</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Net of freight, including the Joint Venture.</w:t>
      </w:r>
    </w:p>
    <w:p>
      <w:pPr>
        <w:spacing w:after="0" w:line="11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Cement Revenue was $1,007.1 million for fiscal 2022, a 7% increase over fiscal 2021. Cement Revenue increased by approximately $62.5 million, primarily as a result of higher gross sales prices and Sales Volume, which improved Cement Revenue by approximately $52.0 million and $10.5 million, respectively.</w:t>
      </w:r>
    </w:p>
    <w:p>
      <w:pPr>
        <w:spacing w:after="0" w:line="94"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Cement Operating Earnings increased 11% to $259.6 million for fiscal 2022. The increase was due to higher gross sales prices and Sales Volume, which positively affected Operating Earnings by approximately $52.0 million and $1.0 million, respectively. This was partially offset by higher operating expenses, which reduced Operating Earnings by $27.5 million. The rise in operating expenses was mostly due to maintenance, energy and purchased cement costs of approximately $17.2 million, $10.2 million and $6.4 million, respectively. These increases were partially offset by a cost reduction of approximately $3.7 million at Kosmos Cement related to the recording of acquired inventory at fair value in the first quarter of fiscal 2021. The Operating Margin increased to 26% from 25%, primarily because of higher gross sales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00AAC6"/>
        </w:rPr>
        <w:t>CONCRETE AND AGGREGATES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0" w:type="dxa"/>
            <w:vAlign w:val="bottom"/>
          </w:tcPr>
          <w:p>
            <w:pPr>
              <w:spacing w:after="0"/>
              <w:rPr>
                <w:sz w:val="13"/>
                <w:szCs w:val="13"/>
                <w:color w:val="auto"/>
              </w:rPr>
            </w:pPr>
          </w:p>
        </w:tc>
        <w:tc>
          <w:tcPr>
            <w:tcW w:w="300" w:type="dxa"/>
            <w:vAlign w:val="bottom"/>
            <w:tcBorders>
              <w:bottom w:val="single" w:sz="8" w:color="auto"/>
            </w:tcBorders>
            <w:shd w:val="clear" w:color="auto" w:fill="004483"/>
          </w:tcPr>
          <w:p>
            <w:pPr>
              <w:spacing w:after="0"/>
              <w:rPr>
                <w:sz w:val="13"/>
                <w:szCs w:val="13"/>
                <w:color w:val="auto"/>
              </w:rPr>
            </w:pPr>
          </w:p>
        </w:tc>
        <w:tc>
          <w:tcPr>
            <w:tcW w:w="2080" w:type="dxa"/>
            <w:vAlign w:val="bottom"/>
            <w:tcBorders>
              <w:bottom w:val="single" w:sz="8" w:color="auto"/>
            </w:tcBorders>
            <w:gridSpan w:val="4"/>
            <w:shd w:val="clear" w:color="auto" w:fill="004483"/>
          </w:tcPr>
          <w:p>
            <w:pPr>
              <w:jc w:val="center"/>
              <w:ind w:left="204"/>
              <w:spacing w:after="0"/>
              <w:rPr>
                <w:sz w:val="20"/>
                <w:szCs w:val="20"/>
                <w:color w:val="auto"/>
              </w:rPr>
            </w:pPr>
            <w:r>
              <w:rPr>
                <w:rFonts w:ascii="Arial" w:cs="Arial" w:eastAsia="Arial" w:hAnsi="Arial"/>
                <w:sz w:val="13"/>
                <w:szCs w:val="13"/>
                <w:b w:val="1"/>
                <w:bCs w:val="1"/>
                <w:color w:val="FFFFFF"/>
                <w:w w:val="88"/>
              </w:rPr>
              <w:t>For the Years Ended March 31,</w:t>
            </w:r>
          </w:p>
        </w:tc>
        <w:tc>
          <w:tcPr>
            <w:tcW w:w="580" w:type="dxa"/>
            <w:vAlign w:val="bottom"/>
            <w:tcBorders>
              <w:bottom w:val="single" w:sz="8" w:color="auto"/>
            </w:tcBorders>
            <w:shd w:val="clear" w:color="auto" w:fill="004483"/>
          </w:tcPr>
          <w:p>
            <w:pPr>
              <w:spacing w:after="0"/>
              <w:rPr>
                <w:sz w:val="13"/>
                <w:szCs w:val="13"/>
                <w:color w:val="auto"/>
              </w:rPr>
            </w:pPr>
          </w:p>
        </w:tc>
        <w:tc>
          <w:tcPr>
            <w:tcW w:w="120" w:type="dxa"/>
            <w:vAlign w:val="bottom"/>
            <w:tcBorders>
              <w:bottom w:val="single" w:sz="8" w:color="004483"/>
            </w:tcBorders>
            <w:shd w:val="clear" w:color="auto" w:fill="004483"/>
          </w:tcPr>
          <w:p>
            <w:pPr>
              <w:spacing w:after="0"/>
              <w:rPr>
                <w:sz w:val="13"/>
                <w:szCs w:val="13"/>
                <w:color w:val="auto"/>
              </w:rPr>
            </w:pPr>
          </w:p>
        </w:tc>
        <w:tc>
          <w:tcPr>
            <w:tcW w:w="1600" w:type="dxa"/>
            <w:vAlign w:val="bottom"/>
            <w:gridSpan w:val="2"/>
            <w:vMerge w:val="restart"/>
          </w:tcPr>
          <w:p>
            <w:pPr>
              <w:jc w:val="right"/>
              <w:ind w:right="239"/>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28"/>
        </w:trPr>
        <w:tc>
          <w:tcPr>
            <w:tcW w:w="6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6"/>
          </w:tcPr>
          <w:p>
            <w:pPr>
              <w:jc w:val="center"/>
              <w:ind w:right="359"/>
              <w:spacing w:after="0"/>
              <w:rPr>
                <w:sz w:val="20"/>
                <w:szCs w:val="20"/>
                <w:color w:val="auto"/>
              </w:rPr>
            </w:pPr>
            <w:r>
              <w:rPr>
                <w:rFonts w:ascii="Arial" w:cs="Arial" w:eastAsia="Arial" w:hAnsi="Arial"/>
                <w:sz w:val="13"/>
                <w:szCs w:val="13"/>
                <w:color w:val="auto"/>
                <w:w w:val="85"/>
              </w:rPr>
              <w:t>(in thousands, except net sales prices)</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0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AAC6"/>
              </w:rPr>
              <w:t>Gross Revenue, Including Intersegment</w:t>
            </w:r>
          </w:p>
        </w:tc>
        <w:tc>
          <w:tcPr>
            <w:tcW w:w="300" w:type="dxa"/>
            <w:vAlign w:val="bottom"/>
            <w:tcBorders>
              <w:top w:val="single" w:sz="8" w:color="17385E"/>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177,122</w:t>
            </w:r>
          </w:p>
        </w:tc>
        <w:tc>
          <w:tcPr>
            <w:tcW w:w="100" w:type="dxa"/>
            <w:vAlign w:val="bottom"/>
            <w:tcBorders>
              <w:top w:val="single" w:sz="8" w:color="17385E"/>
            </w:tcBorders>
          </w:tcPr>
          <w:p>
            <w:pPr>
              <w:spacing w:after="0"/>
              <w:rPr>
                <w:sz w:val="16"/>
                <w:szCs w:val="16"/>
                <w:color w:val="auto"/>
              </w:rPr>
            </w:pPr>
          </w:p>
        </w:tc>
        <w:tc>
          <w:tcPr>
            <w:tcW w:w="900" w:type="dxa"/>
            <w:vAlign w:val="bottom"/>
            <w:tcBorders>
              <w:top w:val="single" w:sz="8" w:color="17385E"/>
              <w:bottom w:val="single" w:sz="8" w:color="A6A6A6"/>
            </w:tcBorders>
            <w:gridSpan w:val="2"/>
          </w:tcPr>
          <w:p>
            <w:pPr>
              <w:jc w:val="right"/>
              <w:ind w:right="604"/>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w w:val="96"/>
              </w:rPr>
              <w:t>168,829</w:t>
            </w:r>
          </w:p>
        </w:tc>
        <w:tc>
          <w:tcPr>
            <w:tcW w:w="120" w:type="dxa"/>
            <w:vAlign w:val="bottom"/>
          </w:tcPr>
          <w:p>
            <w:pPr>
              <w:spacing w:after="0"/>
              <w:rPr>
                <w:sz w:val="16"/>
                <w:szCs w:val="16"/>
                <w:color w:val="auto"/>
              </w:rPr>
            </w:pPr>
          </w:p>
        </w:tc>
        <w:tc>
          <w:tcPr>
            <w:tcW w:w="14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line="183" w:lineRule="exact"/>
              <w:rPr>
                <w:sz w:val="20"/>
                <w:szCs w:val="20"/>
                <w:color w:val="auto"/>
              </w:rPr>
            </w:pPr>
            <w:r>
              <w:rPr>
                <w:rFonts w:ascii="Arial" w:cs="Arial" w:eastAsia="Arial" w:hAnsi="Arial"/>
                <w:sz w:val="16"/>
                <w:szCs w:val="16"/>
                <w:color w:val="00AAC6"/>
              </w:rPr>
              <w:t>Less intersegment Revenue</w:t>
            </w:r>
          </w:p>
        </w:tc>
        <w:tc>
          <w:tcPr>
            <w:tcW w:w="30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004483"/>
            </w:tcBorders>
          </w:tcPr>
          <w:p>
            <w:pPr>
              <w:spacing w:after="0"/>
              <w:rPr>
                <w:sz w:val="18"/>
                <w:szCs w:val="18"/>
                <w:color w:val="auto"/>
              </w:rPr>
            </w:pPr>
          </w:p>
        </w:tc>
        <w:tc>
          <w:tcPr>
            <w:tcW w:w="5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83"/>
        </w:trPr>
        <w:tc>
          <w:tcPr>
            <w:tcW w:w="64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AAC6"/>
              </w:rPr>
              <w:t>Gross Revenue, as reported</w:t>
            </w:r>
          </w:p>
        </w:tc>
        <w:tc>
          <w:tcPr>
            <w:tcW w:w="300" w:type="dxa"/>
            <w:vAlign w:val="bottom"/>
            <w:tcBorders>
              <w:top w:val="single" w:sz="8" w:color="004483"/>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177,122</w:t>
            </w:r>
          </w:p>
        </w:tc>
        <w:tc>
          <w:tcPr>
            <w:tcW w:w="10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004483"/>
              <w:bottom w:val="single" w:sz="8" w:color="A6A6A6"/>
            </w:tcBorders>
          </w:tcPr>
          <w:p>
            <w:pPr>
              <w:jc w:val="right"/>
              <w:ind w:right="60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96"/>
              </w:rPr>
              <w:t>168,723</w:t>
            </w:r>
          </w:p>
        </w:tc>
        <w:tc>
          <w:tcPr>
            <w:tcW w:w="120" w:type="dxa"/>
            <w:vAlign w:val="bottom"/>
          </w:tcPr>
          <w:p>
            <w:pPr>
              <w:spacing w:after="0"/>
              <w:rPr>
                <w:sz w:val="15"/>
                <w:szCs w:val="15"/>
                <w:color w:val="auto"/>
              </w:rPr>
            </w:pPr>
          </w:p>
        </w:tc>
        <w:tc>
          <w:tcPr>
            <w:tcW w:w="14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0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58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6A6A6"/>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AAC6"/>
              </w:rPr>
              <w:t>Sales Volume -</w:t>
            </w:r>
          </w:p>
        </w:tc>
        <w:tc>
          <w:tcPr>
            <w:tcW w:w="3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58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6A6A6"/>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M Cubic Yards of Concrete</w:t>
            </w:r>
          </w:p>
        </w:tc>
        <w:tc>
          <w:tcPr>
            <w:tcW w:w="3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1,333</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1,300</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M Tons of Aggregate</w:t>
            </w:r>
          </w:p>
        </w:tc>
        <w:tc>
          <w:tcPr>
            <w:tcW w:w="3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1,525</w:t>
            </w: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1,956</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64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AAC6"/>
              </w:rPr>
              <w:t>Average Net Sales Price -</w:t>
            </w:r>
          </w:p>
        </w:tc>
        <w:tc>
          <w:tcPr>
            <w:tcW w:w="3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58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6A6A6"/>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Concrete - Per Cubic Yard</w:t>
            </w: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120.97</w:t>
            </w:r>
          </w:p>
        </w:tc>
        <w:tc>
          <w:tcPr>
            <w:tcW w:w="100" w:type="dxa"/>
            <w:vAlign w:val="bottom"/>
          </w:tcPr>
          <w:p>
            <w:pPr>
              <w:spacing w:after="0"/>
              <w:rPr>
                <w:sz w:val="15"/>
                <w:szCs w:val="15"/>
                <w:color w:val="auto"/>
              </w:rPr>
            </w:pPr>
          </w:p>
        </w:tc>
        <w:tc>
          <w:tcPr>
            <w:tcW w:w="900" w:type="dxa"/>
            <w:vAlign w:val="bottom"/>
            <w:tcBorders>
              <w:bottom w:val="single" w:sz="8" w:color="A6A6A6"/>
            </w:tcBorders>
            <w:gridSpan w:val="2"/>
          </w:tcPr>
          <w:p>
            <w:pPr>
              <w:jc w:val="right"/>
              <w:ind w:right="604"/>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115.59</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Aggregates - Per Ton</w:t>
            </w:r>
          </w:p>
        </w:tc>
        <w:tc>
          <w:tcPr>
            <w:tcW w:w="300" w:type="dxa"/>
            <w:vAlign w:val="bottom"/>
            <w:tcBorders>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10.45</w:t>
            </w:r>
          </w:p>
        </w:tc>
        <w:tc>
          <w:tcPr>
            <w:tcW w:w="100" w:type="dxa"/>
            <w:vAlign w:val="bottom"/>
          </w:tcPr>
          <w:p>
            <w:pPr>
              <w:spacing w:after="0"/>
              <w:rPr>
                <w:sz w:val="15"/>
                <w:szCs w:val="15"/>
                <w:color w:val="auto"/>
              </w:rPr>
            </w:pPr>
          </w:p>
        </w:tc>
        <w:tc>
          <w:tcPr>
            <w:tcW w:w="900" w:type="dxa"/>
            <w:vAlign w:val="bottom"/>
            <w:tcBorders>
              <w:bottom w:val="single" w:sz="8" w:color="A6A6A6"/>
            </w:tcBorders>
            <w:gridSpan w:val="2"/>
          </w:tcPr>
          <w:p>
            <w:pPr>
              <w:jc w:val="right"/>
              <w:ind w:right="604"/>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9.51</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AAC6"/>
              </w:rPr>
              <w:t>Operating Earnings</w:t>
            </w:r>
          </w:p>
        </w:tc>
        <w:tc>
          <w:tcPr>
            <w:tcW w:w="300" w:type="dxa"/>
            <w:vAlign w:val="bottom"/>
            <w:tcBorders>
              <w:top w:val="single" w:sz="8" w:color="A6A6A6"/>
              <w:bottom w:val="single" w:sz="8" w:color="A6A6A6"/>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18,467</w:t>
            </w:r>
          </w:p>
        </w:tc>
        <w:tc>
          <w:tcPr>
            <w:tcW w:w="100" w:type="dxa"/>
            <w:vAlign w:val="bottom"/>
          </w:tcPr>
          <w:p>
            <w:pPr>
              <w:spacing w:after="0"/>
              <w:rPr>
                <w:sz w:val="15"/>
                <w:szCs w:val="15"/>
                <w:color w:val="auto"/>
              </w:rPr>
            </w:pPr>
          </w:p>
        </w:tc>
        <w:tc>
          <w:tcPr>
            <w:tcW w:w="900" w:type="dxa"/>
            <w:vAlign w:val="bottom"/>
            <w:tcBorders>
              <w:top w:val="single" w:sz="8" w:color="A6A6A6"/>
              <w:bottom w:val="single" w:sz="8" w:color="A6A6A6"/>
            </w:tcBorders>
            <w:gridSpan w:val="2"/>
          </w:tcPr>
          <w:p>
            <w:pPr>
              <w:jc w:val="right"/>
              <w:ind w:right="604"/>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19,054</w:t>
            </w:r>
          </w:p>
        </w:tc>
        <w:tc>
          <w:tcPr>
            <w:tcW w:w="120" w:type="dxa"/>
            <w:vAlign w:val="bottom"/>
          </w:tcPr>
          <w:p>
            <w:pPr>
              <w:spacing w:after="0"/>
              <w:rPr>
                <w:sz w:val="15"/>
                <w:szCs w:val="15"/>
                <w:color w:val="auto"/>
              </w:rPr>
            </w:pPr>
          </w:p>
        </w:tc>
        <w:tc>
          <w:tcPr>
            <w:tcW w:w="14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-1788160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44" w:lineRule="exact"/>
        <w:rPr>
          <w:sz w:val="20"/>
          <w:szCs w:val="20"/>
          <w:color w:val="auto"/>
        </w:rPr>
      </w:pPr>
    </w:p>
    <w:p>
      <w:pPr>
        <w:jc w:val="both"/>
        <w:ind w:right="200"/>
        <w:spacing w:after="0" w:line="287" w:lineRule="auto"/>
        <w:rPr>
          <w:sz w:val="20"/>
          <w:szCs w:val="20"/>
          <w:color w:val="auto"/>
        </w:rPr>
      </w:pPr>
      <w:r>
        <w:rPr>
          <w:rFonts w:ascii="Arial" w:cs="Arial" w:eastAsia="Arial" w:hAnsi="Arial"/>
          <w:sz w:val="18"/>
          <w:szCs w:val="18"/>
          <w:color w:val="auto"/>
        </w:rPr>
        <w:t>Concrete and Aggregates Revenue increased 5% to $177.1 million for fiscal 2022. The improvement in Revenue was primarily related to higher gross sales prices and Sales Volume in Concrete, which positively affected Revenue by $8.8 million and $3.8 million, respectively. This was partially offset by lower Sales Volume in Aggregates, which reduced Revenue by $4.1 million.</w:t>
      </w:r>
    </w:p>
    <w:p>
      <w:pPr>
        <w:spacing w:after="0" w:line="94"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color w:val="auto"/>
        </w:rPr>
        <w:t>Operating Earnings decreased 3% to approximately $18.5 million. The reduction was due to higher operating expenses and lower Aggregates Sales Volume, which adversely affected Operating Earnings by $9.1 million and $0.3 million, respectively. This was partially offset by higher gross sales prices of $8.8 million. The increase in operating expenses was primarily due to higher cost of materials and diesel fuel of approximately $6.0 million and $3.3 million, respectively.</w:t>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97" w:right="49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u w:val="single" w:color="auto"/>
          <w:color w:val="51632C"/>
        </w:rPr>
        <w:t>Light Materials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77943C"/>
        </w:rPr>
        <w:t>GYPSUM WALLBOARD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60" w:type="dxa"/>
            <w:vAlign w:val="bottom"/>
          </w:tcPr>
          <w:p>
            <w:pPr>
              <w:spacing w:after="0"/>
              <w:rPr>
                <w:sz w:val="13"/>
                <w:szCs w:val="13"/>
                <w:color w:val="auto"/>
              </w:rPr>
            </w:pPr>
          </w:p>
        </w:tc>
        <w:tc>
          <w:tcPr>
            <w:tcW w:w="220" w:type="dxa"/>
            <w:vAlign w:val="bottom"/>
            <w:tcBorders>
              <w:bottom w:val="single" w:sz="8" w:color="auto"/>
            </w:tcBorders>
            <w:shd w:val="clear" w:color="auto" w:fill="004483"/>
          </w:tcPr>
          <w:p>
            <w:pPr>
              <w:spacing w:after="0"/>
              <w:rPr>
                <w:sz w:val="13"/>
                <w:szCs w:val="13"/>
                <w:color w:val="auto"/>
              </w:rPr>
            </w:pPr>
          </w:p>
        </w:tc>
        <w:tc>
          <w:tcPr>
            <w:tcW w:w="2160" w:type="dxa"/>
            <w:vAlign w:val="bottom"/>
            <w:tcBorders>
              <w:bottom w:val="single" w:sz="8" w:color="auto"/>
            </w:tcBorders>
            <w:gridSpan w:val="4"/>
            <w:shd w:val="clear" w:color="auto" w:fill="004483"/>
          </w:tcPr>
          <w:p>
            <w:pPr>
              <w:jc w:val="center"/>
              <w:ind w:left="324"/>
              <w:spacing w:after="0"/>
              <w:rPr>
                <w:sz w:val="20"/>
                <w:szCs w:val="20"/>
                <w:color w:val="auto"/>
              </w:rPr>
            </w:pPr>
            <w:r>
              <w:rPr>
                <w:rFonts w:ascii="Arial" w:cs="Arial" w:eastAsia="Arial" w:hAnsi="Arial"/>
                <w:sz w:val="13"/>
                <w:szCs w:val="13"/>
                <w:b w:val="1"/>
                <w:bCs w:val="1"/>
                <w:color w:val="FFFFFF"/>
                <w:w w:val="88"/>
              </w:rPr>
              <w:t>For the Years Ended March 31,</w:t>
            </w:r>
          </w:p>
        </w:tc>
        <w:tc>
          <w:tcPr>
            <w:tcW w:w="62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80" w:type="dxa"/>
            <w:vAlign w:val="bottom"/>
            <w:gridSpan w:val="2"/>
            <w:vMerge w:val="restart"/>
          </w:tcPr>
          <w:p>
            <w:pPr>
              <w:jc w:val="right"/>
              <w:ind w:right="199"/>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28"/>
        </w:trPr>
        <w:tc>
          <w:tcPr>
            <w:tcW w:w="6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6"/>
          </w:tcPr>
          <w:p>
            <w:pPr>
              <w:jc w:val="center"/>
              <w:ind w:right="239"/>
              <w:spacing w:after="0"/>
              <w:rPr>
                <w:sz w:val="20"/>
                <w:szCs w:val="20"/>
                <w:color w:val="auto"/>
              </w:rPr>
            </w:pPr>
            <w:r>
              <w:rPr>
                <w:rFonts w:ascii="Arial" w:cs="Arial" w:eastAsia="Arial" w:hAnsi="Arial"/>
                <w:sz w:val="13"/>
                <w:szCs w:val="13"/>
                <w:color w:val="auto"/>
                <w:w w:val="89"/>
              </w:rPr>
              <w:t>(in thousands, except per MMSF information)</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77943C"/>
              </w:rPr>
              <w:t>Gross Revenue, as reported</w:t>
            </w:r>
          </w:p>
        </w:tc>
        <w:tc>
          <w:tcPr>
            <w:tcW w:w="220" w:type="dxa"/>
            <w:vAlign w:val="bottom"/>
            <w:tcBorders>
              <w:top w:val="single" w:sz="8" w:color="17385E"/>
              <w:bottom w:val="single" w:sz="8" w:color="A6A6A6"/>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692,152</w:t>
            </w:r>
          </w:p>
        </w:tc>
        <w:tc>
          <w:tcPr>
            <w:tcW w:w="120" w:type="dxa"/>
            <w:vAlign w:val="bottom"/>
            <w:tcBorders>
              <w:top w:val="single" w:sz="8" w:color="17385E"/>
            </w:tcBorders>
          </w:tcPr>
          <w:p>
            <w:pPr>
              <w:spacing w:after="0"/>
              <w:rPr>
                <w:sz w:val="16"/>
                <w:szCs w:val="16"/>
                <w:color w:val="auto"/>
              </w:rPr>
            </w:pPr>
          </w:p>
        </w:tc>
        <w:tc>
          <w:tcPr>
            <w:tcW w:w="880" w:type="dxa"/>
            <w:vAlign w:val="bottom"/>
            <w:tcBorders>
              <w:top w:val="single" w:sz="8" w:color="17385E"/>
              <w:bottom w:val="single" w:sz="8" w:color="A6A6A6"/>
            </w:tcBorders>
            <w:gridSpan w:val="2"/>
          </w:tcPr>
          <w:p>
            <w:pPr>
              <w:jc w:val="right"/>
              <w:ind w:right="55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539,009</w:t>
            </w:r>
          </w:p>
        </w:tc>
        <w:tc>
          <w:tcPr>
            <w:tcW w:w="100" w:type="dxa"/>
            <w:vAlign w:val="bottom"/>
          </w:tcPr>
          <w:p>
            <w:pPr>
              <w:spacing w:after="0"/>
              <w:rPr>
                <w:sz w:val="16"/>
                <w:szCs w:val="16"/>
                <w:color w:val="auto"/>
              </w:rPr>
            </w:pPr>
          </w:p>
        </w:tc>
        <w:tc>
          <w:tcPr>
            <w:tcW w:w="14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6460" w:type="dxa"/>
            <w:vAlign w:val="bottom"/>
          </w:tcPr>
          <w:p>
            <w:pPr>
              <w:ind w:left="20"/>
              <w:spacing w:after="0" w:line="183" w:lineRule="exact"/>
              <w:rPr>
                <w:sz w:val="20"/>
                <w:szCs w:val="20"/>
                <w:color w:val="auto"/>
              </w:rPr>
            </w:pPr>
            <w:r>
              <w:rPr>
                <w:rFonts w:ascii="Arial" w:cs="Arial" w:eastAsia="Arial" w:hAnsi="Arial"/>
                <w:sz w:val="16"/>
                <w:szCs w:val="16"/>
                <w:color w:val="77943C"/>
              </w:rPr>
              <w:t>Freight and Delivery Costs billed to Customers</w:t>
            </w:r>
          </w:p>
        </w:tc>
        <w:tc>
          <w:tcPr>
            <w:tcW w:w="2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(130,629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740" w:type="dxa"/>
            <w:vAlign w:val="bottom"/>
            <w:tcBorders>
              <w:bottom w:val="single" w:sz="8" w:color="004483"/>
            </w:tcBorders>
          </w:tcPr>
          <w:p>
            <w:pPr>
              <w:spacing w:after="0"/>
              <w:rPr>
                <w:sz w:val="18"/>
                <w:szCs w:val="18"/>
                <w:color w:val="auto"/>
              </w:rPr>
            </w:pPr>
          </w:p>
        </w:tc>
        <w:tc>
          <w:tcPr>
            <w:tcW w:w="6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w w:val="91"/>
              </w:rPr>
              <w:t>(111,537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5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183"/>
        </w:trPr>
        <w:tc>
          <w:tcPr>
            <w:tcW w:w="64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77943C"/>
              </w:rPr>
              <w:t>Net Revenue</w:t>
            </w:r>
          </w:p>
        </w:tc>
        <w:tc>
          <w:tcPr>
            <w:tcW w:w="220" w:type="dxa"/>
            <w:vAlign w:val="bottom"/>
            <w:tcBorders>
              <w:top w:val="single" w:sz="8" w:color="004483"/>
              <w:bottom w:val="single" w:sz="8" w:color="A6A6A6"/>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561,523</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740" w:type="dxa"/>
            <w:vAlign w:val="bottom"/>
            <w:tcBorders>
              <w:top w:val="single" w:sz="8" w:color="004483"/>
              <w:bottom w:val="single" w:sz="8" w:color="A6A6A6"/>
            </w:tcBorders>
          </w:tcPr>
          <w:p>
            <w:pPr>
              <w:jc w:val="right"/>
              <w:ind w:right="55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427,472</w:t>
            </w:r>
          </w:p>
        </w:tc>
        <w:tc>
          <w:tcPr>
            <w:tcW w:w="100" w:type="dxa"/>
            <w:vAlign w:val="bottom"/>
          </w:tcPr>
          <w:p>
            <w:pPr>
              <w:spacing w:after="0"/>
              <w:rPr>
                <w:sz w:val="15"/>
                <w:szCs w:val="15"/>
                <w:color w:val="auto"/>
              </w:rPr>
            </w:pPr>
          </w:p>
        </w:tc>
        <w:tc>
          <w:tcPr>
            <w:tcW w:w="14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77943C"/>
              </w:rPr>
              <w:t>Sales Volume (MMSF)</w:t>
            </w:r>
          </w:p>
        </w:tc>
        <w:tc>
          <w:tcPr>
            <w:tcW w:w="220" w:type="dxa"/>
            <w:vAlign w:val="bottom"/>
            <w:tcBorders>
              <w:top w:val="single" w:sz="8" w:color="A6A6A6"/>
              <w:bottom w:val="single" w:sz="8" w:color="A6A6A6"/>
            </w:tcBorders>
          </w:tcPr>
          <w:p>
            <w:pPr>
              <w:spacing w:after="0"/>
              <w:rPr>
                <w:sz w:val="15"/>
                <w:szCs w:val="15"/>
                <w:color w:val="auto"/>
              </w:rPr>
            </w:pPr>
          </w:p>
        </w:tc>
        <w:tc>
          <w:tcPr>
            <w:tcW w:w="11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2,944</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740" w:type="dxa"/>
            <w:vAlign w:val="bottom"/>
            <w:tcBorders>
              <w:top w:val="single" w:sz="8" w:color="A6A6A6"/>
              <w:bottom w:val="single" w:sz="8" w:color="A6A6A6"/>
            </w:tcBorders>
          </w:tcPr>
          <w:p>
            <w:pPr>
              <w:spacing w:after="0"/>
              <w:rPr>
                <w:sz w:val="15"/>
                <w:szCs w:val="15"/>
                <w:color w:val="auto"/>
              </w:rPr>
            </w:pPr>
          </w:p>
        </w:tc>
        <w:tc>
          <w:tcPr>
            <w:tcW w:w="6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2,857</w:t>
            </w:r>
          </w:p>
        </w:tc>
        <w:tc>
          <w:tcPr>
            <w:tcW w:w="100" w:type="dxa"/>
            <w:vAlign w:val="bottom"/>
          </w:tcPr>
          <w:p>
            <w:pPr>
              <w:spacing w:after="0"/>
              <w:rPr>
                <w:sz w:val="15"/>
                <w:szCs w:val="15"/>
                <w:color w:val="auto"/>
              </w:rPr>
            </w:pPr>
          </w:p>
        </w:tc>
        <w:tc>
          <w:tcPr>
            <w:tcW w:w="14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77943C"/>
              </w:rPr>
              <w:t xml:space="preserve">Average Net Sales Price, per MSF </w:t>
            </w:r>
            <w:r>
              <w:rPr>
                <w:rFonts w:ascii="Arial" w:cs="Arial" w:eastAsia="Arial" w:hAnsi="Arial"/>
                <w:sz w:val="21"/>
                <w:szCs w:val="21"/>
                <w:color w:val="77943C"/>
                <w:vertAlign w:val="superscript"/>
              </w:rPr>
              <w:t>(1)</w:t>
            </w:r>
          </w:p>
        </w:tc>
        <w:tc>
          <w:tcPr>
            <w:tcW w:w="220" w:type="dxa"/>
            <w:vAlign w:val="bottom"/>
            <w:tcBorders>
              <w:bottom w:val="single" w:sz="8" w:color="A6A6A6"/>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190.76</w:t>
            </w:r>
          </w:p>
        </w:tc>
        <w:tc>
          <w:tcPr>
            <w:tcW w:w="120" w:type="dxa"/>
            <w:vAlign w:val="bottom"/>
          </w:tcPr>
          <w:p>
            <w:pPr>
              <w:spacing w:after="0"/>
              <w:rPr>
                <w:sz w:val="15"/>
                <w:szCs w:val="15"/>
                <w:color w:val="auto"/>
              </w:rPr>
            </w:pPr>
          </w:p>
        </w:tc>
        <w:tc>
          <w:tcPr>
            <w:tcW w:w="880" w:type="dxa"/>
            <w:vAlign w:val="bottom"/>
            <w:tcBorders>
              <w:bottom w:val="single" w:sz="8" w:color="A6A6A6"/>
            </w:tcBorders>
            <w:gridSpan w:val="2"/>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149.62</w:t>
            </w:r>
          </w:p>
        </w:tc>
        <w:tc>
          <w:tcPr>
            <w:tcW w:w="100" w:type="dxa"/>
            <w:vAlign w:val="bottom"/>
          </w:tcPr>
          <w:p>
            <w:pPr>
              <w:spacing w:after="0"/>
              <w:rPr>
                <w:sz w:val="15"/>
                <w:szCs w:val="15"/>
                <w:color w:val="auto"/>
              </w:rPr>
            </w:pPr>
          </w:p>
        </w:tc>
        <w:tc>
          <w:tcPr>
            <w:tcW w:w="14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77943C"/>
              </w:rPr>
              <w:t>Freight, per MSF</w:t>
            </w:r>
          </w:p>
        </w:tc>
        <w:tc>
          <w:tcPr>
            <w:tcW w:w="220" w:type="dxa"/>
            <w:vAlign w:val="bottom"/>
            <w:tcBorders>
              <w:bottom w:val="single" w:sz="8" w:color="A6A6A6"/>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44.37</w:t>
            </w:r>
          </w:p>
        </w:tc>
        <w:tc>
          <w:tcPr>
            <w:tcW w:w="120" w:type="dxa"/>
            <w:vAlign w:val="bottom"/>
          </w:tcPr>
          <w:p>
            <w:pPr>
              <w:spacing w:after="0"/>
              <w:rPr>
                <w:sz w:val="15"/>
                <w:szCs w:val="15"/>
                <w:color w:val="auto"/>
              </w:rPr>
            </w:pPr>
          </w:p>
        </w:tc>
        <w:tc>
          <w:tcPr>
            <w:tcW w:w="880" w:type="dxa"/>
            <w:vAlign w:val="bottom"/>
            <w:tcBorders>
              <w:bottom w:val="single" w:sz="8" w:color="A6A6A6"/>
            </w:tcBorders>
            <w:gridSpan w:val="2"/>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39.04</w:t>
            </w:r>
          </w:p>
        </w:tc>
        <w:tc>
          <w:tcPr>
            <w:tcW w:w="100" w:type="dxa"/>
            <w:vAlign w:val="bottom"/>
          </w:tcPr>
          <w:p>
            <w:pPr>
              <w:spacing w:after="0"/>
              <w:rPr>
                <w:sz w:val="15"/>
                <w:szCs w:val="15"/>
                <w:color w:val="auto"/>
              </w:rPr>
            </w:pPr>
          </w:p>
        </w:tc>
        <w:tc>
          <w:tcPr>
            <w:tcW w:w="14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77943C"/>
              </w:rPr>
              <w:t>Operating Margin, per MSF</w:t>
            </w:r>
          </w:p>
        </w:tc>
        <w:tc>
          <w:tcPr>
            <w:tcW w:w="220" w:type="dxa"/>
            <w:vAlign w:val="bottom"/>
            <w:tcBorders>
              <w:bottom w:val="single" w:sz="8" w:color="A6A6A6"/>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88.82</w:t>
            </w:r>
          </w:p>
        </w:tc>
        <w:tc>
          <w:tcPr>
            <w:tcW w:w="120" w:type="dxa"/>
            <w:vAlign w:val="bottom"/>
          </w:tcPr>
          <w:p>
            <w:pPr>
              <w:spacing w:after="0"/>
              <w:rPr>
                <w:sz w:val="15"/>
                <w:szCs w:val="15"/>
                <w:color w:val="auto"/>
              </w:rPr>
            </w:pPr>
          </w:p>
        </w:tc>
        <w:tc>
          <w:tcPr>
            <w:tcW w:w="880" w:type="dxa"/>
            <w:vAlign w:val="bottom"/>
            <w:tcBorders>
              <w:bottom w:val="single" w:sz="8" w:color="A6A6A6"/>
            </w:tcBorders>
            <w:gridSpan w:val="2"/>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58.57</w:t>
            </w:r>
          </w:p>
        </w:tc>
        <w:tc>
          <w:tcPr>
            <w:tcW w:w="100" w:type="dxa"/>
            <w:vAlign w:val="bottom"/>
          </w:tcPr>
          <w:p>
            <w:pPr>
              <w:spacing w:after="0"/>
              <w:rPr>
                <w:sz w:val="15"/>
                <w:szCs w:val="15"/>
                <w:color w:val="auto"/>
              </w:rPr>
            </w:pPr>
          </w:p>
        </w:tc>
        <w:tc>
          <w:tcPr>
            <w:tcW w:w="14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83"/>
        </w:trPr>
        <w:tc>
          <w:tcPr>
            <w:tcW w:w="6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77943C"/>
              </w:rPr>
              <w:t>Operating Earnings</w:t>
            </w:r>
          </w:p>
        </w:tc>
        <w:tc>
          <w:tcPr>
            <w:tcW w:w="220" w:type="dxa"/>
            <w:vAlign w:val="bottom"/>
            <w:tcBorders>
              <w:bottom w:val="single" w:sz="8" w:color="A6A6A6"/>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261,476</w:t>
            </w:r>
          </w:p>
        </w:tc>
        <w:tc>
          <w:tcPr>
            <w:tcW w:w="120" w:type="dxa"/>
            <w:vAlign w:val="bottom"/>
          </w:tcPr>
          <w:p>
            <w:pPr>
              <w:spacing w:after="0"/>
              <w:rPr>
                <w:sz w:val="15"/>
                <w:szCs w:val="15"/>
                <w:color w:val="auto"/>
              </w:rPr>
            </w:pPr>
          </w:p>
        </w:tc>
        <w:tc>
          <w:tcPr>
            <w:tcW w:w="880" w:type="dxa"/>
            <w:vAlign w:val="bottom"/>
            <w:tcBorders>
              <w:bottom w:val="single" w:sz="8" w:color="A6A6A6"/>
            </w:tcBorders>
            <w:gridSpan w:val="2"/>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167,336</w:t>
            </w:r>
          </w:p>
        </w:tc>
        <w:tc>
          <w:tcPr>
            <w:tcW w:w="100" w:type="dxa"/>
            <w:vAlign w:val="bottom"/>
          </w:tcPr>
          <w:p>
            <w:pPr>
              <w:spacing w:after="0"/>
              <w:rPr>
                <w:sz w:val="15"/>
                <w:szCs w:val="15"/>
                <w:color w:val="auto"/>
              </w:rPr>
            </w:pPr>
          </w:p>
        </w:tc>
        <w:tc>
          <w:tcPr>
            <w:tcW w:w="14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-1393825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Net of freight per MSF.</w:t>
      </w:r>
    </w:p>
    <w:p>
      <w:pPr>
        <w:spacing w:after="0" w:line="17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Gypsum Wallboard Revenue increased 28% to $692.2 million in fiscal 2022. This increase was due to higher gross sales prices and Sales Volume, which positively affected Revenue by $136.7 million and $16.4 million, respectively. Our market share remained relatively flat in fiscal 2022 compared with fiscal 2021.</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Operating Earnings increased 56% to $261.5 million for fiscal 2022. This increase was primarily due to higher gross sales prices and Sales Volume of approximately $136.7 million and $5.1 million, respectively. This was partially offset by higher operating expenses of $47.7 million. The rise in operating expenses was primarily related to freight, energy, and raw materials costs of approximately $15.7 million, $11.5 million and $19.9 million, respectively. During fiscal 2022, Gypsum Wallboard Operating Margin increased to 38% from 31% in fiscal 2021, primarily because of higher gross sales prices, partially offset by higher operating expenses. Fixed costs are not a significant part of the overall cost of wallboard; therefore, changes in volume have a relatively minor impact on our operating cost per unit.</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11"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EB949"/>
        </w:rPr>
        <w:t>RECYCLED PAPERBOARD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80" w:type="dxa"/>
            <w:vAlign w:val="bottom"/>
          </w:tcPr>
          <w:p>
            <w:pPr>
              <w:spacing w:after="0"/>
              <w:rPr>
                <w:sz w:val="13"/>
                <w:szCs w:val="13"/>
                <w:color w:val="auto"/>
              </w:rPr>
            </w:pPr>
          </w:p>
        </w:tc>
        <w:tc>
          <w:tcPr>
            <w:tcW w:w="260" w:type="dxa"/>
            <w:vAlign w:val="bottom"/>
            <w:tcBorders>
              <w:bottom w:val="single" w:sz="8" w:color="auto"/>
            </w:tcBorders>
            <w:shd w:val="clear" w:color="auto" w:fill="004483"/>
          </w:tcPr>
          <w:p>
            <w:pPr>
              <w:spacing w:after="0"/>
              <w:rPr>
                <w:sz w:val="13"/>
                <w:szCs w:val="13"/>
                <w:color w:val="auto"/>
              </w:rPr>
            </w:pPr>
          </w:p>
        </w:tc>
        <w:tc>
          <w:tcPr>
            <w:tcW w:w="2140" w:type="dxa"/>
            <w:vAlign w:val="bottom"/>
            <w:tcBorders>
              <w:bottom w:val="single" w:sz="8" w:color="auto"/>
            </w:tcBorders>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Years Ended March 31,</w:t>
            </w:r>
          </w:p>
        </w:tc>
        <w:tc>
          <w:tcPr>
            <w:tcW w:w="580" w:type="dxa"/>
            <w:vAlign w:val="bottom"/>
            <w:tcBorders>
              <w:bottom w:val="single" w:sz="8" w:color="auto"/>
            </w:tcBorders>
            <w:shd w:val="clear" w:color="auto" w:fill="004483"/>
          </w:tcPr>
          <w:p>
            <w:pPr>
              <w:spacing w:after="0"/>
              <w:rPr>
                <w:sz w:val="13"/>
                <w:szCs w:val="13"/>
                <w:color w:val="auto"/>
              </w:rPr>
            </w:pPr>
          </w:p>
        </w:tc>
        <w:tc>
          <w:tcPr>
            <w:tcW w:w="120" w:type="dxa"/>
            <w:vAlign w:val="bottom"/>
            <w:tcBorders>
              <w:bottom w:val="single" w:sz="8" w:color="004483"/>
            </w:tcBorders>
            <w:shd w:val="clear" w:color="auto" w:fill="004483"/>
          </w:tcPr>
          <w:p>
            <w:pPr>
              <w:spacing w:after="0"/>
              <w:rPr>
                <w:sz w:val="13"/>
                <w:szCs w:val="13"/>
                <w:color w:val="auto"/>
              </w:rPr>
            </w:pPr>
          </w:p>
        </w:tc>
        <w:tc>
          <w:tcPr>
            <w:tcW w:w="1600" w:type="dxa"/>
            <w:vAlign w:val="bottom"/>
            <w:gridSpan w:val="2"/>
            <w:vMerge w:val="restart"/>
          </w:tcPr>
          <w:p>
            <w:pPr>
              <w:jc w:val="right"/>
              <w:ind w:right="239"/>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28"/>
        </w:trPr>
        <w:tc>
          <w:tcPr>
            <w:tcW w:w="6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6"/>
          </w:tcPr>
          <w:p>
            <w:pPr>
              <w:jc w:val="right"/>
              <w:ind w:right="459"/>
              <w:spacing w:after="0"/>
              <w:rPr>
                <w:sz w:val="20"/>
                <w:szCs w:val="20"/>
                <w:color w:val="auto"/>
              </w:rPr>
            </w:pPr>
            <w:r>
              <w:rPr>
                <w:rFonts w:ascii="Arial" w:cs="Arial" w:eastAsia="Arial" w:hAnsi="Arial"/>
                <w:sz w:val="13"/>
                <w:szCs w:val="13"/>
                <w:color w:val="auto"/>
                <w:w w:val="95"/>
              </w:rPr>
              <w:t>(in thousands, except per ton information)</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AEB949"/>
              </w:rPr>
              <w:t>Gross Revenue, including intersegment</w:t>
            </w:r>
          </w:p>
        </w:tc>
        <w:tc>
          <w:tcPr>
            <w:tcW w:w="260" w:type="dxa"/>
            <w:vAlign w:val="bottom"/>
            <w:tcBorders>
              <w:top w:val="single" w:sz="8" w:color="17385E"/>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194,054</w:t>
            </w:r>
          </w:p>
        </w:tc>
        <w:tc>
          <w:tcPr>
            <w:tcW w:w="120" w:type="dxa"/>
            <w:vAlign w:val="bottom"/>
            <w:tcBorders>
              <w:top w:val="single" w:sz="8" w:color="17385E"/>
            </w:tcBorders>
          </w:tcPr>
          <w:p>
            <w:pPr>
              <w:spacing w:after="0"/>
              <w:rPr>
                <w:sz w:val="16"/>
                <w:szCs w:val="16"/>
                <w:color w:val="auto"/>
              </w:rPr>
            </w:pPr>
          </w:p>
        </w:tc>
        <w:tc>
          <w:tcPr>
            <w:tcW w:w="900" w:type="dxa"/>
            <w:vAlign w:val="bottom"/>
            <w:tcBorders>
              <w:top w:val="single" w:sz="8" w:color="17385E"/>
              <w:bottom w:val="single" w:sz="8" w:color="A6A6A6"/>
            </w:tcBorders>
            <w:gridSpan w:val="2"/>
          </w:tcPr>
          <w:p>
            <w:pPr>
              <w:jc w:val="right"/>
              <w:ind w:right="604"/>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w w:val="96"/>
              </w:rPr>
              <w:t>163,507</w:t>
            </w:r>
          </w:p>
        </w:tc>
        <w:tc>
          <w:tcPr>
            <w:tcW w:w="120" w:type="dxa"/>
            <w:vAlign w:val="bottom"/>
          </w:tcPr>
          <w:p>
            <w:pPr>
              <w:spacing w:after="0"/>
              <w:rPr>
                <w:sz w:val="16"/>
                <w:szCs w:val="16"/>
                <w:color w:val="auto"/>
              </w:rPr>
            </w:pPr>
          </w:p>
        </w:tc>
        <w:tc>
          <w:tcPr>
            <w:tcW w:w="14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380" w:type="dxa"/>
            <w:vAlign w:val="bottom"/>
          </w:tcPr>
          <w:p>
            <w:pPr>
              <w:ind w:left="20"/>
              <w:spacing w:after="0" w:line="183" w:lineRule="exact"/>
              <w:rPr>
                <w:sz w:val="20"/>
                <w:szCs w:val="20"/>
                <w:color w:val="auto"/>
              </w:rPr>
            </w:pPr>
            <w:r>
              <w:rPr>
                <w:rFonts w:ascii="Arial" w:cs="Arial" w:eastAsia="Arial" w:hAnsi="Arial"/>
                <w:sz w:val="16"/>
                <w:szCs w:val="16"/>
                <w:color w:val="AEB949"/>
              </w:rPr>
              <w:t>Less intersegment Revenue</w:t>
            </w:r>
          </w:p>
        </w:tc>
        <w:tc>
          <w:tcPr>
            <w:tcW w:w="2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(82,086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760" w:type="dxa"/>
            <w:vAlign w:val="bottom"/>
            <w:tcBorders>
              <w:bottom w:val="single" w:sz="8" w:color="004483"/>
            </w:tcBorders>
          </w:tcPr>
          <w:p>
            <w:pPr>
              <w:spacing w:after="0"/>
              <w:rPr>
                <w:sz w:val="18"/>
                <w:szCs w:val="18"/>
                <w:color w:val="auto"/>
              </w:rPr>
            </w:pPr>
          </w:p>
        </w:tc>
        <w:tc>
          <w:tcPr>
            <w:tcW w:w="5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(67,100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183"/>
        </w:trPr>
        <w:tc>
          <w:tcPr>
            <w:tcW w:w="63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AEB949"/>
              </w:rPr>
              <w:t>Gross Revenue, as reported</w:t>
            </w:r>
          </w:p>
        </w:tc>
        <w:tc>
          <w:tcPr>
            <w:tcW w:w="260" w:type="dxa"/>
            <w:vAlign w:val="bottom"/>
            <w:tcBorders>
              <w:top w:val="single" w:sz="8" w:color="004483"/>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111,968</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004483"/>
              <w:bottom w:val="single" w:sz="8" w:color="A6A6A6"/>
            </w:tcBorders>
          </w:tcPr>
          <w:p>
            <w:pPr>
              <w:jc w:val="right"/>
              <w:ind w:right="60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96,407</w:t>
            </w:r>
          </w:p>
        </w:tc>
        <w:tc>
          <w:tcPr>
            <w:tcW w:w="120" w:type="dxa"/>
            <w:vAlign w:val="bottom"/>
          </w:tcPr>
          <w:p>
            <w:pPr>
              <w:spacing w:after="0"/>
              <w:rPr>
                <w:sz w:val="15"/>
                <w:szCs w:val="15"/>
                <w:color w:val="auto"/>
              </w:rPr>
            </w:pPr>
          </w:p>
        </w:tc>
        <w:tc>
          <w:tcPr>
            <w:tcW w:w="14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380" w:type="dxa"/>
            <w:vAlign w:val="bottom"/>
          </w:tcPr>
          <w:p>
            <w:pPr>
              <w:ind w:left="20"/>
              <w:spacing w:after="0" w:line="183" w:lineRule="exact"/>
              <w:rPr>
                <w:sz w:val="20"/>
                <w:szCs w:val="20"/>
                <w:color w:val="auto"/>
              </w:rPr>
            </w:pPr>
            <w:r>
              <w:rPr>
                <w:rFonts w:ascii="Arial" w:cs="Arial" w:eastAsia="Arial" w:hAnsi="Arial"/>
                <w:sz w:val="16"/>
                <w:szCs w:val="16"/>
                <w:color w:val="AEB949"/>
              </w:rPr>
              <w:t>Freight and Delivery Costs billed to Customers</w:t>
            </w:r>
          </w:p>
        </w:tc>
        <w:tc>
          <w:tcPr>
            <w:tcW w:w="26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(7,888</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760" w:type="dxa"/>
            <w:vAlign w:val="bottom"/>
            <w:tcBorders>
              <w:bottom w:val="single" w:sz="8" w:color="004483"/>
            </w:tcBorders>
          </w:tcPr>
          <w:p>
            <w:pPr>
              <w:spacing w:after="0"/>
              <w:rPr>
                <w:sz w:val="18"/>
                <w:szCs w:val="18"/>
                <w:color w:val="auto"/>
              </w:rPr>
            </w:pPr>
          </w:p>
        </w:tc>
        <w:tc>
          <w:tcPr>
            <w:tcW w:w="5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(5,534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183"/>
        </w:trPr>
        <w:tc>
          <w:tcPr>
            <w:tcW w:w="63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AEB949"/>
              </w:rPr>
              <w:t>Net Revenue</w:t>
            </w:r>
          </w:p>
        </w:tc>
        <w:tc>
          <w:tcPr>
            <w:tcW w:w="260" w:type="dxa"/>
            <w:vAlign w:val="bottom"/>
            <w:tcBorders>
              <w:top w:val="single" w:sz="8" w:color="004483"/>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104,080</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004483"/>
              <w:bottom w:val="single" w:sz="8" w:color="A6A6A6"/>
            </w:tcBorders>
          </w:tcPr>
          <w:p>
            <w:pPr>
              <w:jc w:val="right"/>
              <w:ind w:right="60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90,873</w:t>
            </w:r>
          </w:p>
        </w:tc>
        <w:tc>
          <w:tcPr>
            <w:tcW w:w="120" w:type="dxa"/>
            <w:vAlign w:val="bottom"/>
          </w:tcPr>
          <w:p>
            <w:pPr>
              <w:spacing w:after="0"/>
              <w:rPr>
                <w:sz w:val="15"/>
                <w:szCs w:val="15"/>
                <w:color w:val="auto"/>
              </w:rPr>
            </w:pPr>
          </w:p>
        </w:tc>
        <w:tc>
          <w:tcPr>
            <w:tcW w:w="14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AEB949"/>
              </w:rPr>
              <w:t>Sales Volume (M Tons)</w:t>
            </w:r>
          </w:p>
        </w:tc>
        <w:tc>
          <w:tcPr>
            <w:tcW w:w="26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334</w:t>
            </w:r>
          </w:p>
        </w:tc>
        <w:tc>
          <w:tcPr>
            <w:tcW w:w="120" w:type="dxa"/>
            <w:vAlign w:val="bottom"/>
          </w:tcPr>
          <w:p>
            <w:pPr>
              <w:spacing w:after="0"/>
              <w:rPr>
                <w:sz w:val="15"/>
                <w:szCs w:val="15"/>
                <w:color w:val="auto"/>
              </w:rPr>
            </w:pPr>
          </w:p>
        </w:tc>
        <w:tc>
          <w:tcPr>
            <w:tcW w:w="140" w:type="dxa"/>
            <w:vAlign w:val="bottom"/>
            <w:tcBorders>
              <w:top w:val="single" w:sz="8" w:color="A6A6A6"/>
              <w:bottom w:val="single" w:sz="8" w:color="A6A6A6"/>
            </w:tcBorders>
          </w:tcPr>
          <w:p>
            <w:pPr>
              <w:spacing w:after="0"/>
              <w:rPr>
                <w:sz w:val="15"/>
                <w:szCs w:val="15"/>
                <w:color w:val="auto"/>
              </w:rPr>
            </w:pPr>
          </w:p>
        </w:tc>
        <w:tc>
          <w:tcPr>
            <w:tcW w:w="760" w:type="dxa"/>
            <w:vAlign w:val="bottom"/>
            <w:tcBorders>
              <w:top w:val="single" w:sz="8" w:color="A6A6A6"/>
              <w:bottom w:val="single" w:sz="8" w:color="A6A6A6"/>
            </w:tcBorders>
          </w:tcPr>
          <w:p>
            <w:pPr>
              <w:spacing w:after="0"/>
              <w:rPr>
                <w:sz w:val="15"/>
                <w:szCs w:val="15"/>
                <w:color w:val="auto"/>
              </w:rPr>
            </w:pPr>
          </w:p>
        </w:tc>
        <w:tc>
          <w:tcPr>
            <w:tcW w:w="5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325</w:t>
            </w:r>
          </w:p>
        </w:tc>
        <w:tc>
          <w:tcPr>
            <w:tcW w:w="120" w:type="dxa"/>
            <w:vAlign w:val="bottom"/>
          </w:tcPr>
          <w:p>
            <w:pPr>
              <w:spacing w:after="0"/>
              <w:rPr>
                <w:sz w:val="15"/>
                <w:szCs w:val="15"/>
                <w:color w:val="auto"/>
              </w:rPr>
            </w:pPr>
          </w:p>
        </w:tc>
        <w:tc>
          <w:tcPr>
            <w:tcW w:w="14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3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EB949"/>
              </w:rPr>
              <w:t xml:space="preserve">Average Net Sales Price, per ton </w:t>
            </w:r>
            <w:r>
              <w:rPr>
                <w:rFonts w:ascii="Arial" w:cs="Arial" w:eastAsia="Arial" w:hAnsi="Arial"/>
                <w:sz w:val="21"/>
                <w:szCs w:val="21"/>
                <w:color w:val="AEB949"/>
                <w:vertAlign w:val="superscript"/>
              </w:rPr>
              <w:t>(1)</w:t>
            </w:r>
          </w:p>
        </w:tc>
        <w:tc>
          <w:tcPr>
            <w:tcW w:w="260" w:type="dxa"/>
            <w:vAlign w:val="bottom"/>
            <w:tcBorders>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558.28</w:t>
            </w:r>
          </w:p>
        </w:tc>
        <w:tc>
          <w:tcPr>
            <w:tcW w:w="120" w:type="dxa"/>
            <w:vAlign w:val="bottom"/>
          </w:tcPr>
          <w:p>
            <w:pPr>
              <w:spacing w:after="0"/>
              <w:rPr>
                <w:sz w:val="15"/>
                <w:szCs w:val="15"/>
                <w:color w:val="auto"/>
              </w:rPr>
            </w:pPr>
          </w:p>
        </w:tc>
        <w:tc>
          <w:tcPr>
            <w:tcW w:w="900" w:type="dxa"/>
            <w:vAlign w:val="bottom"/>
            <w:tcBorders>
              <w:bottom w:val="single" w:sz="8" w:color="A6A6A6"/>
            </w:tcBorders>
            <w:gridSpan w:val="2"/>
          </w:tcPr>
          <w:p>
            <w:pPr>
              <w:jc w:val="right"/>
              <w:ind w:right="604"/>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486.15</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3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EB949"/>
              </w:rPr>
              <w:t>Freight, per ton</w:t>
            </w:r>
          </w:p>
        </w:tc>
        <w:tc>
          <w:tcPr>
            <w:tcW w:w="260" w:type="dxa"/>
            <w:vAlign w:val="bottom"/>
            <w:tcBorders>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23.62</w:t>
            </w:r>
          </w:p>
        </w:tc>
        <w:tc>
          <w:tcPr>
            <w:tcW w:w="120" w:type="dxa"/>
            <w:vAlign w:val="bottom"/>
          </w:tcPr>
          <w:p>
            <w:pPr>
              <w:spacing w:after="0"/>
              <w:rPr>
                <w:sz w:val="15"/>
                <w:szCs w:val="15"/>
                <w:color w:val="auto"/>
              </w:rPr>
            </w:pPr>
          </w:p>
        </w:tc>
        <w:tc>
          <w:tcPr>
            <w:tcW w:w="900" w:type="dxa"/>
            <w:vAlign w:val="bottom"/>
            <w:tcBorders>
              <w:bottom w:val="single" w:sz="8" w:color="A6A6A6"/>
            </w:tcBorders>
            <w:gridSpan w:val="2"/>
          </w:tcPr>
          <w:p>
            <w:pPr>
              <w:jc w:val="right"/>
              <w:ind w:right="604"/>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17.03</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3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EB949"/>
              </w:rPr>
              <w:t>Operating Margin, per ton</w:t>
            </w:r>
          </w:p>
        </w:tc>
        <w:tc>
          <w:tcPr>
            <w:tcW w:w="260" w:type="dxa"/>
            <w:vAlign w:val="bottom"/>
            <w:tcBorders>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37.73</w:t>
            </w:r>
          </w:p>
        </w:tc>
        <w:tc>
          <w:tcPr>
            <w:tcW w:w="120" w:type="dxa"/>
            <w:vAlign w:val="bottom"/>
          </w:tcPr>
          <w:p>
            <w:pPr>
              <w:spacing w:after="0"/>
              <w:rPr>
                <w:sz w:val="15"/>
                <w:szCs w:val="15"/>
                <w:color w:val="auto"/>
              </w:rPr>
            </w:pPr>
          </w:p>
        </w:tc>
        <w:tc>
          <w:tcPr>
            <w:tcW w:w="900" w:type="dxa"/>
            <w:vAlign w:val="bottom"/>
            <w:tcBorders>
              <w:bottom w:val="single" w:sz="8" w:color="A6A6A6"/>
            </w:tcBorders>
            <w:gridSpan w:val="2"/>
          </w:tcPr>
          <w:p>
            <w:pPr>
              <w:jc w:val="right"/>
              <w:ind w:right="604"/>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78.30</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83"/>
        </w:trPr>
        <w:tc>
          <w:tcPr>
            <w:tcW w:w="63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EB949"/>
              </w:rPr>
              <w:t>Operating Earnings</w:t>
            </w:r>
          </w:p>
        </w:tc>
        <w:tc>
          <w:tcPr>
            <w:tcW w:w="260" w:type="dxa"/>
            <w:vAlign w:val="bottom"/>
            <w:tcBorders>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12,603</w:t>
            </w:r>
          </w:p>
        </w:tc>
        <w:tc>
          <w:tcPr>
            <w:tcW w:w="120" w:type="dxa"/>
            <w:vAlign w:val="bottom"/>
          </w:tcPr>
          <w:p>
            <w:pPr>
              <w:spacing w:after="0"/>
              <w:rPr>
                <w:sz w:val="15"/>
                <w:szCs w:val="15"/>
                <w:color w:val="auto"/>
              </w:rPr>
            </w:pPr>
          </w:p>
        </w:tc>
        <w:tc>
          <w:tcPr>
            <w:tcW w:w="900" w:type="dxa"/>
            <w:vAlign w:val="bottom"/>
            <w:tcBorders>
              <w:bottom w:val="single" w:sz="8" w:color="A6A6A6"/>
            </w:tcBorders>
            <w:gridSpan w:val="2"/>
          </w:tcPr>
          <w:p>
            <w:pPr>
              <w:jc w:val="right"/>
              <w:ind w:right="604"/>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25,449</w:t>
            </w:r>
          </w:p>
        </w:tc>
        <w:tc>
          <w:tcPr>
            <w:tcW w:w="120" w:type="dxa"/>
            <w:vAlign w:val="bottom"/>
          </w:tcPr>
          <w:p>
            <w:pPr>
              <w:spacing w:after="0"/>
              <w:rPr>
                <w:sz w:val="15"/>
                <w:szCs w:val="15"/>
                <w:color w:val="auto"/>
              </w:rPr>
            </w:pP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(50</w:t>
            </w:r>
          </w:p>
        </w:tc>
        <w:tc>
          <w:tcPr>
            <w:tcW w:w="200" w:type="dxa"/>
            <w:vAlign w:val="bottom"/>
          </w:tcPr>
          <w:p>
            <w:pPr>
              <w:spacing w:after="0" w:line="183" w:lineRule="exact"/>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-1668145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Net of freight per ton.</w:t>
      </w:r>
    </w:p>
    <w:p>
      <w:pPr>
        <w:spacing w:after="0" w:line="173" w:lineRule="exact"/>
        <w:rPr>
          <w:sz w:val="20"/>
          <w:szCs w:val="20"/>
          <w:color w:val="auto"/>
        </w:rPr>
      </w:pPr>
    </w:p>
    <w:p>
      <w:pPr>
        <w:ind w:right="280"/>
        <w:spacing w:after="0" w:line="311" w:lineRule="auto"/>
        <w:rPr>
          <w:sz w:val="20"/>
          <w:szCs w:val="20"/>
          <w:color w:val="auto"/>
        </w:rPr>
      </w:pPr>
      <w:r>
        <w:rPr>
          <w:rFonts w:ascii="Arial" w:cs="Arial" w:eastAsia="Arial" w:hAnsi="Arial"/>
          <w:sz w:val="17"/>
          <w:szCs w:val="17"/>
          <w:color w:val="auto"/>
        </w:rPr>
        <w:t>Recycled Paperboard Revenue increased 19% to $194.1 million for fiscal 2022, as higher gross sales prices and Sales Volume positively affected Revenue by approximately $26.3 million and $4.3 million, respectively. The increase in gross sales prices, was due to the price adjustment provisions in our long-term sales agreements, while the rise in Sales Volume was due primarily to intersegment sales.</w:t>
      </w:r>
    </w:p>
    <w:p>
      <w:pPr>
        <w:spacing w:after="0" w:line="7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Operating Earnings decreased 50% to $12.6 million for fiscal 2022, primarily related to an increase in operating expenses, which adversely affected Operating Earnings by approximately $39.8 million, partially offset by increased gross sales prices and Sales Volume of approximately $26.3 million and $0.7 million, respectively. The increase in operating expense was primarily due to higher input costs, namely fiber and raw materials, and energy, which reduced Operating Earnings by $33.7 million and $3.5 million, respectively. During fiscal 2022, Operating Margin decreased to 6% from 16% in fiscal 2021, primarily because of the higher operating expenses, partially offset by increased gross sales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16"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FISCAL YEAR 2021 COMPARED WITH FISCAL YEAR 2020</w:t>
      </w:r>
    </w:p>
    <w:p>
      <w:pPr>
        <w:spacing w:after="0" w:line="16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 xml:space="preserve">Please see our Form 10-K for fiscal year 2021 for the discussion of our Results of Operations and results of Revenue and Operating Earnings by segment for fiscal 2021 compared with fiscal 2020. Our 2021 Form 10-K can be found on the investor page of our website, at </w:t>
      </w:r>
      <w:r>
        <w:rPr>
          <w:rFonts w:ascii="Arial" w:cs="Arial" w:eastAsia="Arial" w:hAnsi="Arial"/>
          <w:sz w:val="18"/>
          <w:szCs w:val="18"/>
          <w:i w:val="1"/>
          <w:iCs w:val="1"/>
          <w:u w:val="single" w:color="auto"/>
          <w:color w:val="auto"/>
        </w:rPr>
        <w:t>eaglematerials.com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CRITICAL ACCOUNTING POLICIES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Certain of our critical accounting policies require the use of judgment in their application or require estimates of inherently uncertain matters. Although our accounting policies are in compliance with generally accepted accounting principles, a change in the facts and circumstances of the underlying transactions could significantly change the application of the accounting policies and the resulting financial statement impact. Listed below are those policies that we believe are critical and require the use of complex judgment in their application.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Impairment of Long-Lived Assets</w:t>
      </w:r>
    </w:p>
    <w:p>
      <w:pPr>
        <w:spacing w:after="0" w:line="148"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assess our long-lived assets, including mining and related assets, for impairment whenever events or changes in circumstances indicate that the carrying amount of an asset, or group of assets, may not be recoverable. Long-lived assets, or groups of assets, are evaluated for impairment at the lowest level for which cash flows are largely independent of the cash flows of other assets. We assess recoverability of assets, or group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 of assets, exceeds the undiscounted cash flows, then an impairment is indicated. If such assets, or group of assets, are considered to be impaired, the impairment is recognized as the amount by which the carrying amount of the asset, or group of assets, exceeds the fair value of the asset, or group of assets.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Goodwill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annually assess Goodwill for impairment in the fourth quarter of our fiscal year, or more frequently when indicators of impairment exist.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Impairment testing for Goodwill is done at the reporting unit, which is consistent with our reportable segments.</w:t>
      </w:r>
    </w:p>
    <w:p>
      <w:pPr>
        <w:spacing w:after="0" w:line="131"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test. The qualitative test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quantitative Step 1 test is not required. If we are unable to conclude that it is more likely than not that the fair value of the reporting unit exceeds its carrying value, then we proceed to the quantitative Step 1 test.</w:t>
      </w:r>
    </w:p>
    <w:p>
      <w:pPr>
        <w:spacing w:after="0" w:line="10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test, and the carrying value of the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49" w:name="page50"/>
    <w:bookmarkEnd w:id="49"/>
    <w:p>
      <w:pPr>
        <w:ind w:right="700"/>
        <w:spacing w:after="0" w:line="277" w:lineRule="auto"/>
        <w:rPr>
          <w:sz w:val="20"/>
          <w:szCs w:val="20"/>
          <w:color w:val="auto"/>
        </w:rPr>
      </w:pPr>
      <w:r>
        <w:rPr>
          <w:rFonts w:ascii="Arial" w:cs="Arial" w:eastAsia="Arial" w:hAnsi="Arial"/>
          <w:sz w:val="18"/>
          <w:szCs w:val="18"/>
          <w:color w:val="auto"/>
        </w:rPr>
        <w:t>reporting unit exceeds its fair value, then an impairment charge equal to the difference, not to exceed the total amount of Goodwill, is recorded.</w:t>
      </w:r>
    </w:p>
    <w:p>
      <w:pPr>
        <w:spacing w:after="0" w:line="89"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Key assumptions in the model include estimated average net sales prices, sales volume, and the estimated weighted average cost of capital specific to each industry. We also perform an overall comparison of all reporting units to our market capitalization in order to test the reasonableness of our fair value calculations.</w:t>
      </w:r>
    </w:p>
    <w:p>
      <w:pPr>
        <w:spacing w:after="0" w:line="98"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The most important assumption underlying our estimates is the projection of construction spending in the U.S. over the next several years. Actual results may differ materially from those estimates. Changes in market conditions, market trends, interest rates or other factors outside of our control, such as the COVID-19 pandemic, could cause us to change key assumptions and our judgment about a reporting unit’s prospects. Similarly, in a specific period, a reporting unit could significantly underperform relative to its historical or projected future operating results. Either situation could result in a meaningfully different estimate of the fair value of our reporting units, and a consequent future impairment charge.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2022 and 2021,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684"/>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jc w:val="right"/>
              <w:ind w:right="682"/>
              <w:spacing w:after="0"/>
              <w:rPr>
                <w:sz w:val="20"/>
                <w:szCs w:val="20"/>
                <w:color w:val="auto"/>
              </w:rPr>
            </w:pPr>
            <w:r>
              <w:rPr>
                <w:rFonts w:ascii="Arial" w:cs="Arial" w:eastAsia="Arial" w:hAnsi="Arial"/>
                <w:sz w:val="13"/>
                <w:szCs w:val="13"/>
                <w:b w:val="1"/>
                <w:bCs w:val="1"/>
                <w:color w:val="auto"/>
              </w:rPr>
              <w:t>2021</w:t>
            </w:r>
          </w:p>
        </w:tc>
      </w:tr>
      <w:tr>
        <w:trPr>
          <w:trHeight w:val="183"/>
        </w:trPr>
        <w:tc>
          <w:tcPr>
            <w:tcW w:w="762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3"/>
          </w:tcPr>
          <w:p>
            <w:pPr>
              <w:jc w:val="right"/>
              <w:ind w:right="140"/>
              <w:spacing w:after="0"/>
              <w:rPr>
                <w:sz w:val="20"/>
                <w:szCs w:val="20"/>
                <w:color w:val="auto"/>
              </w:rPr>
            </w:pPr>
            <w:r>
              <w:rPr>
                <w:rFonts w:ascii="Arial" w:cs="Arial" w:eastAsia="Arial" w:hAnsi="Arial"/>
                <w:sz w:val="13"/>
                <w:szCs w:val="13"/>
                <w:color w:val="auto"/>
              </w:rPr>
              <w:t>(dollars in thousands)</w:t>
            </w:r>
          </w:p>
        </w:tc>
        <w:tc>
          <w:tcPr>
            <w:tcW w:w="1160" w:type="dxa"/>
            <w:vAlign w:val="bottom"/>
            <w:tcBorders>
              <w:bottom w:val="single" w:sz="8" w:color="004483"/>
            </w:tcBorders>
          </w:tcPr>
          <w:p>
            <w:pPr>
              <w:spacing w:after="0"/>
              <w:rPr>
                <w:sz w:val="15"/>
                <w:szCs w:val="15"/>
                <w:color w:val="auto"/>
              </w:rPr>
            </w:pPr>
          </w:p>
        </w:tc>
      </w:tr>
      <w:tr>
        <w:trPr>
          <w:trHeight w:val="18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17387C"/>
              </w:rPr>
              <w:t>Cement</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6A6A6"/>
            </w:tcBorders>
          </w:tcPr>
          <w:p>
            <w:pPr>
              <w:jc w:val="right"/>
              <w:ind w:right="4"/>
              <w:spacing w:after="0"/>
              <w:rPr>
                <w:sz w:val="20"/>
                <w:szCs w:val="20"/>
                <w:color w:val="auto"/>
              </w:rPr>
            </w:pPr>
            <w:r>
              <w:rPr>
                <w:rFonts w:ascii="Arial" w:cs="Arial" w:eastAsia="Arial" w:hAnsi="Arial"/>
                <w:sz w:val="16"/>
                <w:szCs w:val="16"/>
                <w:color w:val="auto"/>
              </w:rPr>
              <w:t>203,342</w:t>
            </w:r>
          </w:p>
        </w:tc>
        <w:tc>
          <w:tcPr>
            <w:tcW w:w="740" w:type="dxa"/>
            <w:vAlign w:val="bottom"/>
            <w:tcBorders>
              <w:bottom w:val="single" w:sz="8" w:color="A6A6A6"/>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ind w:right="22"/>
              <w:spacing w:after="0"/>
              <w:rPr>
                <w:sz w:val="20"/>
                <w:szCs w:val="20"/>
                <w:color w:val="auto"/>
              </w:rPr>
            </w:pPr>
            <w:r>
              <w:rPr>
                <w:rFonts w:ascii="Arial" w:cs="Arial" w:eastAsia="Arial" w:hAnsi="Arial"/>
                <w:sz w:val="16"/>
                <w:szCs w:val="16"/>
                <w:color w:val="auto"/>
              </w:rPr>
              <w:t>203,342</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AAC6"/>
              </w:rPr>
              <w:t>Concrete and Aggregates</w:t>
            </w:r>
          </w:p>
        </w:tc>
        <w:tc>
          <w:tcPr>
            <w:tcW w:w="40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ind w:right="4"/>
              <w:spacing w:after="0" w:line="183" w:lineRule="exact"/>
              <w:rPr>
                <w:sz w:val="20"/>
                <w:szCs w:val="20"/>
                <w:color w:val="auto"/>
              </w:rPr>
            </w:pPr>
            <w:r>
              <w:rPr>
                <w:rFonts w:ascii="Arial" w:cs="Arial" w:eastAsia="Arial" w:hAnsi="Arial"/>
                <w:sz w:val="16"/>
                <w:szCs w:val="16"/>
                <w:color w:val="auto"/>
              </w:rPr>
              <w:t>1,639</w:t>
            </w:r>
          </w:p>
        </w:tc>
        <w:tc>
          <w:tcPr>
            <w:tcW w:w="20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ind w:right="22"/>
              <w:spacing w:after="0" w:line="183" w:lineRule="exact"/>
              <w:rPr>
                <w:sz w:val="20"/>
                <w:szCs w:val="20"/>
                <w:color w:val="auto"/>
              </w:rPr>
            </w:pPr>
            <w:r>
              <w:rPr>
                <w:rFonts w:ascii="Arial" w:cs="Arial" w:eastAsia="Arial" w:hAnsi="Arial"/>
                <w:sz w:val="16"/>
                <w:szCs w:val="16"/>
                <w:color w:val="auto"/>
              </w:rPr>
              <w:t>1,639</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Gypsum Wallboard</w:t>
            </w:r>
          </w:p>
        </w:tc>
        <w:tc>
          <w:tcPr>
            <w:tcW w:w="40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ind w:right="4"/>
              <w:spacing w:after="0" w:line="183" w:lineRule="exact"/>
              <w:rPr>
                <w:sz w:val="20"/>
                <w:szCs w:val="20"/>
                <w:color w:val="auto"/>
              </w:rPr>
            </w:pPr>
            <w:r>
              <w:rPr>
                <w:rFonts w:ascii="Arial" w:cs="Arial" w:eastAsia="Arial" w:hAnsi="Arial"/>
                <w:sz w:val="16"/>
                <w:szCs w:val="16"/>
                <w:color w:val="auto"/>
              </w:rPr>
              <w:t>116,618</w:t>
            </w:r>
          </w:p>
        </w:tc>
        <w:tc>
          <w:tcPr>
            <w:tcW w:w="20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ind w:right="22"/>
              <w:spacing w:after="0" w:line="183" w:lineRule="exact"/>
              <w:rPr>
                <w:sz w:val="20"/>
                <w:szCs w:val="20"/>
                <w:color w:val="auto"/>
              </w:rPr>
            </w:pPr>
            <w:r>
              <w:rPr>
                <w:rFonts w:ascii="Arial" w:cs="Arial" w:eastAsia="Arial" w:hAnsi="Arial"/>
                <w:sz w:val="16"/>
                <w:szCs w:val="16"/>
                <w:color w:val="auto"/>
              </w:rPr>
              <w:t>116,618</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EB949"/>
              </w:rPr>
              <w:t>Paperboard</w:t>
            </w:r>
          </w:p>
        </w:tc>
        <w:tc>
          <w:tcPr>
            <w:tcW w:w="40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ind w:right="4"/>
              <w:spacing w:after="0" w:line="183" w:lineRule="exact"/>
              <w:rPr>
                <w:sz w:val="20"/>
                <w:szCs w:val="20"/>
                <w:color w:val="auto"/>
              </w:rPr>
            </w:pPr>
            <w:r>
              <w:rPr>
                <w:rFonts w:ascii="Arial" w:cs="Arial" w:eastAsia="Arial" w:hAnsi="Arial"/>
                <w:sz w:val="16"/>
                <w:szCs w:val="16"/>
                <w:color w:val="auto"/>
              </w:rPr>
              <w:t>7,538</w:t>
            </w:r>
          </w:p>
        </w:tc>
        <w:tc>
          <w:tcPr>
            <w:tcW w:w="20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jc w:val="right"/>
              <w:ind w:right="22"/>
              <w:spacing w:after="0" w:line="183" w:lineRule="exact"/>
              <w:rPr>
                <w:sz w:val="20"/>
                <w:szCs w:val="20"/>
                <w:color w:val="auto"/>
              </w:rPr>
            </w:pPr>
            <w:r>
              <w:rPr>
                <w:rFonts w:ascii="Arial" w:cs="Arial" w:eastAsia="Arial" w:hAnsi="Arial"/>
                <w:sz w:val="16"/>
                <w:szCs w:val="16"/>
                <w:color w:val="auto"/>
              </w:rPr>
              <w:t>7,538</w:t>
            </w:r>
          </w:p>
        </w:tc>
      </w:tr>
      <w:tr>
        <w:trPr>
          <w:trHeight w:val="183"/>
        </w:trPr>
        <w:tc>
          <w:tcPr>
            <w:tcW w:w="7620" w:type="dxa"/>
            <w:vAlign w:val="bottom"/>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320" w:type="dxa"/>
            <w:vAlign w:val="bottom"/>
            <w:tcBorders>
              <w:bottom w:val="single" w:sz="8" w:color="004483"/>
            </w:tcBorders>
          </w:tcPr>
          <w:p>
            <w:pPr>
              <w:jc w:val="right"/>
              <w:ind w:right="4"/>
              <w:spacing w:after="0" w:line="183" w:lineRule="exact"/>
              <w:rPr>
                <w:sz w:val="20"/>
                <w:szCs w:val="20"/>
                <w:color w:val="auto"/>
              </w:rPr>
            </w:pPr>
            <w:r>
              <w:rPr>
                <w:rFonts w:ascii="Arial" w:cs="Arial" w:eastAsia="Arial" w:hAnsi="Arial"/>
                <w:sz w:val="16"/>
                <w:szCs w:val="16"/>
                <w:b w:val="1"/>
                <w:bCs w:val="1"/>
                <w:color w:val="auto"/>
              </w:rPr>
              <w:t>329,137</w:t>
            </w:r>
          </w:p>
        </w:tc>
        <w:tc>
          <w:tcPr>
            <w:tcW w:w="200" w:type="dxa"/>
            <w:vAlign w:val="bottom"/>
          </w:tcPr>
          <w:p>
            <w:pPr>
              <w:spacing w:after="0"/>
              <w:rPr>
                <w:sz w:val="15"/>
                <w:szCs w:val="15"/>
                <w:color w:val="auto"/>
              </w:rPr>
            </w:pPr>
          </w:p>
        </w:tc>
        <w:tc>
          <w:tcPr>
            <w:tcW w:w="540" w:type="dxa"/>
            <w:vAlign w:val="bottom"/>
            <w:tcBorders>
              <w:bottom w:val="single" w:sz="8" w:color="004483"/>
            </w:tcBorders>
          </w:tcPr>
          <w:p>
            <w:pPr>
              <w:spacing w:after="0"/>
              <w:rPr>
                <w:sz w:val="15"/>
                <w:szCs w:val="15"/>
                <w:color w:val="auto"/>
              </w:rPr>
            </w:pPr>
          </w:p>
        </w:tc>
        <w:tc>
          <w:tcPr>
            <w:tcW w:w="1160" w:type="dxa"/>
            <w:vAlign w:val="bottom"/>
            <w:tcBorders>
              <w:bottom w:val="single" w:sz="8" w:color="004483"/>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329,137</w:t>
            </w: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Business Combinations</w:t>
      </w:r>
    </w:p>
    <w:p>
      <w:pPr>
        <w:spacing w:after="0" w:line="134"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 Although independent appraisals may be used to assist in the determination of the fair values of certain assets and liabilities, the appraised values are usually based on significant estimates provided by management, such as forecasted revenue or profit, and the replacement cost and useful lives of the acquired property, plant, and equipment.</w:t>
      </w:r>
    </w:p>
    <w:p>
      <w:pPr>
        <w:spacing w:after="0" w:line="99"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and therefore represents an exit price. A fair value measurement assumes the highest and best use of the asset by market participants, considering the use of the asset that is physically possible, legally permissible, and financially feasible at the measurement date. We assign the highest level of fair value available to assets acquired and liabilities assumed based on the following options: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Observable inputs, other than quoted prices, for similar assets or liabilities in active markets.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which includes the use of valuation models.</w:t>
      </w:r>
    </w:p>
    <w:p>
      <w:pPr>
        <w:spacing w:after="0" w:line="166"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Level 2 fair values are typically used to value acquired receivables, inventories, machinery and equipment, land, buildings, deferred income tax assets and liabilities, and accruals for payables, asset retirement obligations, and contingencies.</w:t>
      </w:r>
    </w:p>
    <w:p>
      <w:pPr>
        <w:spacing w:after="0" w:line="89"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Level 3 inputs are used to estimate the fair value of acquired mineral reserves, mineral interests, and separately identifiable intangible assets.</w:t>
      </w:r>
    </w:p>
    <w:p>
      <w:pPr>
        <w:spacing w:after="0" w:line="8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determining the fair value of property, plant, and equipment, replacement cost, adjusted for the age and condition of the acquired machinery and equipment, is used. The replacement cost is based on estimates of current cost to construct similar machinery and equipment and is compared to amounts paid for similar assets in market transactions for consistency.</w:t>
      </w:r>
    </w:p>
    <w:p>
      <w:pPr>
        <w:spacing w:after="0" w:line="94"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In determining the fair value of intangible assets, an income approach is generally used and may incorporate the use of a discounted cash flow method. In applying the discounted cash flow analysis, the estimated future cash flows and residual values for each intangible asset are discounted to a present value using a discount rate based on an estimated weighted average cost of capital for the building materials industry. These cash flow projections are based on management’s estimates of economic and market conditions including revenue growth rates, operating margins, capital expenditures, customer attrition rates, and working capital requirements.</w:t>
      </w:r>
    </w:p>
    <w:p>
      <w:pPr>
        <w:spacing w:after="0" w:line="98"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retroactive basis as of the acquisition date, with the corresponding offset to Goodwill. Any adjustments subsequent to the conclusion of the measurement period will be recorded to our Consolidated Statements of Earnings.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LIQUIDITY AND CAPITAL RESOURCES</w:t>
      </w:r>
    </w:p>
    <w:p>
      <w:pPr>
        <w:spacing w:after="0" w:line="166"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We believe that we have access to sufficient financial resources from our liquidity sources to fund our business and operations, including contractual obligations, capital expenditures, and debt service obligations, for at least the next twelve months. We will continue to monitor the potential impact of future COVID-19 outbreaks, or similar disruptions on the economy, and on our operations, as well as any other economic impacts related to changing fiscal policy or economic conditions. Please see the Debt Financing Activities section for a discussion of our credit facility and the amount of borrowings available to us in the next twelve-month period.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u w:val="single" w:color="auto"/>
          <w:color w:val="004483"/>
        </w:rPr>
        <w:t>Cash Flow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420" w:type="dxa"/>
            <w:vAlign w:val="bottom"/>
            <w:shd w:val="clear" w:color="auto" w:fill="004483"/>
          </w:tcPr>
          <w:p>
            <w:pPr>
              <w:spacing w:after="0"/>
              <w:rPr>
                <w:sz w:val="13"/>
                <w:szCs w:val="13"/>
                <w:color w:val="auto"/>
              </w:rPr>
            </w:pPr>
          </w:p>
        </w:tc>
        <w:tc>
          <w:tcPr>
            <w:tcW w:w="244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Fiscal Years Ended March 31,</w:t>
            </w:r>
          </w:p>
        </w:tc>
        <w:tc>
          <w:tcPr>
            <w:tcW w:w="780" w:type="dxa"/>
            <w:vAlign w:val="bottom"/>
            <w:shd w:val="clear" w:color="auto" w:fill="004483"/>
          </w:tcPr>
          <w:p>
            <w:pPr>
              <w:spacing w:after="0"/>
              <w:rPr>
                <w:sz w:val="13"/>
                <w:szCs w:val="13"/>
                <w:color w:val="auto"/>
              </w:rPr>
            </w:pPr>
          </w:p>
        </w:tc>
      </w:tr>
      <w:tr>
        <w:trPr>
          <w:trHeight w:val="128"/>
        </w:trPr>
        <w:tc>
          <w:tcPr>
            <w:tcW w:w="76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2"/>
              <w:spacing w:after="0" w:line="128"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0"/>
              <w:spacing w:after="0" w:line="128"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2440" w:type="dxa"/>
            <w:vAlign w:val="bottom"/>
            <w:tcBorders>
              <w:bottom w:val="single" w:sz="8" w:color="004483"/>
            </w:tcBorders>
            <w:gridSpan w:val="3"/>
          </w:tcPr>
          <w:p>
            <w:pPr>
              <w:jc w:val="right"/>
              <w:ind w:right="459"/>
              <w:spacing w:after="0"/>
              <w:rPr>
                <w:sz w:val="20"/>
                <w:szCs w:val="20"/>
                <w:color w:val="auto"/>
              </w:rPr>
            </w:pPr>
            <w:r>
              <w:rPr>
                <w:rFonts w:ascii="Arial" w:cs="Arial" w:eastAsia="Arial" w:hAnsi="Arial"/>
                <w:sz w:val="13"/>
                <w:szCs w:val="13"/>
                <w:color w:val="auto"/>
              </w:rPr>
              <w:t>(dollars in thousands)</w:t>
            </w:r>
          </w:p>
        </w:tc>
        <w:tc>
          <w:tcPr>
            <w:tcW w:w="78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Cash Provided by Operating Activities</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b w:val="1"/>
                <w:bCs w:val="1"/>
                <w:color w:val="auto"/>
              </w:rPr>
              <w:t>517,171</w:t>
            </w:r>
          </w:p>
        </w:tc>
        <w:tc>
          <w:tcPr>
            <w:tcW w:w="1120" w:type="dxa"/>
            <w:vAlign w:val="bottom"/>
            <w:tcBorders>
              <w:bottom w:val="single" w:sz="8" w:color="A6A6A6"/>
            </w:tcBorders>
            <w:gridSpan w:val="2"/>
          </w:tcPr>
          <w:p>
            <w:pPr>
              <w:jc w:val="right"/>
              <w:ind w:right="75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b w:val="1"/>
                <w:bCs w:val="1"/>
                <w:color w:val="auto"/>
              </w:rPr>
              <w:t>643,073</w:t>
            </w:r>
          </w:p>
        </w:tc>
      </w:tr>
      <w:tr>
        <w:trPr>
          <w:trHeight w:val="20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Investing Activities:</w:t>
            </w:r>
          </w:p>
        </w:tc>
        <w:tc>
          <w:tcPr>
            <w:tcW w:w="420" w:type="dxa"/>
            <w:vAlign w:val="bottom"/>
            <w:tcBorders>
              <w:bottom w:val="single" w:sz="8" w:color="A6A6A6"/>
            </w:tcBorders>
          </w:tcPr>
          <w:p>
            <w:pPr>
              <w:spacing w:after="0"/>
              <w:rPr>
                <w:sz w:val="17"/>
                <w:szCs w:val="17"/>
                <w:color w:val="auto"/>
              </w:rPr>
            </w:pPr>
          </w:p>
        </w:tc>
        <w:tc>
          <w:tcPr>
            <w:tcW w:w="13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r>
      <w:tr>
        <w:trPr>
          <w:trHeight w:val="189"/>
        </w:trPr>
        <w:tc>
          <w:tcPr>
            <w:tcW w:w="76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20" w:type="dxa"/>
            <w:vAlign w:val="bottom"/>
            <w:tcBorders>
              <w:bottom w:val="single" w:sz="8" w:color="A6A6A6"/>
            </w:tcBorders>
          </w:tcPr>
          <w:p>
            <w:pPr>
              <w:spacing w:after="0"/>
              <w:rPr>
                <w:sz w:val="16"/>
                <w:szCs w:val="16"/>
                <w:color w:val="auto"/>
              </w:rPr>
            </w:pP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(74,121 )</w:t>
            </w:r>
          </w:p>
        </w:tc>
        <w:tc>
          <w:tcPr>
            <w:tcW w:w="180" w:type="dxa"/>
            <w:vAlign w:val="bottom"/>
            <w:tcBorders>
              <w:bottom w:val="single" w:sz="8" w:color="A6A6A6"/>
            </w:tcBorders>
          </w:tcPr>
          <w:p>
            <w:pPr>
              <w:spacing w:after="0"/>
              <w:rPr>
                <w:sz w:val="16"/>
                <w:szCs w:val="16"/>
                <w:color w:val="auto"/>
              </w:rPr>
            </w:pPr>
          </w:p>
        </w:tc>
        <w:tc>
          <w:tcPr>
            <w:tcW w:w="94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(53,933 )</w:t>
            </w:r>
          </w:p>
        </w:tc>
      </w:tr>
      <w:tr>
        <w:trPr>
          <w:trHeight w:val="209"/>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Sale of Businesses</w:t>
            </w:r>
          </w:p>
        </w:tc>
        <w:tc>
          <w:tcPr>
            <w:tcW w:w="42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91,022</w:t>
            </w:r>
          </w:p>
        </w:tc>
      </w:tr>
      <w:tr>
        <w:trPr>
          <w:trHeight w:val="209"/>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Net Cash Provided by (Used in) Investing Activities</w:t>
            </w:r>
          </w:p>
        </w:tc>
        <w:tc>
          <w:tcPr>
            <w:tcW w:w="42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(74,121 )</w:t>
            </w: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37,089</w:t>
            </w:r>
          </w:p>
        </w:tc>
      </w:tr>
      <w:tr>
        <w:trPr>
          <w:trHeight w:val="20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Financing Activities:</w:t>
            </w:r>
          </w:p>
        </w:tc>
        <w:tc>
          <w:tcPr>
            <w:tcW w:w="420" w:type="dxa"/>
            <w:vAlign w:val="bottom"/>
            <w:tcBorders>
              <w:bottom w:val="single" w:sz="8" w:color="A6A6A6"/>
            </w:tcBorders>
          </w:tcPr>
          <w:p>
            <w:pPr>
              <w:spacing w:after="0"/>
              <w:rPr>
                <w:sz w:val="17"/>
                <w:szCs w:val="17"/>
                <w:color w:val="auto"/>
              </w:rPr>
            </w:pPr>
          </w:p>
        </w:tc>
        <w:tc>
          <w:tcPr>
            <w:tcW w:w="13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r>
      <w:tr>
        <w:trPr>
          <w:trHeight w:val="189"/>
        </w:trPr>
        <w:tc>
          <w:tcPr>
            <w:tcW w:w="76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(Decrease) in Revolving Credit Facility</w:t>
            </w:r>
          </w:p>
        </w:tc>
        <w:tc>
          <w:tcPr>
            <w:tcW w:w="420" w:type="dxa"/>
            <w:vAlign w:val="bottom"/>
            <w:tcBorders>
              <w:bottom w:val="single" w:sz="8" w:color="A6A6A6"/>
            </w:tcBorders>
          </w:tcPr>
          <w:p>
            <w:pPr>
              <w:spacing w:after="0"/>
              <w:rPr>
                <w:sz w:val="16"/>
                <w:szCs w:val="16"/>
                <w:color w:val="auto"/>
              </w:rPr>
            </w:pPr>
          </w:p>
        </w:tc>
        <w:tc>
          <w:tcPr>
            <w:tcW w:w="13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200,000</w:t>
            </w:r>
          </w:p>
        </w:tc>
        <w:tc>
          <w:tcPr>
            <w:tcW w:w="180" w:type="dxa"/>
            <w:vAlign w:val="bottom"/>
            <w:tcBorders>
              <w:bottom w:val="single" w:sz="8" w:color="A6A6A6"/>
            </w:tcBorders>
          </w:tcPr>
          <w:p>
            <w:pPr>
              <w:spacing w:after="0"/>
              <w:rPr>
                <w:sz w:val="16"/>
                <w:szCs w:val="16"/>
                <w:color w:val="auto"/>
              </w:rPr>
            </w:pPr>
          </w:p>
        </w:tc>
        <w:tc>
          <w:tcPr>
            <w:tcW w:w="94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98"/>
              </w:rPr>
              <w:t>(560,000 )</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2.500% Senior Unsecured Notes</w:t>
            </w:r>
          </w:p>
        </w:tc>
        <w:tc>
          <w:tcPr>
            <w:tcW w:w="42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743,692</w:t>
            </w:r>
          </w:p>
        </w:tc>
        <w:tc>
          <w:tcPr>
            <w:tcW w:w="1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4.500% Senior Unsecured Notes</w:t>
            </w:r>
          </w:p>
        </w:tc>
        <w:tc>
          <w:tcPr>
            <w:tcW w:w="42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(350,000 )</w:t>
            </w:r>
          </w:p>
        </w:tc>
        <w:tc>
          <w:tcPr>
            <w:tcW w:w="1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Term Loan</w:t>
            </w:r>
          </w:p>
        </w:tc>
        <w:tc>
          <w:tcPr>
            <w:tcW w:w="42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(665,000 )</w:t>
            </w:r>
          </w:p>
        </w:tc>
        <w:tc>
          <w:tcPr>
            <w:tcW w:w="1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Dividends Paid to Stockholders</w:t>
            </w:r>
          </w:p>
        </w:tc>
        <w:tc>
          <w:tcPr>
            <w:tcW w:w="42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(30,770 )</w:t>
            </w:r>
          </w:p>
        </w:tc>
        <w:tc>
          <w:tcPr>
            <w:tcW w:w="1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(4,163 )</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42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(589,742 )</w:t>
            </w:r>
          </w:p>
        </w:tc>
        <w:tc>
          <w:tcPr>
            <w:tcW w:w="1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Stock Option Exercises</w:t>
            </w:r>
          </w:p>
        </w:tc>
        <w:tc>
          <w:tcPr>
            <w:tcW w:w="42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21,366</w:t>
            </w:r>
          </w:p>
        </w:tc>
        <w:tc>
          <w:tcPr>
            <w:tcW w:w="1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40,455</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Premium Paid Early Retirement of Senior Notes</w:t>
            </w:r>
          </w:p>
        </w:tc>
        <w:tc>
          <w:tcPr>
            <w:tcW w:w="42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(8,407 )</w:t>
            </w:r>
          </w:p>
        </w:tc>
        <w:tc>
          <w:tcPr>
            <w:tcW w:w="1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2"/>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Payment of Debt Issuance Costs</w:t>
            </w:r>
          </w:p>
        </w:tc>
        <w:tc>
          <w:tcPr>
            <w:tcW w:w="42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(7,985 )</w:t>
            </w:r>
          </w:p>
        </w:tc>
        <w:tc>
          <w:tcPr>
            <w:tcW w:w="1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(2,396 )</w:t>
            </w:r>
          </w:p>
        </w:tc>
      </w:tr>
      <w:tr>
        <w:trPr>
          <w:trHeight w:val="210"/>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Shares Redeemed to Settle Employee Taxes on Stock Compensation</w:t>
            </w:r>
          </w:p>
        </w:tc>
        <w:tc>
          <w:tcPr>
            <w:tcW w:w="420" w:type="dxa"/>
            <w:vAlign w:val="bottom"/>
            <w:tcBorders>
              <w:bottom w:val="single" w:sz="8" w:color="004483"/>
            </w:tcBorders>
          </w:tcPr>
          <w:p>
            <w:pPr>
              <w:spacing w:after="0"/>
              <w:rPr>
                <w:sz w:val="18"/>
                <w:szCs w:val="18"/>
                <w:color w:val="auto"/>
              </w:rPr>
            </w:pPr>
          </w:p>
        </w:tc>
        <w:tc>
          <w:tcPr>
            <w:tcW w:w="13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(5,308 )</w:t>
            </w:r>
          </w:p>
        </w:tc>
        <w:tc>
          <w:tcPr>
            <w:tcW w:w="180" w:type="dxa"/>
            <w:vAlign w:val="bottom"/>
            <w:tcBorders>
              <w:bottom w:val="single" w:sz="8" w:color="A6A6A6"/>
            </w:tcBorders>
          </w:tcPr>
          <w:p>
            <w:pPr>
              <w:spacing w:after="0"/>
              <w:rPr>
                <w:sz w:val="18"/>
                <w:szCs w:val="18"/>
                <w:color w:val="auto"/>
              </w:rPr>
            </w:pPr>
          </w:p>
        </w:tc>
        <w:tc>
          <w:tcPr>
            <w:tcW w:w="940" w:type="dxa"/>
            <w:vAlign w:val="bottom"/>
            <w:tcBorders>
              <w:bottom w:val="single" w:sz="8" w:color="004483"/>
            </w:tcBorders>
          </w:tcPr>
          <w:p>
            <w:pPr>
              <w:spacing w:after="0"/>
              <w:rPr>
                <w:sz w:val="18"/>
                <w:szCs w:val="18"/>
                <w:color w:val="auto"/>
              </w:rPr>
            </w:pP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(4,186 )</w:t>
            </w: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Net Cash Provided by (Used in) Financing Activities</w:t>
            </w:r>
          </w:p>
        </w:tc>
        <w:tc>
          <w:tcPr>
            <w:tcW w:w="42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(692,154 )</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8"/>
              </w:rPr>
              <w:t>(530,290 )</w:t>
            </w:r>
          </w:p>
        </w:tc>
      </w:tr>
      <w:tr>
        <w:trPr>
          <w:trHeight w:val="27"/>
        </w:trPr>
        <w:tc>
          <w:tcPr>
            <w:tcW w:w="760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32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Net Increase in Cash, Cash Equivalents and Restricted Cash</w:t>
            </w: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(249,104 )</w:t>
            </w:r>
          </w:p>
        </w:tc>
        <w:tc>
          <w:tcPr>
            <w:tcW w:w="180" w:type="dxa"/>
            <w:vAlign w:val="bottom"/>
          </w:tcPr>
          <w:p>
            <w:pPr>
              <w:spacing w:after="0"/>
              <w:rPr>
                <w:sz w:val="15"/>
                <w:szCs w:val="15"/>
                <w:color w:val="auto"/>
              </w:rPr>
            </w:pPr>
          </w:p>
        </w:tc>
        <w:tc>
          <w:tcPr>
            <w:tcW w:w="940" w:type="dxa"/>
            <w:vAlign w:val="bottom"/>
            <w:tcBorders>
              <w:bottom w:val="single" w:sz="8" w:color="004483"/>
            </w:tcBorders>
          </w:tcPr>
          <w:p>
            <w:pPr>
              <w:jc w:val="right"/>
              <w:ind w:right="759"/>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149,872</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Cash Flows from Operating Activities decreased by $125.9 million to $517.2 million for fiscal 2022. The decrease was largely attributable to receiving income tax refunds of $125.6 million in fiscal 2021.</w:t>
      </w:r>
    </w:p>
    <w:p>
      <w:pPr>
        <w:spacing w:after="0" w:line="89"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color w:val="auto"/>
        </w:rPr>
        <w:t>Working capital decreased by $257.1 million to $235.2 million at March 31, 2022, primarily because of lower Cash and Restricted Cash of $244.1 million and $5.0 million, respectively, and increased Accounts Payable and Accrued Liabilities of $29.5 million and $8.0 million, respectively. This was partially offset by increased Accounts Receivable and Income Tax Receivable of $29.2 million and $4.4 million, respectively. The decrease in Cash was due to the July 2021 redemption and repayment of our 4.500% Senior Unsecured Notes due 2026 and Term Loan.</w:t>
      </w:r>
    </w:p>
    <w:p>
      <w:pPr>
        <w:spacing w:after="0" w:line="98"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The increase in Accounts and Notes Receivable at March 31, 2022, was primarily due to higher revenue during the quarter ended March 31, 2022 compared with March 31, 2021. As a percentage of quarterly sales generated in the fiscal fourth quarters, Accounts Receivable was 43% at both March 31, 2022 and March 31, 2021. Management measures the change in Accounts Receivable by monitoring the day’s sales outstanding monthly to determine if any deterioration has occurred in the collectability of the Accounts Receivable. No significant deterioration in the collectability of our Accounts Receivable was identified at March 31, 2022. Notes Receivable are monitored on an individual basis, and no significant deterioration in the collectability of Notes Receivable was identified at March 31, 2022. We are closely monitoring the impact of supply chain delays, and other related impacts, on our customers’ ability to pay their outstanding balances.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2" w:name="page53"/>
    <w:bookmarkEnd w:id="52"/>
    <w:p>
      <w:pPr>
        <w:ind w:right="80"/>
        <w:spacing w:after="0" w:line="283" w:lineRule="auto"/>
        <w:rPr>
          <w:sz w:val="20"/>
          <w:szCs w:val="20"/>
          <w:color w:val="auto"/>
        </w:rPr>
      </w:pPr>
      <w:r>
        <w:rPr>
          <w:rFonts w:ascii="Arial" w:cs="Arial" w:eastAsia="Arial" w:hAnsi="Arial"/>
          <w:sz w:val="18"/>
          <w:szCs w:val="18"/>
          <w:color w:val="auto"/>
        </w:rPr>
        <w:t>Our inventory balance remained relatively consistent at March 31, 2022, compared with the prior year. Within Inventories, raw materials and materials-in-progress decreased by approximately $11.4 million, while finished cement, paperboard, and repair parts increased by $4.4 million, $2.5 million, and $4.8 million, respectively. The decreases in raw materials and materials-in-progress and increases in finished cement and paperboard were mostly due to timing, and the increase in repair parts was primarily due to the timing of outages in our Cement business. We have less than one year’s sales of all product inventories, and our inventories have a low risk of obsolescence given that they are basic construction materials. The largest individual balance in our inventory is repair parts. The size and complexity of our manufacturing plants, as well as the age of certain of our plants, creates the need to stock a high level of repair parts inventory. We believe all of these repair parts are necessary, and we perform semi-annual analyses to identify obsolete parts.</w:t>
      </w:r>
    </w:p>
    <w:p>
      <w:pPr>
        <w:spacing w:after="0" w:line="99"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Net Cash Used in Investing Activities during fiscal 2022 was approximately $74.1 million, compared with Net Cash Provided by Investing Activities of $37.1 million in fiscal 2021, a decrease of approximately $111.2 million. The decrease was primarily due to the $91.0 million of cash received for the sale of businesses in fiscal 2021, and an increase in capital spending of $20.2 million in fiscal 2022, compared with fiscal 2021. The increase in capital spending was mainly due to higher spending in our Cement and Gypsum Wallboard businesses, partially offset by lower spending in our Recycled Paperboard business.</w:t>
      </w:r>
    </w:p>
    <w:p>
      <w:pPr>
        <w:spacing w:after="0" w:line="98"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Net Cash Used in Financing Activities was approximately $692.2 million during fiscal 2022, compared with $530.3 million in fiscal 2021. The $161.9 million increase was primarily due to share repurchases and retirements of $589.7 million, higher Dividends Paid Shareholders of $26.6 million, and the write-off of Debt Issuance costs of $6.1 million. This was partially offset by a reduction in net borrowing of $488.7 million, and a reduction in cash received from the exercise of stock options of $19.1 million, compared with fiscal 2021.</w:t>
      </w:r>
    </w:p>
    <w:p>
      <w:pPr>
        <w:spacing w:after="0" w:line="97"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Our debt-to-capitalization ratio and net debt-to-capitalization ratio were 45.6% and 45.1%, respectively, at March 31, 2022, compared with 42.8% and 35.6%, respectively, at March 31, 2021.</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Debt Financing Activities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after the May 5, 2022 amendment to the Revolving Credit Facility: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Borders>
              <w:bottom w:val="single" w:sz="8" w:color="004483"/>
            </w:tcBorders>
          </w:tcPr>
          <w:p>
            <w:pPr>
              <w:spacing w:after="0"/>
              <w:rPr>
                <w:sz w:val="15"/>
                <w:szCs w:val="15"/>
                <w:color w:val="auto"/>
              </w:rPr>
            </w:pPr>
          </w:p>
        </w:tc>
        <w:tc>
          <w:tcPr>
            <w:tcW w:w="48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189"/>
        </w:trPr>
        <w:tc>
          <w:tcPr>
            <w:tcW w:w="63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Amended Credit Facility</w:t>
            </w:r>
          </w:p>
        </w:tc>
        <w:tc>
          <w:tcPr>
            <w:tcW w:w="4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183"/>
        </w:trPr>
        <w:tc>
          <w:tcPr>
            <w:tcW w:w="63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2.500% Senior Unsecured Notes</w:t>
            </w:r>
          </w:p>
        </w:tc>
        <w:tc>
          <w:tcPr>
            <w:tcW w:w="4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July 2031</w:t>
            </w:r>
          </w:p>
        </w:tc>
      </w:tr>
    </w:tbl>
    <w:p>
      <w:pPr>
        <w:spacing w:after="0" w:line="121"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See Footnote (G) to the Consolidated Financial Statements for further details on the Company's debt facilities, including interest rate, and financial and other covenants and restrictions.</w:t>
      </w:r>
    </w:p>
    <w:p>
      <w:pPr>
        <w:spacing w:after="0" w:line="89"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The revolving borrowing capacity of our Revolving Credit Facility (and under the Amended Credit Facility, as defined below) is $750.0 million (any revolving loans borrowed under the Revolving Credit Facility or Amended Credit Facility, as applicable, the Revolving Loans). The Revolving Credit Facility (and Amended Credit Facility) also includes a swingline loan sublimit of $25.0 million, and a $40.0 million letter of credit facility. At March 31, 2022, we had $200.0 million outstanding of Revolving Loans under the Revolving Credit Facility and $5.0 million of outstanding letters of credit. We are contingently liable for performance under $25.9 million in performance bonds relating primarily to our mining operations. We do not have any off-balance-sheet debt or any outstanding debt guarantees.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3" w:name="page54"/>
    <w:bookmarkEnd w:id="53"/>
    <w:p>
      <w:pPr>
        <w:spacing w:after="0" w:line="282" w:lineRule="auto"/>
        <w:rPr>
          <w:sz w:val="20"/>
          <w:szCs w:val="20"/>
          <w:color w:val="auto"/>
        </w:rPr>
      </w:pPr>
      <w:r>
        <w:rPr>
          <w:rFonts w:ascii="Arial" w:cs="Arial" w:eastAsia="Arial" w:hAnsi="Arial"/>
          <w:sz w:val="18"/>
          <w:szCs w:val="18"/>
          <w:color w:val="auto"/>
        </w:rPr>
        <w:t>Subsequent to year end, we borrowed approximately $120.0 million of Revolving Loans related to the ConAgg Acquisition. After this additional borrowing, we had approximately $320.0 million outstanding under our Revolving Credit Facility (the Existing Revolving Loans). On May 5, 2022, we amended the Revolving Credit Facility (such facility, as amended, the Amended Credit Facility), to establish the maturity date of the Amended Credit Facility (including with respect to the continuing Revolving Credit Facility and the New Term Loans) as May 5, 2027 and to establish a SOFR-based reference rate in lieu of a LIBOR-based reference rate for purposes of calculating interest on the loans outstanding under the Amended Credit Facility. Additionally, the Amended Credit Facility contemplates additional uncommitted incremental capacity (which may take the form of term loans and/or revolving loans) in an amount not to exceed $375.0 million. On the closing date of the amendment, we borrowed all $200.0 million of the New Term Loan, and used the proceeds to, among other things, pay down a portion of the Existing Revolving Loans (such paydown, the RCF Paydown). Scheduled repayment of the New Term Loan is $2.5 million per quarter, with the remaining $152.5 million due in May 2027. As of the closing date of the amendment and after giving effect to the RCF Paydown, we had $156.0 million of Revolving Loans and $200.0 million of New Term Loans, in each case, outstanding under the Amended Credit Facility, leaving us with future available revolving borrowings of $589.0 million, net of outstanding letters of credit, all of which was available for future borrowings based on our current Leverage Ratio.</w:t>
      </w:r>
    </w:p>
    <w:p>
      <w:pPr>
        <w:spacing w:after="0" w:line="105"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Other than the Amended Credit Facility, we have no additional source of committed external financing in place. Should the Amended Credit Facility be terminated, no assurance can be given as to our ability to secure a new source of financing. Consequently, if any balance were outstanding on the Amended Credit Facility at the time of termination, and an alternative source of financing could not be secured, it would have a material adverse impact on our business.</w:t>
      </w:r>
    </w:p>
    <w:p>
      <w:pPr>
        <w:spacing w:after="0" w:line="97"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believe that our cash flow from operations and available borrowings under our Amended Credit Facility, as well as cash on hand, should be sufficient to meet our currently anticipated operating needs, capital expenditures, and debt service requirements for at least the next 12 months. However, our future liquidity and capital requirements may vary depending on a number of factors, including market conditions in the construction industry, our ability to maintain compliance with covenants in our Amended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101"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the New Term Loan, and any Revolving Credit Loans, in each case,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4" w:name="page55"/>
    <w:bookmarkEnd w:id="54"/>
    <w:p>
      <w:pPr>
        <w:jc w:val="both"/>
        <w:ind w:right="180"/>
        <w:spacing w:after="0" w:line="287" w:lineRule="auto"/>
        <w:rPr>
          <w:sz w:val="20"/>
          <w:szCs w:val="20"/>
          <w:color w:val="auto"/>
        </w:rPr>
      </w:pPr>
      <w:r>
        <w:rPr>
          <w:rFonts w:ascii="Arial" w:cs="Arial" w:eastAsia="Arial" w:hAnsi="Arial"/>
          <w:sz w:val="18"/>
          <w:szCs w:val="18"/>
          <w:color w:val="auto"/>
        </w:rPr>
        <w:t>Our Senior Unsecured Notes are rated by Moody’s Investor Service (Moody’s) and Standard and Poor’s Global Ratings (S&amp;P). The ratings are typically monitored by stockholders, creditors, or suppliers, and they serve as indicators of the Company’s viability. Below is a summary of the ratings published by the agencies as of the date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Borders>
              <w:bottom w:val="single" w:sz="8" w:color="004483"/>
            </w:tcBorders>
          </w:tcPr>
          <w:p>
            <w:pPr>
              <w:spacing w:after="0"/>
              <w:rPr>
                <w:sz w:val="16"/>
                <w:szCs w:val="16"/>
                <w:color w:val="auto"/>
              </w:rPr>
            </w:pPr>
          </w:p>
        </w:tc>
        <w:tc>
          <w:tcPr>
            <w:tcW w:w="4800" w:type="dxa"/>
            <w:vAlign w:val="bottom"/>
            <w:tcBorders>
              <w:bottom w:val="single" w:sz="8" w:color="004483"/>
            </w:tcBorders>
          </w:tcPr>
          <w:p>
            <w:pPr>
              <w:jc w:val="right"/>
              <w:ind w:right="523"/>
              <w:spacing w:after="0"/>
              <w:rPr>
                <w:sz w:val="20"/>
                <w:szCs w:val="20"/>
                <w:color w:val="auto"/>
              </w:rPr>
            </w:pPr>
            <w:r>
              <w:rPr>
                <w:rFonts w:ascii="Arial" w:cs="Arial" w:eastAsia="Arial" w:hAnsi="Arial"/>
                <w:sz w:val="13"/>
                <w:szCs w:val="13"/>
                <w:b w:val="1"/>
                <w:bCs w:val="1"/>
                <w:color w:val="auto"/>
              </w:rPr>
              <w:t>Moody's</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S&amp;P</w:t>
            </w:r>
          </w:p>
        </w:tc>
      </w:tr>
      <w:tr>
        <w:trPr>
          <w:trHeight w:val="189"/>
        </w:trPr>
        <w:tc>
          <w:tcPr>
            <w:tcW w:w="51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Corporate/Family Rating</w:t>
            </w:r>
          </w:p>
        </w:tc>
        <w:tc>
          <w:tcPr>
            <w:tcW w:w="4800" w:type="dxa"/>
            <w:vAlign w:val="bottom"/>
            <w:tcBorders>
              <w:bottom w:val="single" w:sz="8" w:color="A6A6A6"/>
            </w:tcBorders>
          </w:tcPr>
          <w:p>
            <w:pPr>
              <w:jc w:val="right"/>
              <w:ind w:right="523"/>
              <w:spacing w:after="0"/>
              <w:rPr>
                <w:sz w:val="20"/>
                <w:szCs w:val="20"/>
                <w:color w:val="auto"/>
              </w:rPr>
            </w:pPr>
            <w:r>
              <w:rPr>
                <w:rFonts w:ascii="Arial" w:cs="Arial" w:eastAsia="Arial" w:hAnsi="Arial"/>
                <w:sz w:val="16"/>
                <w:szCs w:val="16"/>
                <w:color w:val="auto"/>
              </w:rPr>
              <w:t>Baa2</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BBB</w:t>
            </w:r>
          </w:p>
        </w:tc>
      </w:tr>
      <w:tr>
        <w:trPr>
          <w:trHeight w:val="183"/>
        </w:trPr>
        <w:tc>
          <w:tcPr>
            <w:tcW w:w="5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Outlook</w:t>
            </w:r>
          </w:p>
        </w:tc>
        <w:tc>
          <w:tcPr>
            <w:tcW w:w="4800" w:type="dxa"/>
            <w:vAlign w:val="bottom"/>
            <w:tcBorders>
              <w:bottom w:val="single" w:sz="8" w:color="A6A6A6"/>
            </w:tcBorders>
          </w:tcPr>
          <w:p>
            <w:pPr>
              <w:jc w:val="right"/>
              <w:ind w:right="523"/>
              <w:spacing w:after="0" w:line="183" w:lineRule="exact"/>
              <w:rPr>
                <w:sz w:val="20"/>
                <w:szCs w:val="20"/>
                <w:color w:val="auto"/>
              </w:rPr>
            </w:pPr>
            <w:r>
              <w:rPr>
                <w:rFonts w:ascii="Arial" w:cs="Arial" w:eastAsia="Arial" w:hAnsi="Arial"/>
                <w:sz w:val="16"/>
                <w:szCs w:val="16"/>
                <w:color w:val="auto"/>
              </w:rPr>
              <w:t>Stable</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Stable</w:t>
            </w:r>
          </w:p>
        </w:tc>
      </w:tr>
      <w:tr>
        <w:trPr>
          <w:trHeight w:val="183"/>
        </w:trPr>
        <w:tc>
          <w:tcPr>
            <w:tcW w:w="5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Guaranteed Senior Notes</w:t>
            </w:r>
          </w:p>
        </w:tc>
        <w:tc>
          <w:tcPr>
            <w:tcW w:w="4800" w:type="dxa"/>
            <w:vAlign w:val="bottom"/>
            <w:tcBorders>
              <w:bottom w:val="single" w:sz="8" w:color="A6A6A6"/>
            </w:tcBorders>
          </w:tcPr>
          <w:p>
            <w:pPr>
              <w:jc w:val="right"/>
              <w:ind w:right="523"/>
              <w:spacing w:after="0" w:line="183" w:lineRule="exact"/>
              <w:rPr>
                <w:sz w:val="20"/>
                <w:szCs w:val="20"/>
                <w:color w:val="auto"/>
              </w:rPr>
            </w:pPr>
            <w:r>
              <w:rPr>
                <w:rFonts w:ascii="Arial" w:cs="Arial" w:eastAsia="Arial" w:hAnsi="Arial"/>
                <w:sz w:val="16"/>
                <w:szCs w:val="16"/>
                <w:color w:val="auto"/>
              </w:rPr>
              <w:t>Baa2</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BBB</w:t>
            </w:r>
          </w:p>
        </w:tc>
      </w:tr>
      <w:tr>
        <w:trPr>
          <w:trHeight w:val="183"/>
        </w:trPr>
        <w:tc>
          <w:tcPr>
            <w:tcW w:w="5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Date of Latest Report</w:t>
            </w:r>
          </w:p>
        </w:tc>
        <w:tc>
          <w:tcPr>
            <w:tcW w:w="4800" w:type="dxa"/>
            <w:vAlign w:val="bottom"/>
            <w:tcBorders>
              <w:bottom w:val="single" w:sz="8" w:color="A6A6A6"/>
            </w:tcBorders>
          </w:tcPr>
          <w:p>
            <w:pPr>
              <w:jc w:val="right"/>
              <w:ind w:right="523"/>
              <w:spacing w:after="0" w:line="183" w:lineRule="exact"/>
              <w:rPr>
                <w:sz w:val="20"/>
                <w:szCs w:val="20"/>
                <w:color w:val="auto"/>
              </w:rPr>
            </w:pPr>
            <w:r>
              <w:rPr>
                <w:rFonts w:ascii="Arial" w:cs="Arial" w:eastAsia="Arial" w:hAnsi="Arial"/>
                <w:sz w:val="16"/>
                <w:szCs w:val="16"/>
                <w:color w:val="auto"/>
              </w:rPr>
              <w:t>June 2021</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May 2021</w:t>
            </w:r>
          </w:p>
        </w:tc>
      </w:tr>
    </w:tbl>
    <w:p>
      <w:pPr>
        <w:spacing w:after="0" w:line="229"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We also have approximately $36.3 million of lease liabilities at March 31, 2022, that have an average remaining life of approximately 10.1 years.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Used for Share Repurchases and Stock Repurchase Program</w:t>
      </w:r>
    </w:p>
    <w:p>
      <w:pPr>
        <w:spacing w:after="0" w:line="14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See table under Item 5. “Market for Registrant’s Common Equity, Related Stockholder Matters and Issuer Purchases of Equity Securities” for additional information.</w:t>
      </w:r>
    </w:p>
    <w:p>
      <w:pPr>
        <w:spacing w:after="0" w:line="89"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from time to time by the Company’s management, including plans to comply with the safe harbor provided by Rule 10b5-1.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Capital Expenditures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Capital Expenditures in fiscal years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420" w:type="dxa"/>
            <w:vAlign w:val="bottom"/>
            <w:shd w:val="clear" w:color="auto" w:fill="004483"/>
          </w:tcPr>
          <w:p>
            <w:pPr>
              <w:spacing w:after="0"/>
              <w:rPr>
                <w:sz w:val="13"/>
                <w:szCs w:val="13"/>
                <w:color w:val="auto"/>
              </w:rPr>
            </w:pPr>
          </w:p>
        </w:tc>
        <w:tc>
          <w:tcPr>
            <w:tcW w:w="2520" w:type="dxa"/>
            <w:vAlign w:val="bottom"/>
            <w:gridSpan w:val="3"/>
            <w:shd w:val="clear" w:color="auto" w:fill="004483"/>
          </w:tcPr>
          <w:p>
            <w:pPr>
              <w:jc w:val="right"/>
              <w:ind w:right="79"/>
              <w:spacing w:after="0"/>
              <w:rPr>
                <w:sz w:val="20"/>
                <w:szCs w:val="20"/>
                <w:color w:val="auto"/>
              </w:rPr>
            </w:pPr>
            <w:r>
              <w:rPr>
                <w:rFonts w:ascii="Arial" w:cs="Arial" w:eastAsia="Arial" w:hAnsi="Arial"/>
                <w:sz w:val="13"/>
                <w:szCs w:val="13"/>
                <w:b w:val="1"/>
                <w:bCs w:val="1"/>
                <w:color w:val="FFFFFF"/>
              </w:rPr>
              <w:t>For the Fiscal Years Ended March 31,</w:t>
            </w:r>
          </w:p>
        </w:tc>
        <w:tc>
          <w:tcPr>
            <w:tcW w:w="70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tcPr>
          <w:p>
            <w:pPr>
              <w:jc w:val="right"/>
              <w:ind w:right="47"/>
              <w:spacing w:after="0" w:line="134"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jc w:val="right"/>
              <w:ind w:right="43"/>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2520" w:type="dxa"/>
            <w:vAlign w:val="bottom"/>
            <w:tcBorders>
              <w:bottom w:val="single" w:sz="8" w:color="004483"/>
            </w:tcBorders>
            <w:gridSpan w:val="3"/>
          </w:tcPr>
          <w:p>
            <w:pPr>
              <w:jc w:val="right"/>
              <w:ind w:right="53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Land and Quarries</w:t>
            </w: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6A6A6"/>
            </w:tcBorders>
          </w:tcPr>
          <w:p>
            <w:pPr>
              <w:jc w:val="right"/>
              <w:ind w:right="47"/>
              <w:spacing w:after="0"/>
              <w:rPr>
                <w:sz w:val="20"/>
                <w:szCs w:val="20"/>
                <w:color w:val="auto"/>
              </w:rPr>
            </w:pPr>
            <w:r>
              <w:rPr>
                <w:rFonts w:ascii="Arial" w:cs="Arial" w:eastAsia="Arial" w:hAnsi="Arial"/>
                <w:sz w:val="16"/>
                <w:szCs w:val="16"/>
                <w:color w:val="auto"/>
              </w:rPr>
              <w:t>15,943</w:t>
            </w:r>
          </w:p>
        </w:tc>
        <w:tc>
          <w:tcPr>
            <w:tcW w:w="1200" w:type="dxa"/>
            <w:vAlign w:val="bottom"/>
            <w:tcBorders>
              <w:bottom w:val="single" w:sz="8" w:color="A6A6A6"/>
            </w:tcBorders>
            <w:gridSpan w:val="2"/>
          </w:tcPr>
          <w:p>
            <w:pPr>
              <w:jc w:val="right"/>
              <w:ind w:right="8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5,353</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Plants</w:t>
            </w:r>
          </w:p>
        </w:tc>
        <w:tc>
          <w:tcPr>
            <w:tcW w:w="420" w:type="dxa"/>
            <w:vAlign w:val="bottom"/>
            <w:tcBorders>
              <w:bottom w:val="single" w:sz="8" w:color="A6A6A6"/>
            </w:tcBorders>
          </w:tcPr>
          <w:p>
            <w:pPr>
              <w:spacing w:after="0"/>
              <w:rPr>
                <w:sz w:val="15"/>
                <w:szCs w:val="15"/>
                <w:color w:val="auto"/>
              </w:rPr>
            </w:pPr>
          </w:p>
        </w:tc>
        <w:tc>
          <w:tcPr>
            <w:tcW w:w="1320" w:type="dxa"/>
            <w:vAlign w:val="bottom"/>
            <w:tcBorders>
              <w:bottom w:val="single" w:sz="8" w:color="A6A6A6"/>
            </w:tcBorders>
          </w:tcPr>
          <w:p>
            <w:pPr>
              <w:jc w:val="right"/>
              <w:ind w:right="47"/>
              <w:spacing w:after="0" w:line="183" w:lineRule="exact"/>
              <w:rPr>
                <w:sz w:val="20"/>
                <w:szCs w:val="20"/>
                <w:color w:val="auto"/>
              </w:rPr>
            </w:pPr>
            <w:r>
              <w:rPr>
                <w:rFonts w:ascii="Arial" w:cs="Arial" w:eastAsia="Arial" w:hAnsi="Arial"/>
                <w:sz w:val="16"/>
                <w:szCs w:val="16"/>
                <w:color w:val="auto"/>
              </w:rPr>
              <w:t>40,843</w:t>
            </w:r>
          </w:p>
        </w:tc>
        <w:tc>
          <w:tcPr>
            <w:tcW w:w="18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38,768</w:t>
            </w: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color w:val="004483"/>
              </w:rPr>
              <w:t>Buildings, Machinery and Equipment</w:t>
            </w:r>
          </w:p>
        </w:tc>
        <w:tc>
          <w:tcPr>
            <w:tcW w:w="420" w:type="dxa"/>
            <w:vAlign w:val="bottom"/>
          </w:tcPr>
          <w:p>
            <w:pPr>
              <w:spacing w:after="0"/>
              <w:rPr>
                <w:sz w:val="15"/>
                <w:szCs w:val="15"/>
                <w:color w:val="auto"/>
              </w:rPr>
            </w:pPr>
          </w:p>
        </w:tc>
        <w:tc>
          <w:tcPr>
            <w:tcW w:w="1320" w:type="dxa"/>
            <w:vAlign w:val="bottom"/>
          </w:tcPr>
          <w:p>
            <w:pPr>
              <w:jc w:val="right"/>
              <w:ind w:right="47"/>
              <w:spacing w:after="0" w:line="183" w:lineRule="exact"/>
              <w:rPr>
                <w:sz w:val="20"/>
                <w:szCs w:val="20"/>
                <w:color w:val="auto"/>
              </w:rPr>
            </w:pPr>
            <w:r>
              <w:rPr>
                <w:rFonts w:ascii="Arial" w:cs="Arial" w:eastAsia="Arial" w:hAnsi="Arial"/>
                <w:sz w:val="16"/>
                <w:szCs w:val="16"/>
                <w:color w:val="auto"/>
              </w:rPr>
              <w:t>17,335</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jc w:val="right"/>
              <w:ind w:right="43"/>
              <w:spacing w:after="0" w:line="183" w:lineRule="exact"/>
              <w:rPr>
                <w:sz w:val="20"/>
                <w:szCs w:val="20"/>
                <w:color w:val="auto"/>
              </w:rPr>
            </w:pPr>
            <w:r>
              <w:rPr>
                <w:rFonts w:ascii="Arial" w:cs="Arial" w:eastAsia="Arial" w:hAnsi="Arial"/>
                <w:sz w:val="16"/>
                <w:szCs w:val="16"/>
                <w:color w:val="auto"/>
              </w:rPr>
              <w:t>9,812</w:t>
            </w:r>
          </w:p>
        </w:tc>
      </w:tr>
      <w:tr>
        <w:trPr>
          <w:trHeight w:val="27"/>
        </w:trPr>
        <w:tc>
          <w:tcPr>
            <w:tcW w:w="760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32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r>
      <w:tr>
        <w:trPr>
          <w:trHeight w:val="183"/>
        </w:trPr>
        <w:tc>
          <w:tcPr>
            <w:tcW w:w="7600" w:type="dxa"/>
            <w:vAlign w:val="bottom"/>
          </w:tcPr>
          <w:p>
            <w:pPr>
              <w:ind w:left="120"/>
              <w:spacing w:after="0" w:line="183" w:lineRule="exact"/>
              <w:rPr>
                <w:sz w:val="20"/>
                <w:szCs w:val="20"/>
                <w:color w:val="auto"/>
              </w:rPr>
            </w:pPr>
            <w:r>
              <w:rPr>
                <w:rFonts w:ascii="Arial" w:cs="Arial" w:eastAsia="Arial" w:hAnsi="Arial"/>
                <w:sz w:val="16"/>
                <w:szCs w:val="16"/>
                <w:b w:val="1"/>
                <w:bCs w:val="1"/>
                <w:color w:val="auto"/>
              </w:rPr>
              <w:t>Total Capital Expenditures</w:t>
            </w: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004483"/>
            </w:tcBorders>
          </w:tcPr>
          <w:p>
            <w:pPr>
              <w:jc w:val="right"/>
              <w:ind w:right="47"/>
              <w:spacing w:after="0" w:line="183" w:lineRule="exact"/>
              <w:rPr>
                <w:sz w:val="20"/>
                <w:szCs w:val="20"/>
                <w:color w:val="auto"/>
              </w:rPr>
            </w:pPr>
            <w:r>
              <w:rPr>
                <w:rFonts w:ascii="Arial" w:cs="Arial" w:eastAsia="Arial" w:hAnsi="Arial"/>
                <w:sz w:val="16"/>
                <w:szCs w:val="16"/>
                <w:b w:val="1"/>
                <w:bCs w:val="1"/>
                <w:color w:val="auto"/>
              </w:rPr>
              <w:t>74,121</w:t>
            </w:r>
          </w:p>
        </w:tc>
        <w:tc>
          <w:tcPr>
            <w:tcW w:w="180" w:type="dxa"/>
            <w:vAlign w:val="bottom"/>
          </w:tcPr>
          <w:p>
            <w:pPr>
              <w:spacing w:after="0"/>
              <w:rPr>
                <w:sz w:val="15"/>
                <w:szCs w:val="15"/>
                <w:color w:val="auto"/>
              </w:rPr>
            </w:pPr>
          </w:p>
        </w:tc>
        <w:tc>
          <w:tcPr>
            <w:tcW w:w="1020" w:type="dxa"/>
            <w:vAlign w:val="bottom"/>
            <w:tcBorders>
              <w:bottom w:val="single" w:sz="8" w:color="004483"/>
            </w:tcBorders>
          </w:tcPr>
          <w:p>
            <w:pPr>
              <w:jc w:val="right"/>
              <w:ind w:right="839"/>
              <w:spacing w:after="0" w:line="18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b w:val="1"/>
                <w:bCs w:val="1"/>
                <w:color w:val="auto"/>
              </w:rPr>
              <w:t>53,933</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r>
    </w:tbl>
    <w:p>
      <w:pPr>
        <w:spacing w:after="0" w:line="215"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Capital expenditures for fiscal 2023 are expected to range from $115.0 million to $125.0 million and to be allocated across the Heavy Materials and Light Materials sectors. These estimated capital expenditures will include maintenance capital expenditures and improvements, as well as other safety and regulatory projects.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u w:val="single" w:color="auto"/>
          <w:color w:val="004483"/>
        </w:rPr>
        <w:t>Contractual and Other Obligations</w:t>
      </w:r>
    </w:p>
    <w:p>
      <w:pPr>
        <w:spacing w:after="0" w:line="148"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We have certain Contractual Obligations arising from indebtedness, operating leases, and purchase obligations. Future payments due, aggregated by type of contractual obligation, are set forth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40" w:type="dxa"/>
            <w:vAlign w:val="bottom"/>
          </w:tcPr>
          <w:p>
            <w:pPr>
              <w:spacing w:after="0"/>
              <w:rPr>
                <w:sz w:val="13"/>
                <w:szCs w:val="13"/>
                <w:color w:val="auto"/>
              </w:rPr>
            </w:pPr>
          </w:p>
        </w:tc>
        <w:tc>
          <w:tcPr>
            <w:tcW w:w="280" w:type="dxa"/>
            <w:vAlign w:val="bottom"/>
            <w:shd w:val="clear" w:color="auto" w:fill="004483"/>
          </w:tcPr>
          <w:p>
            <w:pPr>
              <w:spacing w:after="0"/>
              <w:rPr>
                <w:sz w:val="13"/>
                <w:szCs w:val="13"/>
                <w:color w:val="auto"/>
              </w:rPr>
            </w:pPr>
          </w:p>
        </w:tc>
        <w:tc>
          <w:tcPr>
            <w:tcW w:w="9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300" w:type="dxa"/>
            <w:vAlign w:val="bottom"/>
            <w:shd w:val="clear" w:color="auto" w:fill="004483"/>
          </w:tcPr>
          <w:p>
            <w:pPr>
              <w:spacing w:after="0"/>
              <w:rPr>
                <w:sz w:val="13"/>
                <w:szCs w:val="13"/>
                <w:color w:val="auto"/>
              </w:rPr>
            </w:pPr>
          </w:p>
        </w:tc>
        <w:tc>
          <w:tcPr>
            <w:tcW w:w="840" w:type="dxa"/>
            <w:vAlign w:val="bottom"/>
            <w:tcBorders>
              <w:right w:val="single" w:sz="8" w:color="004483"/>
            </w:tcBorders>
            <w:shd w:val="clear" w:color="auto" w:fill="004483"/>
          </w:tcPr>
          <w:p>
            <w:pPr>
              <w:spacing w:after="0"/>
              <w:rPr>
                <w:sz w:val="13"/>
                <w:szCs w:val="13"/>
                <w:color w:val="auto"/>
              </w:rPr>
            </w:pPr>
          </w:p>
        </w:tc>
        <w:tc>
          <w:tcPr>
            <w:tcW w:w="1380" w:type="dxa"/>
            <w:vAlign w:val="bottom"/>
            <w:gridSpan w:val="4"/>
            <w:shd w:val="clear" w:color="auto" w:fill="004483"/>
          </w:tcPr>
          <w:p>
            <w:pPr>
              <w:spacing w:after="0"/>
              <w:rPr>
                <w:sz w:val="20"/>
                <w:szCs w:val="20"/>
                <w:color w:val="auto"/>
              </w:rPr>
            </w:pPr>
            <w:r>
              <w:rPr>
                <w:rFonts w:ascii="Arial" w:cs="Arial" w:eastAsia="Arial" w:hAnsi="Arial"/>
                <w:sz w:val="13"/>
                <w:szCs w:val="13"/>
                <w:b w:val="1"/>
                <w:bCs w:val="1"/>
                <w:color w:val="FFFFFF"/>
                <w:w w:val="89"/>
              </w:rPr>
              <w:t>Payments Due by Period</w:t>
            </w:r>
          </w:p>
        </w:tc>
        <w:tc>
          <w:tcPr>
            <w:tcW w:w="340" w:type="dxa"/>
            <w:vAlign w:val="bottom"/>
            <w:shd w:val="clear" w:color="auto" w:fill="004483"/>
          </w:tcPr>
          <w:p>
            <w:pPr>
              <w:spacing w:after="0"/>
              <w:rPr>
                <w:sz w:val="13"/>
                <w:szCs w:val="13"/>
                <w:color w:val="auto"/>
              </w:rPr>
            </w:pPr>
          </w:p>
        </w:tc>
        <w:tc>
          <w:tcPr>
            <w:tcW w:w="8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6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23"/>
              <w:spacing w:after="0" w:line="108" w:lineRule="exact"/>
              <w:rPr>
                <w:sz w:val="20"/>
                <w:szCs w:val="20"/>
                <w:color w:val="auto"/>
              </w:rPr>
            </w:pPr>
            <w:r>
              <w:rPr>
                <w:rFonts w:ascii="Arial" w:cs="Arial" w:eastAsia="Arial" w:hAnsi="Arial"/>
                <w:sz w:val="12"/>
                <w:szCs w:val="12"/>
                <w:b w:val="1"/>
                <w:bCs w:val="1"/>
                <w:color w:val="auto"/>
              </w:rPr>
              <w:t>Less than</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1-3 years</w:t>
            </w:r>
          </w:p>
        </w:tc>
        <w:tc>
          <w:tcPr>
            <w:tcW w:w="340" w:type="dxa"/>
            <w:vAlign w:val="bottom"/>
          </w:tcPr>
          <w:p>
            <w:pPr>
              <w:spacing w:after="0"/>
              <w:rPr>
                <w:sz w:val="9"/>
                <w:szCs w:val="9"/>
                <w:color w:val="auto"/>
              </w:rPr>
            </w:pPr>
          </w:p>
        </w:tc>
        <w:tc>
          <w:tcPr>
            <w:tcW w:w="820" w:type="dxa"/>
            <w:vAlign w:val="bottom"/>
            <w:vMerge w:val="restart"/>
          </w:tcPr>
          <w:p>
            <w:pPr>
              <w:jc w:val="right"/>
              <w:ind w:right="21"/>
              <w:spacing w:after="0"/>
              <w:rPr>
                <w:sz w:val="20"/>
                <w:szCs w:val="20"/>
                <w:color w:val="auto"/>
              </w:rPr>
            </w:pPr>
            <w:r>
              <w:rPr>
                <w:rFonts w:ascii="Arial" w:cs="Arial" w:eastAsia="Arial" w:hAnsi="Arial"/>
                <w:sz w:val="13"/>
                <w:szCs w:val="13"/>
                <w:b w:val="1"/>
                <w:bCs w:val="1"/>
                <w:color w:val="auto"/>
              </w:rPr>
              <w:t>3-5 years</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ind w:right="23"/>
              <w:spacing w:after="0" w:line="108" w:lineRule="exact"/>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23"/>
              <w:spacing w:after="0" w:line="148" w:lineRule="exact"/>
              <w:rPr>
                <w:sz w:val="20"/>
                <w:szCs w:val="20"/>
                <w:color w:val="auto"/>
              </w:rPr>
            </w:pPr>
            <w:r>
              <w:rPr>
                <w:rFonts w:ascii="Arial" w:cs="Arial" w:eastAsia="Arial" w:hAnsi="Arial"/>
                <w:sz w:val="13"/>
                <w:szCs w:val="13"/>
                <w:b w:val="1"/>
                <w:bCs w:val="1"/>
                <w:color w:val="auto"/>
              </w:rPr>
              <w:t>1 year</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23"/>
              <w:spacing w:after="0" w:line="14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004483"/>
            </w:tcBorders>
          </w:tcPr>
          <w:p>
            <w:pPr>
              <w:spacing w:after="0"/>
              <w:rPr>
                <w:sz w:val="15"/>
                <w:szCs w:val="15"/>
                <w:color w:val="auto"/>
              </w:rPr>
            </w:pPr>
          </w:p>
        </w:tc>
        <w:tc>
          <w:tcPr>
            <w:tcW w:w="28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spacing w:after="0"/>
              <w:rPr>
                <w:sz w:val="15"/>
                <w:szCs w:val="15"/>
                <w:color w:val="auto"/>
              </w:rPr>
            </w:pPr>
          </w:p>
        </w:tc>
        <w:tc>
          <w:tcPr>
            <w:tcW w:w="1380" w:type="dxa"/>
            <w:vAlign w:val="bottom"/>
            <w:tcBorders>
              <w:bottom w:val="single" w:sz="8" w:color="004483"/>
            </w:tcBorders>
            <w:gridSpan w:val="4"/>
          </w:tcPr>
          <w:p>
            <w:pPr>
              <w:jc w:val="right"/>
              <w:ind w:right="200"/>
              <w:spacing w:after="0"/>
              <w:rPr>
                <w:sz w:val="20"/>
                <w:szCs w:val="20"/>
                <w:color w:val="auto"/>
              </w:rPr>
            </w:pPr>
            <w:r>
              <w:rPr>
                <w:rFonts w:ascii="Arial" w:cs="Arial" w:eastAsia="Arial" w:hAnsi="Arial"/>
                <w:sz w:val="13"/>
                <w:szCs w:val="13"/>
                <w:color w:val="auto"/>
                <w:w w:val="93"/>
              </w:rPr>
              <w:t>(dollars in thousands)</w:t>
            </w:r>
          </w:p>
        </w:tc>
        <w:tc>
          <w:tcPr>
            <w:tcW w:w="340" w:type="dxa"/>
            <w:vAlign w:val="bottom"/>
            <w:tcBorders>
              <w:bottom w:val="single" w:sz="8" w:color="004483"/>
            </w:tcBorders>
          </w:tcPr>
          <w:p>
            <w:pPr>
              <w:spacing w:after="0"/>
              <w:rPr>
                <w:sz w:val="15"/>
                <w:szCs w:val="15"/>
                <w:color w:val="auto"/>
              </w:rPr>
            </w:pPr>
          </w:p>
        </w:tc>
        <w:tc>
          <w:tcPr>
            <w:tcW w:w="8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A6A6A6"/>
            </w:tcBorders>
          </w:tcPr>
          <w:p>
            <w:pPr>
              <w:ind w:left="20"/>
              <w:spacing w:after="0" w:line="189" w:lineRule="exact"/>
              <w:rPr>
                <w:sz w:val="20"/>
                <w:szCs w:val="20"/>
                <w:color w:val="auto"/>
              </w:rPr>
            </w:pPr>
            <w:r>
              <w:rPr>
                <w:rFonts w:ascii="Arial" w:cs="Arial" w:eastAsia="Arial" w:hAnsi="Arial"/>
                <w:sz w:val="16"/>
                <w:szCs w:val="16"/>
                <w:color w:val="004483"/>
              </w:rPr>
              <w:t xml:space="preserve">Amended Credit Facility </w:t>
            </w:r>
            <w:r>
              <w:rPr>
                <w:rFonts w:ascii="Arial" w:cs="Arial" w:eastAsia="Arial" w:hAnsi="Arial"/>
                <w:sz w:val="21"/>
                <w:szCs w:val="21"/>
                <w:color w:val="004483"/>
                <w:vertAlign w:val="superscript"/>
              </w:rPr>
              <w:t>(1)</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156,000</w:t>
            </w:r>
          </w:p>
        </w:tc>
        <w:tc>
          <w:tcPr>
            <w:tcW w:w="420" w:type="dxa"/>
            <w:vAlign w:val="bottom"/>
            <w:tcBorders>
              <w:bottom w:val="single" w:sz="8" w:color="A6A6A6"/>
            </w:tcBorders>
            <w:gridSpan w:val="2"/>
          </w:tcPr>
          <w:p>
            <w:pPr>
              <w:jc w:val="right"/>
              <w:ind w:right="14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ind w:right="2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6A6A6"/>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ind w:right="2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6A6A6"/>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23"/>
              <w:spacing w:after="0"/>
              <w:rPr>
                <w:sz w:val="20"/>
                <w:szCs w:val="20"/>
                <w:color w:val="auto"/>
              </w:rPr>
            </w:pPr>
            <w:r>
              <w:rPr>
                <w:rFonts w:ascii="Arial" w:cs="Arial" w:eastAsia="Arial" w:hAnsi="Arial"/>
                <w:sz w:val="16"/>
                <w:szCs w:val="16"/>
                <w:color w:val="auto"/>
              </w:rPr>
              <w:t>156,000</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New Term Loan </w:t>
            </w:r>
            <w:r>
              <w:rPr>
                <w:rFonts w:ascii="Arial" w:cs="Arial" w:eastAsia="Arial" w:hAnsi="Arial"/>
                <w:sz w:val="21"/>
                <w:szCs w:val="21"/>
                <w:color w:val="004483"/>
                <w:vertAlign w:val="superscript"/>
              </w:rPr>
              <w:t>(2)</w:t>
            </w:r>
          </w:p>
        </w:tc>
        <w:tc>
          <w:tcPr>
            <w:tcW w:w="2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200,000</w:t>
            </w: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7,500</w:t>
            </w:r>
          </w:p>
        </w:tc>
        <w:tc>
          <w:tcPr>
            <w:tcW w:w="1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1"/>
              <w:spacing w:after="0" w:line="183" w:lineRule="exact"/>
              <w:rPr>
                <w:sz w:val="20"/>
                <w:szCs w:val="20"/>
                <w:color w:val="auto"/>
              </w:rPr>
            </w:pPr>
            <w:r>
              <w:rPr>
                <w:rFonts w:ascii="Arial" w:cs="Arial" w:eastAsia="Arial" w:hAnsi="Arial"/>
                <w:sz w:val="16"/>
                <w:szCs w:val="16"/>
                <w:color w:val="auto"/>
              </w:rPr>
              <w:t>20,000</w:t>
            </w:r>
          </w:p>
        </w:tc>
        <w:tc>
          <w:tcPr>
            <w:tcW w:w="1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20,000</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152,500</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Senior Unsecured Notes</w:t>
            </w:r>
          </w:p>
        </w:tc>
        <w:tc>
          <w:tcPr>
            <w:tcW w:w="2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750,000</w:t>
            </w: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 xml:space="preserve">Interest and Commitment Fees on Amended Credit Facility </w:t>
            </w:r>
            <w:r>
              <w:rPr>
                <w:rFonts w:ascii="Arial" w:cs="Arial" w:eastAsia="Arial" w:hAnsi="Arial"/>
                <w:sz w:val="21"/>
                <w:szCs w:val="21"/>
                <w:color w:val="004483"/>
                <w:vertAlign w:val="superscript"/>
              </w:rPr>
              <w:t>(3)</w:t>
            </w:r>
          </w:p>
        </w:tc>
        <w:tc>
          <w:tcPr>
            <w:tcW w:w="2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11,239</w:t>
            </w: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3,291</w:t>
            </w:r>
          </w:p>
        </w:tc>
        <w:tc>
          <w:tcPr>
            <w:tcW w:w="1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1"/>
              <w:spacing w:after="0" w:line="183" w:lineRule="exact"/>
              <w:rPr>
                <w:sz w:val="20"/>
                <w:szCs w:val="20"/>
                <w:color w:val="auto"/>
              </w:rPr>
            </w:pPr>
            <w:r>
              <w:rPr>
                <w:rFonts w:ascii="Arial" w:cs="Arial" w:eastAsia="Arial" w:hAnsi="Arial"/>
                <w:sz w:val="16"/>
                <w:szCs w:val="16"/>
                <w:color w:val="auto"/>
              </w:rPr>
              <w:t>4,949</w:t>
            </w:r>
          </w:p>
        </w:tc>
        <w:tc>
          <w:tcPr>
            <w:tcW w:w="1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2,921</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 on Senior Unsecured Notes</w:t>
            </w:r>
          </w:p>
        </w:tc>
        <w:tc>
          <w:tcPr>
            <w:tcW w:w="2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173,438</w:t>
            </w: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18,750</w:t>
            </w:r>
          </w:p>
        </w:tc>
        <w:tc>
          <w:tcPr>
            <w:tcW w:w="1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1"/>
              <w:spacing w:after="0" w:line="183" w:lineRule="exact"/>
              <w:rPr>
                <w:sz w:val="20"/>
                <w:szCs w:val="20"/>
                <w:color w:val="auto"/>
              </w:rPr>
            </w:pPr>
            <w:r>
              <w:rPr>
                <w:rFonts w:ascii="Arial" w:cs="Arial" w:eastAsia="Arial" w:hAnsi="Arial"/>
                <w:sz w:val="16"/>
                <w:szCs w:val="16"/>
                <w:color w:val="auto"/>
              </w:rPr>
              <w:t>37,500</w:t>
            </w:r>
          </w:p>
        </w:tc>
        <w:tc>
          <w:tcPr>
            <w:tcW w:w="1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37,500</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79,688</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Leases</w:t>
            </w:r>
          </w:p>
        </w:tc>
        <w:tc>
          <w:tcPr>
            <w:tcW w:w="2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44,926</w:t>
            </w: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8,130</w:t>
            </w:r>
          </w:p>
        </w:tc>
        <w:tc>
          <w:tcPr>
            <w:tcW w:w="1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1"/>
              <w:spacing w:after="0" w:line="183" w:lineRule="exact"/>
              <w:rPr>
                <w:sz w:val="20"/>
                <w:szCs w:val="20"/>
                <w:color w:val="auto"/>
              </w:rPr>
            </w:pPr>
            <w:r>
              <w:rPr>
                <w:rFonts w:ascii="Arial" w:cs="Arial" w:eastAsia="Arial" w:hAnsi="Arial"/>
                <w:sz w:val="16"/>
                <w:szCs w:val="16"/>
                <w:color w:val="auto"/>
              </w:rPr>
              <w:t>12,053</w:t>
            </w:r>
          </w:p>
        </w:tc>
        <w:tc>
          <w:tcPr>
            <w:tcW w:w="120" w:type="dxa"/>
            <w:vAlign w:val="bottom"/>
            <w:tcBorders>
              <w:bottom w:val="single" w:sz="8" w:color="A6A6A6"/>
            </w:tcBorders>
          </w:tcPr>
          <w:p>
            <w:pPr>
              <w:spacing w:after="0"/>
              <w:rPr>
                <w:sz w:val="15"/>
                <w:szCs w:val="15"/>
                <w:color w:val="auto"/>
              </w:rPr>
            </w:pPr>
          </w:p>
        </w:tc>
        <w:tc>
          <w:tcPr>
            <w:tcW w:w="340" w:type="dxa"/>
            <w:vAlign w:val="bottom"/>
            <w:tcBorders>
              <w:bottom w:val="single" w:sz="8" w:color="A6A6A6"/>
            </w:tcBorders>
          </w:tcPr>
          <w:p>
            <w:pPr>
              <w:spacing w:after="0"/>
              <w:rPr>
                <w:sz w:val="15"/>
                <w:szCs w:val="15"/>
                <w:color w:val="auto"/>
              </w:rPr>
            </w:pPr>
          </w:p>
        </w:tc>
        <w:tc>
          <w:tcPr>
            <w:tcW w:w="8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7,809</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16,934</w:t>
            </w: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6"/>
                <w:szCs w:val="16"/>
                <w:color w:val="004483"/>
              </w:rPr>
              <w:t xml:space="preserve">Purchase Obligations </w:t>
            </w:r>
            <w:r>
              <w:rPr>
                <w:rFonts w:ascii="Arial" w:cs="Arial" w:eastAsia="Arial" w:hAnsi="Arial"/>
                <w:sz w:val="21"/>
                <w:szCs w:val="21"/>
                <w:color w:val="004483"/>
                <w:vertAlign w:val="superscript"/>
              </w:rPr>
              <w:t>(4)</w:t>
            </w:r>
          </w:p>
        </w:tc>
        <w:tc>
          <w:tcPr>
            <w:tcW w:w="280" w:type="dxa"/>
            <w:vAlign w:val="bottom"/>
          </w:tcPr>
          <w:p>
            <w:pPr>
              <w:spacing w:after="0"/>
              <w:rPr>
                <w:sz w:val="15"/>
                <w:szCs w:val="15"/>
                <w:color w:val="auto"/>
              </w:rPr>
            </w:pPr>
          </w:p>
        </w:tc>
        <w:tc>
          <w:tcPr>
            <w:tcW w:w="940" w:type="dxa"/>
            <w:vAlign w:val="bottom"/>
          </w:tcPr>
          <w:p>
            <w:pPr>
              <w:jc w:val="right"/>
              <w:ind w:right="41"/>
              <w:spacing w:after="0" w:line="183" w:lineRule="exact"/>
              <w:rPr>
                <w:sz w:val="20"/>
                <w:szCs w:val="20"/>
                <w:color w:val="auto"/>
              </w:rPr>
            </w:pPr>
            <w:r>
              <w:rPr>
                <w:rFonts w:ascii="Arial" w:cs="Arial" w:eastAsia="Arial" w:hAnsi="Arial"/>
                <w:sz w:val="16"/>
                <w:szCs w:val="16"/>
                <w:color w:val="auto"/>
              </w:rPr>
              <w:t>91,065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23"/>
              <w:spacing w:after="0" w:line="183" w:lineRule="exact"/>
              <w:rPr>
                <w:sz w:val="20"/>
                <w:szCs w:val="20"/>
                <w:color w:val="auto"/>
              </w:rPr>
            </w:pPr>
            <w:r>
              <w:rPr>
                <w:rFonts w:ascii="Arial" w:cs="Arial" w:eastAsia="Arial" w:hAnsi="Arial"/>
                <w:sz w:val="16"/>
                <w:szCs w:val="16"/>
                <w:color w:val="auto"/>
              </w:rPr>
              <w:t>55,482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
              <w:spacing w:after="0" w:line="183" w:lineRule="exact"/>
              <w:rPr>
                <w:sz w:val="20"/>
                <w:szCs w:val="20"/>
                <w:color w:val="auto"/>
              </w:rPr>
            </w:pPr>
            <w:r>
              <w:rPr>
                <w:rFonts w:ascii="Arial" w:cs="Arial" w:eastAsia="Arial" w:hAnsi="Arial"/>
                <w:sz w:val="16"/>
                <w:szCs w:val="16"/>
                <w:color w:val="auto"/>
              </w:rPr>
              <w:t>20,871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21"/>
              <w:spacing w:after="0" w:line="183" w:lineRule="exact"/>
              <w:rPr>
                <w:sz w:val="20"/>
                <w:szCs w:val="20"/>
                <w:color w:val="auto"/>
              </w:rPr>
            </w:pPr>
            <w:r>
              <w:rPr>
                <w:rFonts w:ascii="Arial" w:cs="Arial" w:eastAsia="Arial" w:hAnsi="Arial"/>
                <w:sz w:val="16"/>
                <w:szCs w:val="16"/>
                <w:color w:val="auto"/>
              </w:rPr>
              <w:t>7,356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23"/>
              <w:spacing w:after="0" w:line="183" w:lineRule="exact"/>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27"/>
        </w:trPr>
        <w:tc>
          <w:tcPr>
            <w:tcW w:w="494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840" w:type="dxa"/>
            <w:vAlign w:val="bottom"/>
            <w:tcBorders>
              <w:bottom w:val="single" w:sz="8" w:color="004483"/>
              <w:right w:val="single" w:sz="8" w:color="004483"/>
            </w:tcBorders>
            <w:shd w:val="clear" w:color="auto" w:fill="004483"/>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40" w:type="dxa"/>
            <w:vAlign w:val="bottom"/>
            <w:tcBorders>
              <w:bottom w:val="single" w:sz="8" w:color="004483"/>
            </w:tcBorders>
            <w:shd w:val="clear" w:color="auto" w:fill="004483"/>
          </w:tcPr>
          <w:p>
            <w:pPr>
              <w:spacing w:after="0"/>
              <w:rPr>
                <w:sz w:val="2"/>
                <w:szCs w:val="2"/>
                <w:color w:val="auto"/>
              </w:rPr>
            </w:pPr>
          </w:p>
        </w:tc>
        <w:tc>
          <w:tcPr>
            <w:tcW w:w="820" w:type="dxa"/>
            <w:vAlign w:val="bottom"/>
            <w:tcBorders>
              <w:bottom w:val="single" w:sz="8" w:color="004483"/>
            </w:tcBorders>
            <w:shd w:val="clear" w:color="auto" w:fill="004483"/>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60" w:type="dxa"/>
            <w:vAlign w:val="bottom"/>
            <w:tcBorders>
              <w:bottom w:val="single" w:sz="8" w:color="004483"/>
            </w:tcBorders>
            <w:shd w:val="clear" w:color="auto" w:fill="004483"/>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4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1,426,668</w:t>
            </w:r>
          </w:p>
        </w:tc>
        <w:tc>
          <w:tcPr>
            <w:tcW w:w="120" w:type="dxa"/>
            <w:vAlign w:val="bottom"/>
          </w:tcPr>
          <w:p>
            <w:pPr>
              <w:spacing w:after="0"/>
              <w:rPr>
                <w:sz w:val="15"/>
                <w:szCs w:val="15"/>
                <w:color w:val="auto"/>
              </w:rPr>
            </w:pPr>
          </w:p>
        </w:tc>
        <w:tc>
          <w:tcPr>
            <w:tcW w:w="300" w:type="dxa"/>
            <w:vAlign w:val="bottom"/>
            <w:tcBorders>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004483"/>
            </w:tcBorders>
          </w:tcPr>
          <w:p>
            <w:pPr>
              <w:jc w:val="right"/>
              <w:ind w:right="23"/>
              <w:spacing w:after="0" w:line="183" w:lineRule="exact"/>
              <w:rPr>
                <w:sz w:val="20"/>
                <w:szCs w:val="20"/>
                <w:color w:val="auto"/>
              </w:rPr>
            </w:pPr>
            <w:r>
              <w:rPr>
                <w:rFonts w:ascii="Arial" w:cs="Arial" w:eastAsia="Arial" w:hAnsi="Arial"/>
                <w:sz w:val="16"/>
                <w:szCs w:val="16"/>
                <w:b w:val="1"/>
                <w:bCs w:val="1"/>
                <w:color w:val="auto"/>
              </w:rPr>
              <w:t>93,153</w:t>
            </w:r>
          </w:p>
        </w:tc>
        <w:tc>
          <w:tcPr>
            <w:tcW w:w="120" w:type="dxa"/>
            <w:vAlign w:val="bottom"/>
          </w:tcPr>
          <w:p>
            <w:pPr>
              <w:spacing w:after="0"/>
              <w:rPr>
                <w:sz w:val="15"/>
                <w:szCs w:val="15"/>
                <w:color w:val="auto"/>
              </w:rPr>
            </w:pPr>
          </w:p>
        </w:tc>
        <w:tc>
          <w:tcPr>
            <w:tcW w:w="340" w:type="dxa"/>
            <w:vAlign w:val="bottom"/>
            <w:tcBorders>
              <w:bottom w:val="single" w:sz="8" w:color="004483"/>
            </w:tcBorders>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ind w:right="1"/>
              <w:spacing w:after="0" w:line="183" w:lineRule="exact"/>
              <w:rPr>
                <w:sz w:val="20"/>
                <w:szCs w:val="20"/>
                <w:color w:val="auto"/>
              </w:rPr>
            </w:pPr>
            <w:r>
              <w:rPr>
                <w:rFonts w:ascii="Arial" w:cs="Arial" w:eastAsia="Arial" w:hAnsi="Arial"/>
                <w:sz w:val="16"/>
                <w:szCs w:val="16"/>
                <w:b w:val="1"/>
                <w:bCs w:val="1"/>
                <w:color w:val="auto"/>
              </w:rPr>
              <w:t>95,373</w:t>
            </w:r>
          </w:p>
        </w:tc>
        <w:tc>
          <w:tcPr>
            <w:tcW w:w="120" w:type="dxa"/>
            <w:vAlign w:val="bottom"/>
          </w:tcPr>
          <w:p>
            <w:pPr>
              <w:spacing w:after="0"/>
              <w:rPr>
                <w:sz w:val="15"/>
                <w:szCs w:val="15"/>
                <w:color w:val="auto"/>
              </w:rPr>
            </w:pPr>
          </w:p>
        </w:tc>
        <w:tc>
          <w:tcPr>
            <w:tcW w:w="340" w:type="dxa"/>
            <w:vAlign w:val="bottom"/>
            <w:tcBorders>
              <w:bottom w:val="single" w:sz="8" w:color="004483"/>
            </w:tcBorders>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004483"/>
            </w:tcBorders>
          </w:tcPr>
          <w:p>
            <w:pPr>
              <w:jc w:val="right"/>
              <w:ind w:right="21"/>
              <w:spacing w:after="0" w:line="183" w:lineRule="exact"/>
              <w:rPr>
                <w:sz w:val="20"/>
                <w:szCs w:val="20"/>
                <w:color w:val="auto"/>
              </w:rPr>
            </w:pPr>
            <w:r>
              <w:rPr>
                <w:rFonts w:ascii="Arial" w:cs="Arial" w:eastAsia="Arial" w:hAnsi="Arial"/>
                <w:sz w:val="16"/>
                <w:szCs w:val="16"/>
                <w:b w:val="1"/>
                <w:bCs w:val="1"/>
                <w:color w:val="auto"/>
              </w:rPr>
              <w:t>75,586</w:t>
            </w:r>
          </w:p>
        </w:tc>
        <w:tc>
          <w:tcPr>
            <w:tcW w:w="120" w:type="dxa"/>
            <w:vAlign w:val="bottom"/>
          </w:tcPr>
          <w:p>
            <w:pPr>
              <w:spacing w:after="0"/>
              <w:rPr>
                <w:sz w:val="15"/>
                <w:szCs w:val="15"/>
                <w:color w:val="auto"/>
              </w:rPr>
            </w:pPr>
          </w:p>
        </w:tc>
        <w:tc>
          <w:tcPr>
            <w:tcW w:w="260" w:type="dxa"/>
            <w:vAlign w:val="bottom"/>
            <w:tcBorders>
              <w:bottom w:val="single" w:sz="8" w:color="004483"/>
            </w:tcBorders>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ind w:right="23"/>
              <w:spacing w:after="0" w:line="183" w:lineRule="exact"/>
              <w:rPr>
                <w:sz w:val="20"/>
                <w:szCs w:val="20"/>
                <w:color w:val="auto"/>
              </w:rPr>
            </w:pPr>
            <w:r>
              <w:rPr>
                <w:rFonts w:ascii="Arial" w:cs="Arial" w:eastAsia="Arial" w:hAnsi="Arial"/>
                <w:sz w:val="16"/>
                <w:szCs w:val="16"/>
                <w:b w:val="1"/>
                <w:bCs w:val="1"/>
                <w:color w:val="auto"/>
              </w:rPr>
              <w:t>1,162,556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Amended Credit Facility expires in May 2027. Amounts due above are as of the date of the Amendment, which was May 5, 2022</w:t>
      </w:r>
    </w:p>
    <w:p>
      <w:pPr>
        <w:ind w:left="260" w:hanging="252"/>
        <w:spacing w:after="0" w:line="187" w:lineRule="auto"/>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New Term Loan facility was entered into on May 5, 2022.</w:t>
      </w:r>
    </w:p>
    <w:p>
      <w:pPr>
        <w:ind w:left="380" w:right="120" w:hanging="372"/>
        <w:spacing w:after="0" w:line="225" w:lineRule="auto"/>
        <w:tabs>
          <w:tab w:leader="none" w:pos="25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As of May 5, 2022, and in connection with the closing of the Amended Credit Facility, all accrued and unpaid interest and commitment fees under the Revolving Credit Facility were paid in full. Further, as of May 5, 2022, loans outstanding under the Amended Credit Facility bear interest based on adjusted SOFR plus a margin based on our credit rating. We also pay a commitment fee, which is calculated based on the available amount of borrowings at a .125% per annum through the expiration date of the Amended Credit Facility on May 5, 2027. We estimate the future cash flows for interest and commitment fees by assuming a level repayment of the Amended Credit Facility over its remaining term. Actual amounts paid, as well as the payment time periods, will likely differ from this estimate.</w:t>
      </w:r>
    </w:p>
    <w:p>
      <w:pPr>
        <w:spacing w:after="0" w:line="1" w:lineRule="exact"/>
        <w:rPr>
          <w:rFonts w:ascii="Arial" w:cs="Arial" w:eastAsia="Arial" w:hAnsi="Arial"/>
          <w:sz w:val="19"/>
          <w:szCs w:val="19"/>
          <w:color w:val="auto"/>
          <w:vertAlign w:val="superscript"/>
        </w:rPr>
      </w:pPr>
    </w:p>
    <w:p>
      <w:pPr>
        <w:ind w:left="300" w:right="300" w:hanging="292"/>
        <w:spacing w:after="0" w:line="211" w:lineRule="auto"/>
        <w:tabs>
          <w:tab w:leader="none" w:pos="251"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Purchase obligations are non-cancelable agreements to purchase coal, natural gas, slag, and synthetic gypsum; to pay royalty amounts; and to fund capital expenditure commitments.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Based on our current actuarial estimates, we do not anticipate making contributions to our defined benefit plans for fiscal year 2023.</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Dividends</w:t>
      </w:r>
    </w:p>
    <w:p>
      <w:pPr>
        <w:spacing w:after="0" w:line="148"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Dividends paid in fiscal years 2022 and 2021 were $30.8 million and $4.2 million, respectively. Dividends were suspended during the early stages of the COVID-19 pandemic, but were reinstated in May 2021.</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Inflation and Changing Prices</w:t>
      </w:r>
    </w:p>
    <w:p>
      <w:pPr>
        <w:spacing w:after="0" w:line="14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The Consumer Price Index rose approximately 8.5% in calendar 2021, 1.4% in 2020, and 2.3% in 2019. Prices of all materials and services increased this year compared with the previous year, with much of the increase related to energy and transportation. During calendar 2021, the Consumer Price Index for electricity and natural gas increased 11.1% and 21.6%, respectively, while the Consumer Price Index for transportation increased 7.7%. The increase in energy prices resulted in increased cost for our manufacturing businesses for the fiscal year 2022, and we expect these increases to continue throughout the rest of calendar 2022. We have some protection from increasing natural gas costs in fiscal 2023 as we have forward purchase contracts for approximately 30% of our anticipated natural gas usage. Freight costs are expected to increase in fiscal 2023 by approximately 5% to 10%. Our ability to increase sales prices to cover higher costs in the future varies with the level of activity in the construction industry: the number, size, and strength of competitors; and the availability of products to supply a local market.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GENERAL OUTLOOK</w:t>
      </w:r>
    </w:p>
    <w:p>
      <w:pPr>
        <w:spacing w:after="0" w:line="148"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See “Market Conditions and Outlook” within Item 7, Management’s Discussion and Analysis of Financial Condition and Results of Operations on pages 39-40.</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004483"/>
        </w:rPr>
        <w:t>RECENT ACCOUNTING PRONOUNCEMENTS</w:t>
      </w:r>
    </w:p>
    <w:p>
      <w:pPr>
        <w:spacing w:after="0" w:line="166" w:lineRule="exact"/>
        <w:rPr>
          <w:sz w:val="20"/>
          <w:szCs w:val="20"/>
          <w:color w:val="auto"/>
        </w:rPr>
      </w:pPr>
    </w:p>
    <w:p>
      <w:pPr>
        <w:ind w:right="1360"/>
        <w:spacing w:after="0" w:line="293" w:lineRule="auto"/>
        <w:rPr>
          <w:sz w:val="20"/>
          <w:szCs w:val="20"/>
          <w:color w:val="auto"/>
        </w:rPr>
      </w:pPr>
      <w:r>
        <w:rPr>
          <w:rFonts w:ascii="Arial" w:cs="Arial" w:eastAsia="Arial" w:hAnsi="Arial"/>
          <w:sz w:val="18"/>
          <w:szCs w:val="18"/>
          <w:color w:val="auto"/>
        </w:rPr>
        <w:t>Refer to Footnote (A) to the Audited Consolidated Financial Statements for information regarding recently issued accounting pronouncements that may affect our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FORWARD-LOOKING STATEMENTS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electricity,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on our facilities, operations and contractual arrangements with third parties; competition; cyber-attacks or data security breaches; announced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electricity, natural gas, coal and oil)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pandemics or other unforeseen events, including, without limitation, any resurgence of the COVID-19 pandemic and responses thereto, as well as their impact on economic conditions, capital and financial markets.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9" w:right="359" w:bottom="1440" w:gutter="0" w:footer="0" w:header="0"/>
        </w:sectPr>
      </w:pPr>
    </w:p>
    <w:bookmarkStart w:id="57" w:name="page58"/>
    <w:bookmarkEnd w:id="57"/>
    <w:p>
      <w:pPr>
        <w:spacing w:after="0"/>
        <w:rPr>
          <w:sz w:val="20"/>
          <w:szCs w:val="20"/>
          <w:color w:val="auto"/>
        </w:rPr>
      </w:pPr>
      <w:r>
        <w:rPr>
          <w:rFonts w:ascii="Arial" w:cs="Arial" w:eastAsia="Arial" w:hAnsi="Arial"/>
          <w:sz w:val="23"/>
          <w:szCs w:val="23"/>
          <w:b w:val="1"/>
          <w:bCs w:val="1"/>
          <w:color w:val="auto"/>
        </w:rPr>
        <w:t>ITEM 7A. Quantitative and Qualitative Disclosures About Market Risk</w:t>
      </w:r>
    </w:p>
    <w:p>
      <w:pPr>
        <w:spacing w:after="0" w:line="13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are exposed to market risks related to fluctuations in interest rates on our Amended Credit Facility. We have occasionally utilized derivative instruments, including interest rate swaps, in conjunction with our overall strategy to manage the debt outstanding that is subject to changes in interest rates. After the amendment on May 5, 2022, we had $156.0 million outstanding under the Amended Credit Facility and $200.0 million outstanding under the New Term Loan, under which borrowings bear interest at a variable rate. A hypothetical 100 basis point increase in interest rates on these outstanding borrowings would increase our interest expense by $3.6 million on an annual basis. We do not presently utilize derivative financial instruments.</w:t>
      </w:r>
    </w:p>
    <w:p>
      <w:pPr>
        <w:spacing w:after="0" w:line="96"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We are subject to commodity risk with respect to price changes principally in coal, petroleum coke, natural gas, and power. We attempt to limit our exposure to changes in commodity prices by entering into contracts or increasing use of alternative fuels.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8" w:right="359" w:bottom="1440" w:gutter="0" w:footer="0" w:header="0"/>
        </w:sectPr>
      </w:pPr>
    </w:p>
    <w:bookmarkStart w:id="58" w:name="page59"/>
    <w:bookmarkEnd w:id="58"/>
    <w:p>
      <w:pPr>
        <w:spacing w:after="0"/>
        <w:rPr>
          <w:sz w:val="20"/>
          <w:szCs w:val="20"/>
          <w:color w:val="auto"/>
        </w:rPr>
      </w:pPr>
      <w:r>
        <w:rPr>
          <w:rFonts w:ascii="Arial" w:cs="Arial" w:eastAsia="Arial" w:hAnsi="Arial"/>
          <w:sz w:val="23"/>
          <w:szCs w:val="23"/>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45" w:right="359"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FINANCIAL INFORMATION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INDEX TO FINANCIAL STATEMENTS AND RELATED INFORMATION</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90"/>
        </w:trPr>
        <w:tc>
          <w:tcPr>
            <w:tcW w:w="8560" w:type="dxa"/>
            <w:vAlign w:val="bottom"/>
            <w:gridSpan w:val="13"/>
          </w:tcPr>
          <w:p>
            <w:pPr>
              <w:spacing w:after="0"/>
              <w:rPr>
                <w:sz w:val="20"/>
                <w:szCs w:val="20"/>
                <w:color w:val="auto"/>
              </w:rPr>
            </w:pPr>
            <w:r>
              <w:rPr>
                <w:rFonts w:ascii="Arial" w:cs="Arial" w:eastAsia="Arial" w:hAnsi="Arial"/>
                <w:sz w:val="18"/>
                <w:szCs w:val="18"/>
                <w:b w:val="1"/>
                <w:bCs w:val="1"/>
                <w:color w:val="auto"/>
              </w:rPr>
              <w:t>Eagle Materials Inc.:</w:t>
            </w:r>
          </w:p>
        </w:tc>
        <w:tc>
          <w:tcPr>
            <w:tcW w:w="2640" w:type="dxa"/>
            <w:vAlign w:val="bottom"/>
          </w:tcPr>
          <w:p>
            <w:pPr>
              <w:spacing w:after="0"/>
              <w:rPr>
                <w:sz w:val="24"/>
                <w:szCs w:val="24"/>
                <w:color w:val="auto"/>
              </w:rPr>
            </w:pPr>
          </w:p>
        </w:tc>
      </w:tr>
      <w:tr>
        <w:trPr>
          <w:trHeight w:val="338"/>
        </w:trPr>
        <w:tc>
          <w:tcPr>
            <w:tcW w:w="8560" w:type="dxa"/>
            <w:vAlign w:val="bottom"/>
            <w:gridSpan w:val="13"/>
          </w:tcPr>
          <w:p>
            <w:pPr>
              <w:spacing w:after="0"/>
              <w:rPr>
                <w:rFonts w:ascii="Arial" w:cs="Arial" w:eastAsia="Arial" w:hAnsi="Arial"/>
                <w:sz w:val="18"/>
                <w:szCs w:val="18"/>
                <w:color w:val="auto"/>
              </w:rPr>
            </w:pPr>
            <w:hyperlink w:anchor="page60">
              <w:r>
                <w:rPr>
                  <w:rFonts w:ascii="Arial" w:cs="Arial" w:eastAsia="Arial" w:hAnsi="Arial"/>
                  <w:sz w:val="18"/>
                  <w:szCs w:val="18"/>
                  <w:color w:val="auto"/>
                </w:rPr>
                <w:t xml:space="preserve">Consolidated Statements of Earnings for the Years Ended March 31, 2022, 2021, and </w:t>
              </w:r>
            </w:hyperlink>
            <w:r>
              <w:rPr>
                <w:rFonts w:ascii="Arial" w:cs="Arial" w:eastAsia="Arial" w:hAnsi="Arial"/>
                <w:sz w:val="18"/>
                <w:szCs w:val="18"/>
                <w:color w:val="auto"/>
              </w:rPr>
              <w:t>2020</w:t>
            </w:r>
          </w:p>
        </w:tc>
        <w:tc>
          <w:tcPr>
            <w:tcW w:w="2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58"/>
        </w:trPr>
        <w:tc>
          <w:tcPr>
            <w:tcW w:w="8560" w:type="dxa"/>
            <w:vAlign w:val="bottom"/>
            <w:tcBorders>
              <w:bottom w:val="single" w:sz="8" w:color="0000EE"/>
            </w:tcBorders>
            <w:gridSpan w:val="13"/>
          </w:tcPr>
          <w:p>
            <w:pPr>
              <w:spacing w:after="0"/>
              <w:rPr>
                <w:rFonts w:ascii="Arial" w:cs="Arial" w:eastAsia="Arial" w:hAnsi="Arial"/>
                <w:sz w:val="18"/>
                <w:szCs w:val="18"/>
                <w:color w:val="auto"/>
                <w:w w:val="99"/>
              </w:rPr>
            </w:pPr>
            <w:hyperlink w:anchor="page61">
              <w:r>
                <w:rPr>
                  <w:rFonts w:ascii="Arial" w:cs="Arial" w:eastAsia="Arial" w:hAnsi="Arial"/>
                  <w:sz w:val="18"/>
                  <w:szCs w:val="18"/>
                  <w:color w:val="auto"/>
                  <w:w w:val="99"/>
                </w:rPr>
                <w:t>Consolidated Statements of Comprehensive Earnings for the Years Ended March 31, 2022, 2021, and 2020</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58"/>
        </w:trPr>
        <w:tc>
          <w:tcPr>
            <w:tcW w:w="8560" w:type="dxa"/>
            <w:vAlign w:val="bottom"/>
            <w:gridSpan w:val="13"/>
          </w:tcPr>
          <w:p>
            <w:pPr>
              <w:spacing w:after="0"/>
              <w:rPr>
                <w:rFonts w:ascii="Arial" w:cs="Arial" w:eastAsia="Arial" w:hAnsi="Arial"/>
                <w:sz w:val="18"/>
                <w:szCs w:val="18"/>
                <w:color w:val="auto"/>
              </w:rPr>
            </w:pPr>
            <w:hyperlink w:anchor="page62">
              <w:r>
                <w:rPr>
                  <w:rFonts w:ascii="Arial" w:cs="Arial" w:eastAsia="Arial" w:hAnsi="Arial"/>
                  <w:sz w:val="18"/>
                  <w:szCs w:val="18"/>
                  <w:color w:val="auto"/>
                </w:rPr>
                <w:t>Consolidated Balance Sheets as of March 31, 2022 and 2021</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58"/>
        </w:trPr>
        <w:tc>
          <w:tcPr>
            <w:tcW w:w="8560" w:type="dxa"/>
            <w:vAlign w:val="bottom"/>
            <w:gridSpan w:val="13"/>
          </w:tcPr>
          <w:p>
            <w:pPr>
              <w:spacing w:after="0"/>
              <w:rPr>
                <w:rFonts w:ascii="Arial" w:cs="Arial" w:eastAsia="Arial" w:hAnsi="Arial"/>
                <w:sz w:val="18"/>
                <w:szCs w:val="18"/>
                <w:color w:val="auto"/>
              </w:rPr>
            </w:pPr>
            <w:hyperlink w:anchor="page63">
              <w:r>
                <w:rPr>
                  <w:rFonts w:ascii="Arial" w:cs="Arial" w:eastAsia="Arial" w:hAnsi="Arial"/>
                  <w:sz w:val="18"/>
                  <w:szCs w:val="18"/>
                  <w:color w:val="auto"/>
                </w:rPr>
                <w:t>Consolidated Statements of Cash Flows for the Years Ended March 31, 2022, 2021, and 2020</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58"/>
        </w:trPr>
        <w:tc>
          <w:tcPr>
            <w:tcW w:w="8560" w:type="dxa"/>
            <w:vAlign w:val="bottom"/>
            <w:gridSpan w:val="13"/>
          </w:tcPr>
          <w:p>
            <w:pPr>
              <w:spacing w:after="0"/>
              <w:rPr>
                <w:rFonts w:ascii="Arial" w:cs="Arial" w:eastAsia="Arial" w:hAnsi="Arial"/>
                <w:sz w:val="18"/>
                <w:szCs w:val="18"/>
                <w:color w:val="auto"/>
              </w:rPr>
            </w:pPr>
            <w:hyperlink w:anchor="page64">
              <w:r>
                <w:rPr>
                  <w:rFonts w:ascii="Arial" w:cs="Arial" w:eastAsia="Arial" w:hAnsi="Arial"/>
                  <w:sz w:val="18"/>
                  <w:szCs w:val="18"/>
                  <w:color w:val="auto"/>
                </w:rPr>
                <w:t xml:space="preserve">Consolidated Statements of Stockholders’ Equity for the Years Ended March 31, 2022, 2021, and </w:t>
              </w:r>
            </w:hyperlink>
            <w:r>
              <w:rPr>
                <w:rFonts w:ascii="Arial" w:cs="Arial" w:eastAsia="Arial" w:hAnsi="Arial"/>
                <w:sz w:val="18"/>
                <w:szCs w:val="18"/>
                <w:color w:val="auto"/>
              </w:rPr>
              <w:t>2020</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58"/>
        </w:trPr>
        <w:tc>
          <w:tcPr>
            <w:tcW w:w="7980" w:type="dxa"/>
            <w:vAlign w:val="bottom"/>
            <w:tcBorders>
              <w:top w:val="single" w:sz="8" w:color="0000EE"/>
            </w:tcBorders>
            <w:gridSpan w:val="12"/>
          </w:tcPr>
          <w:p>
            <w:pPr>
              <w:spacing w:after="0"/>
              <w:rPr>
                <w:rFonts w:ascii="Arial" w:cs="Arial" w:eastAsia="Arial" w:hAnsi="Arial"/>
                <w:sz w:val="18"/>
                <w:szCs w:val="18"/>
                <w:color w:val="auto"/>
              </w:rPr>
            </w:pPr>
            <w:hyperlink w:anchor="page65">
              <w:r>
                <w:rPr>
                  <w:rFonts w:ascii="Arial" w:cs="Arial" w:eastAsia="Arial" w:hAnsi="Arial"/>
                  <w:sz w:val="18"/>
                  <w:szCs w:val="18"/>
                  <w:color w:val="auto"/>
                </w:rPr>
                <w:t>Notes to Consolidated Financial Statements</w:t>
              </w:r>
            </w:hyperlink>
          </w:p>
        </w:tc>
        <w:tc>
          <w:tcPr>
            <w:tcW w:w="58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58"/>
        </w:trPr>
        <w:tc>
          <w:tcPr>
            <w:tcW w:w="8560" w:type="dxa"/>
            <w:vAlign w:val="bottom"/>
            <w:gridSpan w:val="13"/>
          </w:tcPr>
          <w:p>
            <w:pPr>
              <w:spacing w:after="0"/>
              <w:rPr>
                <w:rFonts w:ascii="Arial" w:cs="Arial" w:eastAsia="Arial" w:hAnsi="Arial"/>
                <w:sz w:val="18"/>
                <w:szCs w:val="18"/>
                <w:color w:val="auto"/>
              </w:rPr>
            </w:pPr>
            <w:hyperlink w:anchor="page95">
              <w:r>
                <w:rPr>
                  <w:rFonts w:ascii="Arial" w:cs="Arial" w:eastAsia="Arial" w:hAnsi="Arial"/>
                  <w:sz w:val="18"/>
                  <w:szCs w:val="18"/>
                  <w:color w:val="auto"/>
                </w:rPr>
                <w:t>Report of Independent Registered Public Accounting Firm</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98"/>
        </w:trPr>
        <w:tc>
          <w:tcPr>
            <w:tcW w:w="4600" w:type="dxa"/>
            <w:vAlign w:val="bottom"/>
            <w:tcBorders>
              <w:top w:val="single" w:sz="8" w:color="0000EE"/>
            </w:tcBorders>
            <w:gridSpan w:val="4"/>
          </w:tcPr>
          <w:p>
            <w:pPr>
              <w:ind w:left="400"/>
              <w:spacing w:after="0"/>
              <w:rPr>
                <w:sz w:val="20"/>
                <w:szCs w:val="20"/>
                <w:color w:val="auto"/>
              </w:rPr>
            </w:pPr>
            <w:r>
              <w:rPr>
                <w:rFonts w:ascii="Arial" w:cs="Arial" w:eastAsia="Arial" w:hAnsi="Arial"/>
                <w:sz w:val="18"/>
                <w:szCs w:val="18"/>
                <w:color w:val="auto"/>
              </w:rPr>
              <w:t>Auditor Name: Ernst &amp; Young LLP</w:t>
            </w:r>
          </w:p>
        </w:tc>
        <w:tc>
          <w:tcPr>
            <w:tcW w:w="3960" w:type="dxa"/>
            <w:vAlign w:val="bottom"/>
            <w:gridSpan w:val="9"/>
          </w:tcPr>
          <w:p>
            <w:pPr>
              <w:spacing w:after="0"/>
              <w:rPr>
                <w:sz w:val="24"/>
                <w:szCs w:val="24"/>
                <w:color w:val="auto"/>
              </w:rPr>
            </w:pPr>
          </w:p>
        </w:tc>
        <w:tc>
          <w:tcPr>
            <w:tcW w:w="2640" w:type="dxa"/>
            <w:vAlign w:val="bottom"/>
          </w:tcPr>
          <w:p>
            <w:pPr>
              <w:spacing w:after="0"/>
              <w:rPr>
                <w:sz w:val="24"/>
                <w:szCs w:val="24"/>
                <w:color w:val="auto"/>
              </w:rPr>
            </w:pPr>
          </w:p>
        </w:tc>
      </w:tr>
      <w:tr>
        <w:trPr>
          <w:trHeight w:val="378"/>
        </w:trPr>
        <w:tc>
          <w:tcPr>
            <w:tcW w:w="8560" w:type="dxa"/>
            <w:vAlign w:val="bottom"/>
            <w:gridSpan w:val="13"/>
          </w:tcPr>
          <w:p>
            <w:pPr>
              <w:ind w:left="400"/>
              <w:spacing w:after="0"/>
              <w:rPr>
                <w:sz w:val="20"/>
                <w:szCs w:val="20"/>
                <w:color w:val="auto"/>
              </w:rPr>
            </w:pPr>
            <w:r>
              <w:rPr>
                <w:rFonts w:ascii="Arial" w:cs="Arial" w:eastAsia="Arial" w:hAnsi="Arial"/>
                <w:sz w:val="18"/>
                <w:szCs w:val="18"/>
                <w:color w:val="auto"/>
              </w:rPr>
              <w:t>Auditor Location: Dallas, Texas</w:t>
            </w:r>
          </w:p>
        </w:tc>
        <w:tc>
          <w:tcPr>
            <w:tcW w:w="2640" w:type="dxa"/>
            <w:vAlign w:val="bottom"/>
          </w:tcPr>
          <w:p>
            <w:pPr>
              <w:spacing w:after="0"/>
              <w:rPr>
                <w:sz w:val="24"/>
                <w:szCs w:val="24"/>
                <w:color w:val="auto"/>
              </w:rPr>
            </w:pPr>
          </w:p>
        </w:tc>
      </w:tr>
      <w:tr>
        <w:trPr>
          <w:trHeight w:val="378"/>
        </w:trPr>
        <w:tc>
          <w:tcPr>
            <w:tcW w:w="8560" w:type="dxa"/>
            <w:vAlign w:val="bottom"/>
            <w:gridSpan w:val="13"/>
          </w:tcPr>
          <w:p>
            <w:pPr>
              <w:ind w:left="400"/>
              <w:spacing w:after="0"/>
              <w:rPr>
                <w:sz w:val="20"/>
                <w:szCs w:val="20"/>
                <w:color w:val="auto"/>
              </w:rPr>
            </w:pPr>
            <w:r>
              <w:rPr>
                <w:rFonts w:ascii="Arial" w:cs="Arial" w:eastAsia="Arial" w:hAnsi="Arial"/>
                <w:sz w:val="18"/>
                <w:szCs w:val="18"/>
                <w:color w:val="auto"/>
              </w:rPr>
              <w:t>Auditor Firm ID: 42</w:t>
            </w:r>
          </w:p>
        </w:tc>
        <w:tc>
          <w:tcPr>
            <w:tcW w:w="2640" w:type="dxa"/>
            <w:vAlign w:val="bottom"/>
          </w:tcPr>
          <w:p>
            <w:pPr>
              <w:spacing w:after="0"/>
              <w:rPr>
                <w:sz w:val="24"/>
                <w:szCs w:val="24"/>
                <w:color w:val="auto"/>
              </w:rPr>
            </w:pPr>
          </w:p>
        </w:tc>
      </w:tr>
      <w:tr>
        <w:trPr>
          <w:trHeight w:val="756"/>
        </w:trPr>
        <w:tc>
          <w:tcPr>
            <w:tcW w:w="8560" w:type="dxa"/>
            <w:vAlign w:val="bottom"/>
            <w:gridSpan w:val="13"/>
          </w:tcPr>
          <w:p>
            <w:pPr>
              <w:spacing w:after="0"/>
              <w:rPr>
                <w:sz w:val="20"/>
                <w:szCs w:val="20"/>
                <w:color w:val="auto"/>
              </w:rPr>
            </w:pPr>
            <w:r>
              <w:rPr>
                <w:rFonts w:ascii="Arial" w:cs="Arial" w:eastAsia="Arial" w:hAnsi="Arial"/>
                <w:sz w:val="18"/>
                <w:szCs w:val="18"/>
                <w:b w:val="1"/>
                <w:bCs w:val="1"/>
                <w:color w:val="auto"/>
              </w:rPr>
              <w:t>Texas Lehigh Cement Company LP:</w:t>
            </w:r>
          </w:p>
        </w:tc>
        <w:tc>
          <w:tcPr>
            <w:tcW w:w="2640" w:type="dxa"/>
            <w:vAlign w:val="bottom"/>
          </w:tcPr>
          <w:p>
            <w:pPr>
              <w:spacing w:after="0"/>
              <w:rPr>
                <w:sz w:val="24"/>
                <w:szCs w:val="24"/>
                <w:color w:val="auto"/>
              </w:rPr>
            </w:pPr>
          </w:p>
        </w:tc>
      </w:tr>
      <w:tr>
        <w:trPr>
          <w:trHeight w:val="338"/>
        </w:trPr>
        <w:tc>
          <w:tcPr>
            <w:tcW w:w="8560" w:type="dxa"/>
            <w:vAlign w:val="bottom"/>
            <w:gridSpan w:val="13"/>
          </w:tcPr>
          <w:p>
            <w:pPr>
              <w:spacing w:after="0"/>
              <w:rPr>
                <w:rFonts w:ascii="Arial" w:cs="Arial" w:eastAsia="Arial" w:hAnsi="Arial"/>
                <w:sz w:val="18"/>
                <w:szCs w:val="18"/>
                <w:color w:val="auto"/>
              </w:rPr>
            </w:pPr>
            <w:hyperlink w:anchor="page98">
              <w:r>
                <w:rPr>
                  <w:rFonts w:ascii="Arial" w:cs="Arial" w:eastAsia="Arial" w:hAnsi="Arial"/>
                  <w:sz w:val="18"/>
                  <w:szCs w:val="18"/>
                  <w:color w:val="auto"/>
                </w:rPr>
                <w:t>Statements of Earnings for the Years Ended December 31, 2021, 2020, and 2019</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24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58"/>
        </w:trPr>
        <w:tc>
          <w:tcPr>
            <w:tcW w:w="7800" w:type="dxa"/>
            <w:vAlign w:val="bottom"/>
            <w:tcBorders>
              <w:bottom w:val="single" w:sz="8" w:color="0000EE"/>
            </w:tcBorders>
            <w:gridSpan w:val="10"/>
          </w:tcPr>
          <w:p>
            <w:pPr>
              <w:spacing w:after="0"/>
              <w:rPr>
                <w:rFonts w:ascii="Arial" w:cs="Arial" w:eastAsia="Arial" w:hAnsi="Arial"/>
                <w:sz w:val="18"/>
                <w:szCs w:val="18"/>
                <w:color w:val="auto"/>
                <w:w w:val="99"/>
              </w:rPr>
            </w:pPr>
            <w:hyperlink w:anchor="page99">
              <w:r>
                <w:rPr>
                  <w:rFonts w:ascii="Arial" w:cs="Arial" w:eastAsia="Arial" w:hAnsi="Arial"/>
                  <w:sz w:val="18"/>
                  <w:szCs w:val="18"/>
                  <w:color w:val="auto"/>
                  <w:w w:val="99"/>
                </w:rPr>
                <w:t>Statements of Comprehensive Earnings for the Years Ended December 31, 2021, 2020, and 2019</w:t>
              </w:r>
            </w:hyperlink>
          </w:p>
        </w:tc>
        <w:tc>
          <w:tcPr>
            <w:tcW w:w="760" w:type="dxa"/>
            <w:vAlign w:val="bottom"/>
            <w:gridSpan w:val="3"/>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58"/>
        </w:trPr>
        <w:tc>
          <w:tcPr>
            <w:tcW w:w="4140" w:type="dxa"/>
            <w:vAlign w:val="bottom"/>
            <w:tcBorders>
              <w:bottom w:val="single" w:sz="8" w:color="0000EE"/>
            </w:tcBorders>
            <w:gridSpan w:val="3"/>
          </w:tcPr>
          <w:p>
            <w:pPr>
              <w:spacing w:after="0"/>
              <w:rPr>
                <w:rFonts w:ascii="Arial" w:cs="Arial" w:eastAsia="Arial" w:hAnsi="Arial"/>
                <w:sz w:val="18"/>
                <w:szCs w:val="18"/>
                <w:color w:val="auto"/>
                <w:w w:val="99"/>
              </w:rPr>
            </w:pPr>
            <w:hyperlink w:anchor="page100">
              <w:r>
                <w:rPr>
                  <w:rFonts w:ascii="Arial" w:cs="Arial" w:eastAsia="Arial" w:hAnsi="Arial"/>
                  <w:sz w:val="18"/>
                  <w:szCs w:val="18"/>
                  <w:color w:val="auto"/>
                  <w:w w:val="99"/>
                </w:rPr>
                <w:t>Balance Sheets as of December 31, 2021 and 2020</w:t>
              </w:r>
            </w:hyperlink>
          </w:p>
        </w:tc>
        <w:tc>
          <w:tcPr>
            <w:tcW w:w="4420" w:type="dxa"/>
            <w:vAlign w:val="bottom"/>
            <w:gridSpan w:val="10"/>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58"/>
        </w:trPr>
        <w:tc>
          <w:tcPr>
            <w:tcW w:w="8560" w:type="dxa"/>
            <w:vAlign w:val="bottom"/>
            <w:gridSpan w:val="13"/>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Statements of Changes in Partners’ Capital for the Years Ended December 31, 2021, 2020, and 2019</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58"/>
        </w:trPr>
        <w:tc>
          <w:tcPr>
            <w:tcW w:w="7960" w:type="dxa"/>
            <w:vAlign w:val="bottom"/>
            <w:tcBorders>
              <w:top w:val="single" w:sz="8" w:color="0000EE"/>
            </w:tcBorders>
            <w:gridSpan w:val="11"/>
          </w:tcPr>
          <w:p>
            <w:pPr>
              <w:spacing w:after="0"/>
              <w:rPr>
                <w:rFonts w:ascii="Arial" w:cs="Arial" w:eastAsia="Arial" w:hAnsi="Arial"/>
                <w:sz w:val="18"/>
                <w:szCs w:val="18"/>
                <w:color w:val="auto"/>
              </w:rPr>
            </w:pPr>
            <w:hyperlink w:anchor="page102">
              <w:r>
                <w:rPr>
                  <w:rFonts w:ascii="Arial" w:cs="Arial" w:eastAsia="Arial" w:hAnsi="Arial"/>
                  <w:sz w:val="18"/>
                  <w:szCs w:val="18"/>
                  <w:color w:val="auto"/>
                </w:rPr>
                <w:t>Statements of Cash Flows for the Years Ended December 31, 2021, 2020, and 2019</w:t>
              </w:r>
            </w:hyperlink>
          </w:p>
        </w:tc>
        <w:tc>
          <w:tcPr>
            <w:tcW w:w="600" w:type="dxa"/>
            <w:vAlign w:val="bottom"/>
            <w:gridSpan w:val="2"/>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58"/>
        </w:trPr>
        <w:tc>
          <w:tcPr>
            <w:tcW w:w="6620" w:type="dxa"/>
            <w:vAlign w:val="bottom"/>
            <w:tcBorders>
              <w:top w:val="single" w:sz="8" w:color="0000EE"/>
            </w:tcBorders>
            <w:gridSpan w:val="7"/>
          </w:tcPr>
          <w:p>
            <w:pPr>
              <w:spacing w:after="0"/>
              <w:rPr>
                <w:rFonts w:ascii="Arial" w:cs="Arial" w:eastAsia="Arial" w:hAnsi="Arial"/>
                <w:sz w:val="18"/>
                <w:szCs w:val="18"/>
                <w:color w:val="auto"/>
              </w:rPr>
            </w:pPr>
            <w:hyperlink w:anchor="page103">
              <w:r>
                <w:rPr>
                  <w:rFonts w:ascii="Arial" w:cs="Arial" w:eastAsia="Arial" w:hAnsi="Arial"/>
                  <w:sz w:val="18"/>
                  <w:szCs w:val="18"/>
                  <w:color w:val="auto"/>
                </w:rPr>
                <w:t>Notes to Financial Statements</w:t>
              </w:r>
            </w:hyperlink>
          </w:p>
        </w:tc>
        <w:tc>
          <w:tcPr>
            <w:tcW w:w="1940" w:type="dxa"/>
            <w:vAlign w:val="bottom"/>
            <w:gridSpan w:val="6"/>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400" w:type="dxa"/>
            <w:vAlign w:val="bottom"/>
            <w:shd w:val="clear" w:color="auto" w:fill="0000EE"/>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58"/>
        </w:trPr>
        <w:tc>
          <w:tcPr>
            <w:tcW w:w="8560" w:type="dxa"/>
            <w:vAlign w:val="bottom"/>
            <w:gridSpan w:val="13"/>
          </w:tcPr>
          <w:p>
            <w:pPr>
              <w:spacing w:after="0"/>
              <w:rPr>
                <w:rFonts w:ascii="Arial" w:cs="Arial" w:eastAsia="Arial" w:hAnsi="Arial"/>
                <w:sz w:val="18"/>
                <w:szCs w:val="18"/>
                <w:color w:val="auto"/>
              </w:rPr>
            </w:pPr>
            <w:hyperlink w:anchor="page112">
              <w:r>
                <w:rPr>
                  <w:rFonts w:ascii="Arial" w:cs="Arial" w:eastAsia="Arial" w:hAnsi="Arial"/>
                  <w:sz w:val="18"/>
                  <w:szCs w:val="18"/>
                  <w:color w:val="auto"/>
                </w:rPr>
                <w:t>Report of Independent Registered Public Accounting Firm</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2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5"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40" w:type="dxa"/>
            <w:vAlign w:val="bottom"/>
          </w:tcPr>
          <w:p>
            <w:pPr>
              <w:spacing w:after="0"/>
              <w:rPr>
                <w:sz w:val="13"/>
                <w:szCs w:val="13"/>
                <w:color w:val="auto"/>
              </w:rPr>
            </w:pPr>
          </w:p>
        </w:tc>
        <w:tc>
          <w:tcPr>
            <w:tcW w:w="380" w:type="dxa"/>
            <w:vAlign w:val="bottom"/>
            <w:shd w:val="clear" w:color="auto" w:fill="004483"/>
          </w:tcPr>
          <w:p>
            <w:pPr>
              <w:spacing w:after="0"/>
              <w:rPr>
                <w:sz w:val="13"/>
                <w:szCs w:val="13"/>
                <w:color w:val="auto"/>
              </w:rPr>
            </w:pPr>
          </w:p>
        </w:tc>
        <w:tc>
          <w:tcPr>
            <w:tcW w:w="1140" w:type="dxa"/>
            <w:vAlign w:val="bottom"/>
            <w:tcBorders>
              <w:right w:val="single" w:sz="8" w:color="004483"/>
            </w:tcBorders>
            <w:shd w:val="clear" w:color="auto" w:fill="004483"/>
          </w:tcPr>
          <w:p>
            <w:pPr>
              <w:spacing w:after="0"/>
              <w:rPr>
                <w:sz w:val="13"/>
                <w:szCs w:val="13"/>
                <w:color w:val="auto"/>
              </w:rPr>
            </w:pPr>
          </w:p>
        </w:tc>
        <w:tc>
          <w:tcPr>
            <w:tcW w:w="1800" w:type="dxa"/>
            <w:vAlign w:val="bottom"/>
            <w:gridSpan w:val="4"/>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8"/>
              </w:rPr>
              <w:t>For the Years Ended March 31,</w:t>
            </w:r>
          </w:p>
        </w:tc>
        <w:tc>
          <w:tcPr>
            <w:tcW w:w="520" w:type="dxa"/>
            <w:vAlign w:val="bottom"/>
            <w:shd w:val="clear" w:color="auto" w:fill="004483"/>
          </w:tcPr>
          <w:p>
            <w:pPr>
              <w:spacing w:after="0"/>
              <w:rPr>
                <w:sz w:val="13"/>
                <w:szCs w:val="13"/>
                <w:color w:val="auto"/>
              </w:rPr>
            </w:pPr>
          </w:p>
        </w:tc>
        <w:tc>
          <w:tcPr>
            <w:tcW w:w="960" w:type="dxa"/>
            <w:vAlign w:val="bottom"/>
            <w:shd w:val="clear" w:color="auto" w:fill="004483"/>
          </w:tcPr>
          <w:p>
            <w:pPr>
              <w:spacing w:after="0"/>
              <w:rPr>
                <w:sz w:val="13"/>
                <w:szCs w:val="13"/>
                <w:color w:val="auto"/>
              </w:rPr>
            </w:pPr>
          </w:p>
        </w:tc>
      </w:tr>
      <w:tr>
        <w:trPr>
          <w:trHeight w:val="134"/>
        </w:trPr>
        <w:tc>
          <w:tcPr>
            <w:tcW w:w="6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jc w:val="right"/>
              <w:ind w:right="60"/>
              <w:spacing w:after="0" w:line="134"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2020</w:t>
            </w:r>
          </w:p>
        </w:tc>
      </w:tr>
      <w:tr>
        <w:trPr>
          <w:trHeight w:val="183"/>
        </w:trPr>
        <w:tc>
          <w:tcPr>
            <w:tcW w:w="644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3460" w:type="dxa"/>
            <w:vAlign w:val="bottom"/>
            <w:tcBorders>
              <w:bottom w:val="single" w:sz="8" w:color="004483"/>
            </w:tcBorders>
            <w:gridSpan w:val="6"/>
          </w:tcPr>
          <w:p>
            <w:pPr>
              <w:jc w:val="center"/>
              <w:ind w:left="400"/>
              <w:spacing w:after="0"/>
              <w:rPr>
                <w:sz w:val="20"/>
                <w:szCs w:val="20"/>
                <w:color w:val="auto"/>
              </w:rPr>
            </w:pPr>
            <w:r>
              <w:rPr>
                <w:rFonts w:ascii="Arial" w:cs="Arial" w:eastAsia="Arial" w:hAnsi="Arial"/>
                <w:sz w:val="13"/>
                <w:szCs w:val="13"/>
                <w:color w:val="auto"/>
                <w:w w:val="85"/>
              </w:rPr>
              <w:t>(dollars in thousands, except share and per share data)</w:t>
            </w:r>
          </w:p>
        </w:tc>
        <w:tc>
          <w:tcPr>
            <w:tcW w:w="960" w:type="dxa"/>
            <w:vAlign w:val="bottom"/>
            <w:tcBorders>
              <w:bottom w:val="single" w:sz="8" w:color="004483"/>
            </w:tcBorders>
          </w:tcPr>
          <w:p>
            <w:pPr>
              <w:spacing w:after="0"/>
              <w:rPr>
                <w:sz w:val="15"/>
                <w:szCs w:val="15"/>
                <w:color w:val="auto"/>
              </w:rPr>
            </w:pPr>
          </w:p>
        </w:tc>
      </w:tr>
      <w:tr>
        <w:trPr>
          <w:trHeight w:val="189"/>
        </w:trPr>
        <w:tc>
          <w:tcPr>
            <w:tcW w:w="64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38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60"/>
              <w:spacing w:after="0"/>
              <w:rPr>
                <w:sz w:val="20"/>
                <w:szCs w:val="20"/>
                <w:color w:val="auto"/>
              </w:rPr>
            </w:pPr>
            <w:r>
              <w:rPr>
                <w:rFonts w:ascii="Arial" w:cs="Arial" w:eastAsia="Arial" w:hAnsi="Arial"/>
                <w:sz w:val="16"/>
                <w:szCs w:val="16"/>
                <w:color w:val="auto"/>
              </w:rPr>
              <w:t>1,861,522</w:t>
            </w:r>
          </w:p>
        </w:tc>
        <w:tc>
          <w:tcPr>
            <w:tcW w:w="52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1,622,642</w:t>
            </w:r>
          </w:p>
        </w:tc>
        <w:tc>
          <w:tcPr>
            <w:tcW w:w="160" w:type="dxa"/>
            <w:vAlign w:val="bottom"/>
            <w:tcBorders>
              <w:bottom w:val="single" w:sz="8" w:color="A6A6A6"/>
            </w:tcBorders>
          </w:tcPr>
          <w:p>
            <w:pPr>
              <w:spacing w:after="0"/>
              <w:rPr>
                <w:sz w:val="16"/>
                <w:szCs w:val="16"/>
                <w:color w:val="auto"/>
              </w:rPr>
            </w:pPr>
          </w:p>
        </w:tc>
        <w:tc>
          <w:tcPr>
            <w:tcW w:w="520" w:type="dxa"/>
            <w:vAlign w:val="bottom"/>
            <w:tcBorders>
              <w:bottom w:val="single" w:sz="8" w:color="A6A6A6"/>
            </w:tcBorders>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1,404,033</w:t>
            </w:r>
          </w:p>
        </w:tc>
      </w:tr>
      <w:tr>
        <w:trPr>
          <w:trHeight w:val="209"/>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Cost of Goods Sold</w:t>
            </w:r>
          </w:p>
        </w:tc>
        <w:tc>
          <w:tcPr>
            <w:tcW w:w="3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color w:val="auto"/>
              </w:rPr>
              <w:t>1,341,908</w:t>
            </w: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1,214,287</w:t>
            </w: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1,061,367</w:t>
            </w:r>
          </w:p>
        </w:tc>
      </w:tr>
      <w:tr>
        <w:trPr>
          <w:trHeight w:val="183"/>
        </w:trPr>
        <w:tc>
          <w:tcPr>
            <w:tcW w:w="644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Gross Profit</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519,614</w:t>
            </w: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408,355</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342,666</w:t>
            </w:r>
          </w:p>
        </w:tc>
      </w:tr>
      <w:tr>
        <w:trPr>
          <w:trHeight w:val="183"/>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32,488</w:t>
            </w: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37,441</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42,585</w:t>
            </w:r>
          </w:p>
        </w:tc>
      </w:tr>
      <w:tr>
        <w:trPr>
          <w:trHeight w:val="183"/>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Corporate General and Administrative Expense</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(46,801 )</w:t>
            </w: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(49,511 )</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(65,410 )</w:t>
            </w:r>
          </w:p>
        </w:tc>
      </w:tr>
      <w:tr>
        <w:trPr>
          <w:trHeight w:val="183"/>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Loss on Early Retirement of Senior Notes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(8,407 )</w:t>
            </w: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Gain on Sale of Businesses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51,973</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Impairment Losses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(25,131 )</w:t>
            </w:r>
          </w:p>
        </w:tc>
      </w:tr>
      <w:tr>
        <w:trPr>
          <w:trHeight w:val="183"/>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Non-Operating Income (Loss)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9,073</w:t>
            </w: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20,274</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(594 )</w:t>
            </w:r>
          </w:p>
        </w:tc>
      </w:tr>
      <w:tr>
        <w:trPr>
          <w:trHeight w:val="210"/>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Interest Expense, net</w:t>
            </w:r>
          </w:p>
        </w:tc>
        <w:tc>
          <w:tcPr>
            <w:tcW w:w="3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(30,873 )</w:t>
            </w: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(44,420 )</w:t>
            </w: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(38,421 )</w:t>
            </w:r>
          </w:p>
        </w:tc>
      </w:tr>
      <w:tr>
        <w:trPr>
          <w:trHeight w:val="182"/>
        </w:trPr>
        <w:tc>
          <w:tcPr>
            <w:tcW w:w="644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Earnings from Continuing Operations Before Income Taxes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475,094</w:t>
            </w: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424,112</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255,695</w:t>
            </w:r>
          </w:p>
        </w:tc>
      </w:tr>
      <w:tr>
        <w:trPr>
          <w:trHeight w:val="210"/>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Income Taxes</w:t>
            </w:r>
          </w:p>
        </w:tc>
        <w:tc>
          <w:tcPr>
            <w:tcW w:w="3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(100,847 )</w:t>
            </w: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(89,946 )</w:t>
            </w: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(24,504 )</w:t>
            </w:r>
          </w:p>
        </w:tc>
      </w:tr>
      <w:tr>
        <w:trPr>
          <w:trHeight w:val="183"/>
        </w:trPr>
        <w:tc>
          <w:tcPr>
            <w:tcW w:w="644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Earnings from Continuing Operations</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374,247</w:t>
            </w: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334,166</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231,191</w:t>
            </w:r>
          </w:p>
        </w:tc>
      </w:tr>
      <w:tr>
        <w:trPr>
          <w:trHeight w:val="183"/>
        </w:trPr>
        <w:tc>
          <w:tcPr>
            <w:tcW w:w="6440" w:type="dxa"/>
            <w:vAlign w:val="bottom"/>
          </w:tcPr>
          <w:p>
            <w:pPr>
              <w:ind w:left="200"/>
              <w:spacing w:after="0" w:line="183" w:lineRule="exact"/>
              <w:rPr>
                <w:sz w:val="20"/>
                <w:szCs w:val="20"/>
                <w:color w:val="auto"/>
              </w:rPr>
            </w:pPr>
            <w:r>
              <w:rPr>
                <w:rFonts w:ascii="Arial" w:cs="Arial" w:eastAsia="Arial" w:hAnsi="Arial"/>
                <w:sz w:val="16"/>
                <w:szCs w:val="16"/>
                <w:color w:val="004483"/>
              </w:rPr>
              <w:t>Earnings (Loss) from Discontinued Operations, net of Income Taxes</w:t>
            </w:r>
          </w:p>
        </w:tc>
        <w:tc>
          <w:tcPr>
            <w:tcW w:w="380" w:type="dxa"/>
            <w:vAlign w:val="bottom"/>
          </w:tcPr>
          <w:p>
            <w:pPr>
              <w:spacing w:after="0"/>
              <w:rPr>
                <w:sz w:val="15"/>
                <w:szCs w:val="15"/>
                <w:color w:val="auto"/>
              </w:rPr>
            </w:pPr>
          </w:p>
        </w:tc>
        <w:tc>
          <w:tcPr>
            <w:tcW w:w="1140" w:type="dxa"/>
            <w:vAlign w:val="bottom"/>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40"/>
              <w:spacing w:after="0" w:line="183" w:lineRule="exact"/>
              <w:rPr>
                <w:sz w:val="20"/>
                <w:szCs w:val="20"/>
                <w:color w:val="auto"/>
              </w:rPr>
            </w:pPr>
            <w:r>
              <w:rPr>
                <w:rFonts w:ascii="Arial" w:cs="Arial" w:eastAsia="Arial" w:hAnsi="Arial"/>
                <w:sz w:val="16"/>
                <w:szCs w:val="16"/>
                <w:color w:val="auto"/>
              </w:rPr>
              <w:t>5,278</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(160,297 )</w:t>
            </w:r>
          </w:p>
        </w:tc>
      </w:tr>
      <w:tr>
        <w:trPr>
          <w:trHeight w:val="27"/>
        </w:trPr>
        <w:tc>
          <w:tcPr>
            <w:tcW w:w="644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right w:val="single" w:sz="8" w:color="004483"/>
            </w:tcBorders>
            <w:shd w:val="clear" w:color="auto" w:fill="004483"/>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960" w:type="dxa"/>
            <w:vAlign w:val="bottom"/>
            <w:tcBorders>
              <w:bottom w:val="single" w:sz="8" w:color="004483"/>
            </w:tcBorders>
            <w:shd w:val="clear" w:color="auto" w:fill="004483"/>
          </w:tcPr>
          <w:p>
            <w:pPr>
              <w:spacing w:after="0"/>
              <w:rPr>
                <w:sz w:val="2"/>
                <w:szCs w:val="2"/>
                <w:color w:val="auto"/>
              </w:rPr>
            </w:pPr>
          </w:p>
        </w:tc>
      </w:tr>
      <w:tr>
        <w:trPr>
          <w:trHeight w:val="183"/>
        </w:trPr>
        <w:tc>
          <w:tcPr>
            <w:tcW w:w="6440" w:type="dxa"/>
            <w:vAlign w:val="bottom"/>
          </w:tcPr>
          <w:p>
            <w:pPr>
              <w:ind w:left="380"/>
              <w:spacing w:after="0" w:line="183" w:lineRule="exact"/>
              <w:rPr>
                <w:sz w:val="20"/>
                <w:szCs w:val="20"/>
                <w:color w:val="auto"/>
              </w:rPr>
            </w:pPr>
            <w:r>
              <w:rPr>
                <w:rFonts w:ascii="Arial" w:cs="Arial" w:eastAsia="Arial" w:hAnsi="Arial"/>
                <w:sz w:val="16"/>
                <w:szCs w:val="16"/>
                <w:b w:val="1"/>
                <w:bCs w:val="1"/>
                <w:color w:val="auto"/>
              </w:rPr>
              <w:t>Net Earnings</w:t>
            </w: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374,247</w:t>
            </w:r>
          </w:p>
        </w:tc>
        <w:tc>
          <w:tcPr>
            <w:tcW w:w="140" w:type="dxa"/>
            <w:vAlign w:val="bottom"/>
          </w:tcPr>
          <w:p>
            <w:pPr>
              <w:spacing w:after="0"/>
              <w:rPr>
                <w:sz w:val="15"/>
                <w:szCs w:val="15"/>
                <w:color w:val="auto"/>
              </w:rPr>
            </w:pP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339,444</w:t>
            </w:r>
          </w:p>
        </w:tc>
        <w:tc>
          <w:tcPr>
            <w:tcW w:w="160" w:type="dxa"/>
            <w:vAlign w:val="bottom"/>
          </w:tcPr>
          <w:p>
            <w:pPr>
              <w:spacing w:after="0"/>
              <w:rPr>
                <w:sz w:val="15"/>
                <w:szCs w:val="15"/>
                <w:color w:val="auto"/>
              </w:rPr>
            </w:pPr>
          </w:p>
        </w:tc>
        <w:tc>
          <w:tcPr>
            <w:tcW w:w="520" w:type="dxa"/>
            <w:vAlign w:val="bottom"/>
            <w:tcBorders>
              <w:bottom w:val="single" w:sz="8" w:color="004483"/>
            </w:tcBorders>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70,894</w:t>
            </w:r>
          </w:p>
        </w:tc>
      </w:tr>
      <w:tr>
        <w:trPr>
          <w:trHeight w:val="20"/>
        </w:trPr>
        <w:tc>
          <w:tcPr>
            <w:tcW w:w="64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r>
        <w:trPr>
          <w:trHeight w:val="170"/>
        </w:trPr>
        <w:tc>
          <w:tcPr>
            <w:tcW w:w="6440" w:type="dxa"/>
            <w:vAlign w:val="bottom"/>
            <w:tcBorders>
              <w:bottom w:val="single" w:sz="8" w:color="A6A6A6"/>
            </w:tcBorders>
          </w:tcPr>
          <w:p>
            <w:pPr>
              <w:spacing w:after="0"/>
              <w:rPr>
                <w:sz w:val="14"/>
                <w:szCs w:val="14"/>
                <w:color w:val="auto"/>
              </w:rPr>
            </w:pPr>
          </w:p>
        </w:tc>
        <w:tc>
          <w:tcPr>
            <w:tcW w:w="380" w:type="dxa"/>
            <w:vAlign w:val="bottom"/>
            <w:tcBorders>
              <w:bottom w:val="single" w:sz="8" w:color="A6A6A6"/>
            </w:tcBorders>
          </w:tcPr>
          <w:p>
            <w:pPr>
              <w:spacing w:after="0"/>
              <w:rPr>
                <w:sz w:val="14"/>
                <w:szCs w:val="14"/>
                <w:color w:val="auto"/>
              </w:rPr>
            </w:pPr>
          </w:p>
        </w:tc>
        <w:tc>
          <w:tcPr>
            <w:tcW w:w="1140" w:type="dxa"/>
            <w:vAlign w:val="bottom"/>
            <w:tcBorders>
              <w:bottom w:val="single" w:sz="8" w:color="A6A6A6"/>
            </w:tcBorders>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380" w:type="dxa"/>
            <w:vAlign w:val="bottom"/>
            <w:tcBorders>
              <w:bottom w:val="single" w:sz="8" w:color="A6A6A6"/>
            </w:tcBorders>
          </w:tcPr>
          <w:p>
            <w:pPr>
              <w:spacing w:after="0"/>
              <w:rPr>
                <w:sz w:val="14"/>
                <w:szCs w:val="14"/>
                <w:color w:val="auto"/>
              </w:rPr>
            </w:pPr>
          </w:p>
        </w:tc>
        <w:tc>
          <w:tcPr>
            <w:tcW w:w="112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520" w:type="dxa"/>
            <w:vAlign w:val="bottom"/>
            <w:tcBorders>
              <w:bottom w:val="single" w:sz="8" w:color="A6A6A6"/>
            </w:tcBorders>
          </w:tcPr>
          <w:p>
            <w:pPr>
              <w:spacing w:after="0"/>
              <w:rPr>
                <w:sz w:val="14"/>
                <w:szCs w:val="14"/>
                <w:color w:val="auto"/>
              </w:rPr>
            </w:pPr>
          </w:p>
        </w:tc>
        <w:tc>
          <w:tcPr>
            <w:tcW w:w="960" w:type="dxa"/>
            <w:vAlign w:val="bottom"/>
            <w:tcBorders>
              <w:bottom w:val="single" w:sz="8" w:color="A6A6A6"/>
            </w:tcBorders>
          </w:tcPr>
          <w:p>
            <w:pPr>
              <w:spacing w:after="0"/>
              <w:rPr>
                <w:sz w:val="14"/>
                <w:szCs w:val="14"/>
                <w:color w:val="auto"/>
              </w:rPr>
            </w:pPr>
          </w:p>
        </w:tc>
      </w:tr>
      <w:tr>
        <w:trPr>
          <w:trHeight w:val="183"/>
        </w:trPr>
        <w:tc>
          <w:tcPr>
            <w:tcW w:w="64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BASIC EARNINGS (LOSS) PER SHARE</w:t>
            </w:r>
          </w:p>
        </w:tc>
        <w:tc>
          <w:tcPr>
            <w:tcW w:w="3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spacing w:after="0"/>
              <w:rPr>
                <w:sz w:val="15"/>
                <w:szCs w:val="15"/>
                <w:color w:val="auto"/>
              </w:rPr>
            </w:pPr>
          </w:p>
        </w:tc>
      </w:tr>
      <w:tr>
        <w:trPr>
          <w:trHeight w:val="183"/>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Continuing Operations</w:t>
            </w:r>
          </w:p>
        </w:tc>
        <w:tc>
          <w:tcPr>
            <w:tcW w:w="380" w:type="dxa"/>
            <w:vAlign w:val="bottom"/>
            <w:tcBorders>
              <w:bottom w:val="single" w:sz="8" w:color="A6A6A6"/>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9.23</w:t>
            </w:r>
          </w:p>
        </w:tc>
        <w:tc>
          <w:tcPr>
            <w:tcW w:w="520" w:type="dxa"/>
            <w:vAlign w:val="bottom"/>
            <w:tcBorders>
              <w:bottom w:val="single" w:sz="8" w:color="A6A6A6"/>
            </w:tcBorders>
            <w:gridSpan w:val="2"/>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8.04</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5.50</w:t>
            </w:r>
          </w:p>
        </w:tc>
      </w:tr>
      <w:tr>
        <w:trPr>
          <w:trHeight w:val="209"/>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Discontinued Operations</w:t>
            </w:r>
          </w:p>
        </w:tc>
        <w:tc>
          <w:tcPr>
            <w:tcW w:w="3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0.13</w:t>
            </w: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(3.81 )</w:t>
            </w:r>
          </w:p>
        </w:tc>
      </w:tr>
      <w:tr>
        <w:trPr>
          <w:trHeight w:val="183"/>
        </w:trPr>
        <w:tc>
          <w:tcPr>
            <w:tcW w:w="6440" w:type="dxa"/>
            <w:vAlign w:val="bottom"/>
          </w:tcPr>
          <w:p>
            <w:pPr>
              <w:ind w:left="200"/>
              <w:spacing w:after="0" w:line="183" w:lineRule="exact"/>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color w:val="auto"/>
              </w:rPr>
              <w:t>9.23</w:t>
            </w:r>
          </w:p>
        </w:tc>
        <w:tc>
          <w:tcPr>
            <w:tcW w:w="140" w:type="dxa"/>
            <w:vAlign w:val="bottom"/>
          </w:tcPr>
          <w:p>
            <w:pPr>
              <w:spacing w:after="0"/>
              <w:rPr>
                <w:sz w:val="15"/>
                <w:szCs w:val="15"/>
                <w:color w:val="auto"/>
              </w:rPr>
            </w:pP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8.17</w:t>
            </w:r>
          </w:p>
        </w:tc>
        <w:tc>
          <w:tcPr>
            <w:tcW w:w="160" w:type="dxa"/>
            <w:vAlign w:val="bottom"/>
          </w:tcPr>
          <w:p>
            <w:pPr>
              <w:spacing w:after="0"/>
              <w:rPr>
                <w:sz w:val="15"/>
                <w:szCs w:val="15"/>
                <w:color w:val="auto"/>
              </w:rPr>
            </w:pPr>
          </w:p>
        </w:tc>
        <w:tc>
          <w:tcPr>
            <w:tcW w:w="520" w:type="dxa"/>
            <w:vAlign w:val="bottom"/>
            <w:tcBorders>
              <w:bottom w:val="single" w:sz="8" w:color="004483"/>
            </w:tcBorders>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1.69</w:t>
            </w:r>
          </w:p>
        </w:tc>
      </w:tr>
      <w:tr>
        <w:trPr>
          <w:trHeight w:val="20"/>
        </w:trPr>
        <w:tc>
          <w:tcPr>
            <w:tcW w:w="64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r>
        <w:trPr>
          <w:trHeight w:val="169"/>
        </w:trPr>
        <w:tc>
          <w:tcPr>
            <w:tcW w:w="644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DILUTED EARNINGS (LOSS) PER SHARE</w:t>
            </w:r>
          </w:p>
        </w:tc>
        <w:tc>
          <w:tcPr>
            <w:tcW w:w="380" w:type="dxa"/>
            <w:vAlign w:val="bottom"/>
            <w:tcBorders>
              <w:bottom w:val="single" w:sz="8" w:color="A6A6A6"/>
            </w:tcBorders>
          </w:tcPr>
          <w:p>
            <w:pPr>
              <w:spacing w:after="0"/>
              <w:rPr>
                <w:sz w:val="14"/>
                <w:szCs w:val="14"/>
                <w:color w:val="auto"/>
              </w:rPr>
            </w:pPr>
          </w:p>
        </w:tc>
        <w:tc>
          <w:tcPr>
            <w:tcW w:w="1140" w:type="dxa"/>
            <w:vAlign w:val="bottom"/>
            <w:tcBorders>
              <w:bottom w:val="single" w:sz="8" w:color="A6A6A6"/>
            </w:tcBorders>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380" w:type="dxa"/>
            <w:vAlign w:val="bottom"/>
            <w:tcBorders>
              <w:bottom w:val="single" w:sz="8" w:color="A6A6A6"/>
            </w:tcBorders>
          </w:tcPr>
          <w:p>
            <w:pPr>
              <w:spacing w:after="0"/>
              <w:rPr>
                <w:sz w:val="14"/>
                <w:szCs w:val="14"/>
                <w:color w:val="auto"/>
              </w:rPr>
            </w:pPr>
          </w:p>
        </w:tc>
        <w:tc>
          <w:tcPr>
            <w:tcW w:w="112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520" w:type="dxa"/>
            <w:vAlign w:val="bottom"/>
            <w:tcBorders>
              <w:bottom w:val="single" w:sz="8" w:color="A6A6A6"/>
            </w:tcBorders>
          </w:tcPr>
          <w:p>
            <w:pPr>
              <w:spacing w:after="0"/>
              <w:rPr>
                <w:sz w:val="14"/>
                <w:szCs w:val="14"/>
                <w:color w:val="auto"/>
              </w:rPr>
            </w:pPr>
          </w:p>
        </w:tc>
        <w:tc>
          <w:tcPr>
            <w:tcW w:w="960" w:type="dxa"/>
            <w:vAlign w:val="bottom"/>
            <w:tcBorders>
              <w:bottom w:val="single" w:sz="8" w:color="A6A6A6"/>
            </w:tcBorders>
          </w:tcPr>
          <w:p>
            <w:pPr>
              <w:spacing w:after="0"/>
              <w:rPr>
                <w:sz w:val="14"/>
                <w:szCs w:val="14"/>
                <w:color w:val="auto"/>
              </w:rPr>
            </w:pPr>
          </w:p>
        </w:tc>
      </w:tr>
      <w:tr>
        <w:trPr>
          <w:trHeight w:val="183"/>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Continuing Operations</w:t>
            </w:r>
          </w:p>
        </w:tc>
        <w:tc>
          <w:tcPr>
            <w:tcW w:w="380" w:type="dxa"/>
            <w:vAlign w:val="bottom"/>
            <w:tcBorders>
              <w:bottom w:val="single" w:sz="8" w:color="A6A6A6"/>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9.14</w:t>
            </w:r>
          </w:p>
        </w:tc>
        <w:tc>
          <w:tcPr>
            <w:tcW w:w="520" w:type="dxa"/>
            <w:vAlign w:val="bottom"/>
            <w:tcBorders>
              <w:bottom w:val="single" w:sz="8" w:color="A6A6A6"/>
            </w:tcBorders>
            <w:gridSpan w:val="2"/>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7.99</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5.47</w:t>
            </w:r>
          </w:p>
        </w:tc>
      </w:tr>
      <w:tr>
        <w:trPr>
          <w:trHeight w:val="210"/>
        </w:trPr>
        <w:tc>
          <w:tcPr>
            <w:tcW w:w="64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Discontinued Operations</w:t>
            </w:r>
          </w:p>
        </w:tc>
        <w:tc>
          <w:tcPr>
            <w:tcW w:w="3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0.13</w:t>
            </w: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(3.79 )</w:t>
            </w:r>
          </w:p>
        </w:tc>
      </w:tr>
      <w:tr>
        <w:trPr>
          <w:trHeight w:val="183"/>
        </w:trPr>
        <w:tc>
          <w:tcPr>
            <w:tcW w:w="6440" w:type="dxa"/>
            <w:vAlign w:val="bottom"/>
          </w:tcPr>
          <w:p>
            <w:pPr>
              <w:ind w:left="200"/>
              <w:spacing w:after="0" w:line="183" w:lineRule="exact"/>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color w:val="auto"/>
              </w:rPr>
              <w:t>9.14</w:t>
            </w:r>
          </w:p>
        </w:tc>
        <w:tc>
          <w:tcPr>
            <w:tcW w:w="140" w:type="dxa"/>
            <w:vAlign w:val="bottom"/>
          </w:tcPr>
          <w:p>
            <w:pPr>
              <w:spacing w:after="0"/>
              <w:rPr>
                <w:sz w:val="15"/>
                <w:szCs w:val="15"/>
                <w:color w:val="auto"/>
              </w:rPr>
            </w:pPr>
          </w:p>
        </w:tc>
        <w:tc>
          <w:tcPr>
            <w:tcW w:w="380" w:type="dxa"/>
            <w:vAlign w:val="bottom"/>
            <w:tcBorders>
              <w:bottom w:val="single" w:sz="8" w:color="00448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8.12</w:t>
            </w:r>
          </w:p>
        </w:tc>
        <w:tc>
          <w:tcPr>
            <w:tcW w:w="160" w:type="dxa"/>
            <w:vAlign w:val="bottom"/>
          </w:tcPr>
          <w:p>
            <w:pPr>
              <w:spacing w:after="0"/>
              <w:rPr>
                <w:sz w:val="15"/>
                <w:szCs w:val="15"/>
                <w:color w:val="auto"/>
              </w:rPr>
            </w:pPr>
          </w:p>
        </w:tc>
        <w:tc>
          <w:tcPr>
            <w:tcW w:w="520" w:type="dxa"/>
            <w:vAlign w:val="bottom"/>
            <w:tcBorders>
              <w:bottom w:val="single" w:sz="8" w:color="004483"/>
            </w:tcBorders>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1.68</w:t>
            </w:r>
          </w:p>
        </w:tc>
      </w:tr>
      <w:tr>
        <w:trPr>
          <w:trHeight w:val="20"/>
        </w:trPr>
        <w:tc>
          <w:tcPr>
            <w:tcW w:w="64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r>
        <w:trPr>
          <w:trHeight w:val="169"/>
        </w:trPr>
        <w:tc>
          <w:tcPr>
            <w:tcW w:w="644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AVERAGE SHARES OUTSTANDING</w:t>
            </w:r>
          </w:p>
        </w:tc>
        <w:tc>
          <w:tcPr>
            <w:tcW w:w="380" w:type="dxa"/>
            <w:vAlign w:val="bottom"/>
            <w:tcBorders>
              <w:bottom w:val="single" w:sz="8" w:color="A6A6A6"/>
            </w:tcBorders>
          </w:tcPr>
          <w:p>
            <w:pPr>
              <w:spacing w:after="0"/>
              <w:rPr>
                <w:sz w:val="14"/>
                <w:szCs w:val="14"/>
                <w:color w:val="auto"/>
              </w:rPr>
            </w:pPr>
          </w:p>
        </w:tc>
        <w:tc>
          <w:tcPr>
            <w:tcW w:w="1140" w:type="dxa"/>
            <w:vAlign w:val="bottom"/>
            <w:tcBorders>
              <w:bottom w:val="single" w:sz="8" w:color="A6A6A6"/>
            </w:tcBorders>
          </w:tcPr>
          <w:p>
            <w:pPr>
              <w:spacing w:after="0"/>
              <w:rPr>
                <w:sz w:val="14"/>
                <w:szCs w:val="14"/>
                <w:color w:val="auto"/>
              </w:rPr>
            </w:pPr>
          </w:p>
        </w:tc>
        <w:tc>
          <w:tcPr>
            <w:tcW w:w="140" w:type="dxa"/>
            <w:vAlign w:val="bottom"/>
            <w:tcBorders>
              <w:bottom w:val="single" w:sz="8" w:color="A6A6A6"/>
            </w:tcBorders>
          </w:tcPr>
          <w:p>
            <w:pPr>
              <w:spacing w:after="0"/>
              <w:rPr>
                <w:sz w:val="14"/>
                <w:szCs w:val="14"/>
                <w:color w:val="auto"/>
              </w:rPr>
            </w:pPr>
          </w:p>
        </w:tc>
        <w:tc>
          <w:tcPr>
            <w:tcW w:w="380" w:type="dxa"/>
            <w:vAlign w:val="bottom"/>
            <w:tcBorders>
              <w:bottom w:val="single" w:sz="8" w:color="A6A6A6"/>
            </w:tcBorders>
          </w:tcPr>
          <w:p>
            <w:pPr>
              <w:spacing w:after="0"/>
              <w:rPr>
                <w:sz w:val="14"/>
                <w:szCs w:val="14"/>
                <w:color w:val="auto"/>
              </w:rPr>
            </w:pPr>
          </w:p>
        </w:tc>
        <w:tc>
          <w:tcPr>
            <w:tcW w:w="112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520" w:type="dxa"/>
            <w:vAlign w:val="bottom"/>
            <w:tcBorders>
              <w:bottom w:val="single" w:sz="8" w:color="A6A6A6"/>
            </w:tcBorders>
          </w:tcPr>
          <w:p>
            <w:pPr>
              <w:spacing w:after="0"/>
              <w:rPr>
                <w:sz w:val="14"/>
                <w:szCs w:val="14"/>
                <w:color w:val="auto"/>
              </w:rPr>
            </w:pPr>
          </w:p>
        </w:tc>
        <w:tc>
          <w:tcPr>
            <w:tcW w:w="960" w:type="dxa"/>
            <w:vAlign w:val="bottom"/>
            <w:tcBorders>
              <w:bottom w:val="single" w:sz="8" w:color="A6A6A6"/>
            </w:tcBorders>
          </w:tcPr>
          <w:p>
            <w:pPr>
              <w:spacing w:after="0"/>
              <w:rPr>
                <w:sz w:val="14"/>
                <w:szCs w:val="14"/>
                <w:color w:val="auto"/>
              </w:rPr>
            </w:pPr>
          </w:p>
        </w:tc>
      </w:tr>
      <w:tr>
        <w:trPr>
          <w:trHeight w:val="183"/>
        </w:trPr>
        <w:tc>
          <w:tcPr>
            <w:tcW w:w="6440" w:type="dxa"/>
            <w:vAlign w:val="bottom"/>
          </w:tcPr>
          <w:p>
            <w:pPr>
              <w:ind w:left="200"/>
              <w:spacing w:after="0" w:line="183" w:lineRule="exact"/>
              <w:rPr>
                <w:sz w:val="20"/>
                <w:szCs w:val="20"/>
                <w:color w:val="auto"/>
              </w:rPr>
            </w:pPr>
            <w:r>
              <w:rPr>
                <w:rFonts w:ascii="Arial" w:cs="Arial" w:eastAsia="Arial" w:hAnsi="Arial"/>
                <w:sz w:val="16"/>
                <w:szCs w:val="16"/>
                <w:color w:val="004483"/>
              </w:rPr>
              <w:t>Basic</w:t>
            </w:r>
          </w:p>
        </w:tc>
        <w:tc>
          <w:tcPr>
            <w:tcW w:w="38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color w:val="auto"/>
              </w:rPr>
              <w:t>40,547,048</w:t>
            </w:r>
          </w:p>
        </w:tc>
        <w:tc>
          <w:tcPr>
            <w:tcW w:w="140" w:type="dxa"/>
            <w:vAlign w:val="bottom"/>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41,543,067</w:t>
            </w:r>
          </w:p>
        </w:tc>
        <w:tc>
          <w:tcPr>
            <w:tcW w:w="160" w:type="dxa"/>
            <w:vAlign w:val="bottom"/>
          </w:tcPr>
          <w:p>
            <w:pPr>
              <w:spacing w:after="0"/>
              <w:rPr>
                <w:sz w:val="15"/>
                <w:szCs w:val="15"/>
                <w:color w:val="auto"/>
              </w:rPr>
            </w:pPr>
          </w:p>
        </w:tc>
        <w:tc>
          <w:tcPr>
            <w:tcW w:w="52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42,021,892</w:t>
            </w:r>
          </w:p>
        </w:tc>
      </w:tr>
      <w:tr>
        <w:trPr>
          <w:trHeight w:val="20"/>
        </w:trPr>
        <w:tc>
          <w:tcPr>
            <w:tcW w:w="64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r>
        <w:trPr>
          <w:trHeight w:val="170"/>
        </w:trPr>
        <w:tc>
          <w:tcPr>
            <w:tcW w:w="6440" w:type="dxa"/>
            <w:vAlign w:val="bottom"/>
          </w:tcPr>
          <w:p>
            <w:pPr>
              <w:ind w:left="200"/>
              <w:spacing w:after="0" w:line="170" w:lineRule="exact"/>
              <w:rPr>
                <w:sz w:val="20"/>
                <w:szCs w:val="20"/>
                <w:color w:val="auto"/>
              </w:rPr>
            </w:pPr>
            <w:r>
              <w:rPr>
                <w:rFonts w:ascii="Arial" w:cs="Arial" w:eastAsia="Arial" w:hAnsi="Arial"/>
                <w:sz w:val="16"/>
                <w:szCs w:val="16"/>
                <w:color w:val="004483"/>
              </w:rPr>
              <w:t>Diluted</w:t>
            </w:r>
          </w:p>
        </w:tc>
        <w:tc>
          <w:tcPr>
            <w:tcW w:w="380" w:type="dxa"/>
            <w:vAlign w:val="bottom"/>
            <w:tcBorders>
              <w:bottom w:val="single" w:sz="8" w:color="004483"/>
            </w:tcBorders>
          </w:tcPr>
          <w:p>
            <w:pPr>
              <w:spacing w:after="0"/>
              <w:rPr>
                <w:sz w:val="14"/>
                <w:szCs w:val="14"/>
                <w:color w:val="auto"/>
              </w:rPr>
            </w:pPr>
          </w:p>
        </w:tc>
        <w:tc>
          <w:tcPr>
            <w:tcW w:w="1140" w:type="dxa"/>
            <w:vAlign w:val="bottom"/>
            <w:tcBorders>
              <w:bottom w:val="single" w:sz="8" w:color="004483"/>
            </w:tcBorders>
          </w:tcPr>
          <w:p>
            <w:pPr>
              <w:jc w:val="right"/>
              <w:ind w:right="60"/>
              <w:spacing w:after="0" w:line="170" w:lineRule="exact"/>
              <w:rPr>
                <w:sz w:val="20"/>
                <w:szCs w:val="20"/>
                <w:color w:val="auto"/>
              </w:rPr>
            </w:pPr>
            <w:r>
              <w:rPr>
                <w:rFonts w:ascii="Arial" w:cs="Arial" w:eastAsia="Arial" w:hAnsi="Arial"/>
                <w:sz w:val="16"/>
                <w:szCs w:val="16"/>
                <w:color w:val="auto"/>
              </w:rPr>
              <w:t>40,929,712</w:t>
            </w:r>
          </w:p>
        </w:tc>
        <w:tc>
          <w:tcPr>
            <w:tcW w:w="140" w:type="dxa"/>
            <w:vAlign w:val="bottom"/>
          </w:tcPr>
          <w:p>
            <w:pPr>
              <w:spacing w:after="0"/>
              <w:rPr>
                <w:sz w:val="14"/>
                <w:szCs w:val="14"/>
                <w:color w:val="auto"/>
              </w:rPr>
            </w:pPr>
          </w:p>
        </w:tc>
        <w:tc>
          <w:tcPr>
            <w:tcW w:w="380" w:type="dxa"/>
            <w:vAlign w:val="bottom"/>
            <w:tcBorders>
              <w:bottom w:val="single" w:sz="8" w:color="004483"/>
            </w:tcBorders>
          </w:tcPr>
          <w:p>
            <w:pPr>
              <w:spacing w:after="0"/>
              <w:rPr>
                <w:sz w:val="14"/>
                <w:szCs w:val="14"/>
                <w:color w:val="auto"/>
              </w:rPr>
            </w:pPr>
          </w:p>
        </w:tc>
        <w:tc>
          <w:tcPr>
            <w:tcW w:w="1120" w:type="dxa"/>
            <w:vAlign w:val="bottom"/>
            <w:tcBorders>
              <w:bottom w:val="single" w:sz="8" w:color="004483"/>
            </w:tcBorders>
          </w:tcPr>
          <w:p>
            <w:pPr>
              <w:jc w:val="right"/>
              <w:ind w:right="40"/>
              <w:spacing w:after="0" w:line="170" w:lineRule="exact"/>
              <w:rPr>
                <w:sz w:val="20"/>
                <w:szCs w:val="20"/>
                <w:color w:val="auto"/>
              </w:rPr>
            </w:pPr>
            <w:r>
              <w:rPr>
                <w:rFonts w:ascii="Arial" w:cs="Arial" w:eastAsia="Arial" w:hAnsi="Arial"/>
                <w:sz w:val="16"/>
                <w:szCs w:val="16"/>
                <w:color w:val="auto"/>
              </w:rPr>
              <w:t>41,826,709</w:t>
            </w:r>
          </w:p>
        </w:tc>
        <w:tc>
          <w:tcPr>
            <w:tcW w:w="160" w:type="dxa"/>
            <w:vAlign w:val="bottom"/>
          </w:tcPr>
          <w:p>
            <w:pPr>
              <w:spacing w:after="0"/>
              <w:rPr>
                <w:sz w:val="14"/>
                <w:szCs w:val="14"/>
                <w:color w:val="auto"/>
              </w:rPr>
            </w:pPr>
          </w:p>
        </w:tc>
        <w:tc>
          <w:tcPr>
            <w:tcW w:w="520" w:type="dxa"/>
            <w:vAlign w:val="bottom"/>
            <w:tcBorders>
              <w:bottom w:val="single" w:sz="8" w:color="004483"/>
            </w:tcBorders>
          </w:tcPr>
          <w:p>
            <w:pPr>
              <w:spacing w:after="0"/>
              <w:rPr>
                <w:sz w:val="14"/>
                <w:szCs w:val="14"/>
                <w:color w:val="auto"/>
              </w:rPr>
            </w:pPr>
          </w:p>
        </w:tc>
        <w:tc>
          <w:tcPr>
            <w:tcW w:w="960" w:type="dxa"/>
            <w:vAlign w:val="bottom"/>
            <w:tcBorders>
              <w:bottom w:val="single" w:sz="8" w:color="004483"/>
            </w:tcBorders>
          </w:tcPr>
          <w:p>
            <w:pPr>
              <w:jc w:val="right"/>
              <w:ind w:right="40"/>
              <w:spacing w:after="0" w:line="170" w:lineRule="exact"/>
              <w:rPr>
                <w:sz w:val="20"/>
                <w:szCs w:val="20"/>
                <w:color w:val="auto"/>
              </w:rPr>
            </w:pPr>
            <w:r>
              <w:rPr>
                <w:rFonts w:ascii="Arial" w:cs="Arial" w:eastAsia="Arial" w:hAnsi="Arial"/>
                <w:sz w:val="16"/>
                <w:szCs w:val="16"/>
                <w:color w:val="auto"/>
              </w:rPr>
              <w:t>42,285,343</w:t>
            </w:r>
          </w:p>
        </w:tc>
      </w:tr>
      <w:tr>
        <w:trPr>
          <w:trHeight w:val="20"/>
        </w:trPr>
        <w:tc>
          <w:tcPr>
            <w:tcW w:w="64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r>
        <w:trPr>
          <w:trHeight w:val="170"/>
        </w:trPr>
        <w:tc>
          <w:tcPr>
            <w:tcW w:w="644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CASH DIVIDENDS PER SHARE</w:t>
            </w:r>
          </w:p>
        </w:tc>
        <w:tc>
          <w:tcPr>
            <w:tcW w:w="380" w:type="dxa"/>
            <w:vAlign w:val="bottom"/>
            <w:tcBorders>
              <w:bottom w:val="single" w:sz="8" w:color="004483"/>
            </w:tcBorders>
          </w:tcPr>
          <w:p>
            <w:pPr>
              <w:jc w:val="right"/>
              <w:ind w:right="199"/>
              <w:spacing w:after="0" w:line="170"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60"/>
              <w:spacing w:after="0" w:line="170" w:lineRule="exact"/>
              <w:rPr>
                <w:sz w:val="20"/>
                <w:szCs w:val="20"/>
                <w:color w:val="auto"/>
              </w:rPr>
            </w:pPr>
            <w:r>
              <w:rPr>
                <w:rFonts w:ascii="Arial" w:cs="Arial" w:eastAsia="Arial" w:hAnsi="Arial"/>
                <w:sz w:val="16"/>
                <w:szCs w:val="16"/>
                <w:b w:val="1"/>
                <w:bCs w:val="1"/>
                <w:color w:val="auto"/>
              </w:rPr>
              <w:t>0.75</w:t>
            </w:r>
          </w:p>
        </w:tc>
        <w:tc>
          <w:tcPr>
            <w:tcW w:w="140" w:type="dxa"/>
            <w:vAlign w:val="bottom"/>
          </w:tcPr>
          <w:p>
            <w:pPr>
              <w:spacing w:after="0"/>
              <w:rPr>
                <w:sz w:val="14"/>
                <w:szCs w:val="14"/>
                <w:color w:val="auto"/>
              </w:rPr>
            </w:pPr>
          </w:p>
        </w:tc>
        <w:tc>
          <w:tcPr>
            <w:tcW w:w="380" w:type="dxa"/>
            <w:vAlign w:val="bottom"/>
            <w:tcBorders>
              <w:bottom w:val="single" w:sz="8" w:color="004483"/>
            </w:tcBorders>
          </w:tcPr>
          <w:p>
            <w:pPr>
              <w:jc w:val="right"/>
              <w:ind w:right="199"/>
              <w:spacing w:after="0" w:line="170"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40"/>
              <w:spacing w:after="0" w:line="170" w:lineRule="exact"/>
              <w:rPr>
                <w:sz w:val="20"/>
                <w:szCs w:val="20"/>
                <w:color w:val="auto"/>
              </w:rPr>
            </w:pPr>
            <w:r>
              <w:rPr>
                <w:rFonts w:ascii="Arial" w:cs="Arial" w:eastAsia="Arial" w:hAnsi="Arial"/>
                <w:sz w:val="16"/>
                <w:szCs w:val="16"/>
                <w:b w:val="1"/>
                <w:bCs w:val="1"/>
                <w:color w:val="auto"/>
              </w:rPr>
              <w:t>0.10</w:t>
            </w:r>
          </w:p>
        </w:tc>
        <w:tc>
          <w:tcPr>
            <w:tcW w:w="160" w:type="dxa"/>
            <w:vAlign w:val="bottom"/>
          </w:tcPr>
          <w:p>
            <w:pPr>
              <w:spacing w:after="0"/>
              <w:rPr>
                <w:sz w:val="14"/>
                <w:szCs w:val="14"/>
                <w:color w:val="auto"/>
              </w:rPr>
            </w:pPr>
          </w:p>
        </w:tc>
        <w:tc>
          <w:tcPr>
            <w:tcW w:w="520" w:type="dxa"/>
            <w:vAlign w:val="bottom"/>
            <w:tcBorders>
              <w:bottom w:val="single" w:sz="8" w:color="004483"/>
            </w:tcBorders>
          </w:tcPr>
          <w:p>
            <w:pPr>
              <w:jc w:val="right"/>
              <w:ind w:right="364"/>
              <w:spacing w:after="0" w:line="169" w:lineRule="exact"/>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004483"/>
            </w:tcBorders>
          </w:tcPr>
          <w:p>
            <w:pPr>
              <w:jc w:val="right"/>
              <w:ind w:right="40"/>
              <w:spacing w:after="0" w:line="170" w:lineRule="exact"/>
              <w:rPr>
                <w:sz w:val="20"/>
                <w:szCs w:val="20"/>
                <w:color w:val="auto"/>
              </w:rPr>
            </w:pPr>
            <w:r>
              <w:rPr>
                <w:rFonts w:ascii="Arial" w:cs="Arial" w:eastAsia="Arial" w:hAnsi="Arial"/>
                <w:sz w:val="16"/>
                <w:szCs w:val="16"/>
                <w:b w:val="1"/>
                <w:bCs w:val="1"/>
                <w:color w:val="auto"/>
              </w:rPr>
              <w:t>0.40</w:t>
            </w:r>
          </w:p>
        </w:tc>
      </w:tr>
      <w:tr>
        <w:trPr>
          <w:trHeight w:val="20"/>
        </w:trPr>
        <w:tc>
          <w:tcPr>
            <w:tcW w:w="64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960" w:type="dxa"/>
            <w:vAlign w:val="bottom"/>
            <w:shd w:val="clear" w:color="auto" w:fill="004483"/>
          </w:tcPr>
          <w:p>
            <w:pPr>
              <w:spacing w:after="0"/>
              <w:rPr>
                <w:sz w:val="13"/>
                <w:szCs w:val="13"/>
                <w:color w:val="auto"/>
              </w:rPr>
            </w:pPr>
          </w:p>
        </w:tc>
        <w:tc>
          <w:tcPr>
            <w:tcW w:w="186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88"/>
              </w:rPr>
              <w:t>For the Years Ended March 31,</w:t>
            </w:r>
          </w:p>
        </w:tc>
        <w:tc>
          <w:tcPr>
            <w:tcW w:w="500" w:type="dxa"/>
            <w:vAlign w:val="bottom"/>
            <w:shd w:val="clear" w:color="auto" w:fill="004483"/>
          </w:tcPr>
          <w:p>
            <w:pPr>
              <w:spacing w:after="0"/>
              <w:rPr>
                <w:sz w:val="13"/>
                <w:szCs w:val="13"/>
                <w:color w:val="auto"/>
              </w:rPr>
            </w:pPr>
          </w:p>
        </w:tc>
        <w:tc>
          <w:tcPr>
            <w:tcW w:w="98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5"/>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jc w:val="right"/>
              <w:ind w:right="43"/>
              <w:spacing w:after="0" w:line="13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50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374,247</w:t>
            </w:r>
          </w:p>
        </w:tc>
        <w:tc>
          <w:tcPr>
            <w:tcW w:w="34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5"/>
              <w:spacing w:after="0"/>
              <w:rPr>
                <w:sz w:val="20"/>
                <w:szCs w:val="20"/>
                <w:color w:val="auto"/>
              </w:rPr>
            </w:pPr>
            <w:r>
              <w:rPr>
                <w:rFonts w:ascii="Arial" w:cs="Arial" w:eastAsia="Arial" w:hAnsi="Arial"/>
                <w:sz w:val="16"/>
                <w:szCs w:val="16"/>
                <w:color w:val="auto"/>
              </w:rPr>
              <w:t>339,444</w:t>
            </w:r>
          </w:p>
        </w:tc>
        <w:tc>
          <w:tcPr>
            <w:tcW w:w="160" w:type="dxa"/>
            <w:vAlign w:val="bottom"/>
            <w:tcBorders>
              <w:bottom w:val="single" w:sz="8" w:color="A6A6A6"/>
            </w:tcBorders>
          </w:tcPr>
          <w:p>
            <w:pPr>
              <w:spacing w:after="0"/>
              <w:rPr>
                <w:sz w:val="16"/>
                <w:szCs w:val="16"/>
                <w:color w:val="auto"/>
              </w:rPr>
            </w:pP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ind w:right="43"/>
              <w:spacing w:after="0"/>
              <w:rPr>
                <w:sz w:val="20"/>
                <w:szCs w:val="20"/>
                <w:color w:val="auto"/>
              </w:rPr>
            </w:pPr>
            <w:r>
              <w:rPr>
                <w:rFonts w:ascii="Arial" w:cs="Arial" w:eastAsia="Arial" w:hAnsi="Arial"/>
                <w:sz w:val="16"/>
                <w:szCs w:val="16"/>
                <w:color w:val="auto"/>
              </w:rPr>
              <w:t>70,894</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Actuarial Change in Defined Benefit Plans:</w:t>
            </w:r>
          </w:p>
        </w:tc>
        <w:tc>
          <w:tcPr>
            <w:tcW w:w="46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480" w:type="dxa"/>
            <w:vAlign w:val="bottom"/>
          </w:tcPr>
          <w:p>
            <w:pPr>
              <w:ind w:left="200"/>
              <w:spacing w:after="0" w:line="146" w:lineRule="exact"/>
              <w:rPr>
                <w:sz w:val="20"/>
                <w:szCs w:val="20"/>
                <w:color w:val="auto"/>
              </w:rPr>
            </w:pPr>
            <w:r>
              <w:rPr>
                <w:rFonts w:ascii="Arial" w:cs="Arial" w:eastAsia="Arial" w:hAnsi="Arial"/>
                <w:sz w:val="16"/>
                <w:szCs w:val="16"/>
                <w:color w:val="004483"/>
              </w:rPr>
              <w:t>Unrealized Gain During the Period, net of tax expense</w:t>
            </w:r>
          </w:p>
        </w:tc>
        <w:tc>
          <w:tcPr>
            <w:tcW w:w="4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right"/>
              <w:ind w:right="45"/>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vMerge w:val="restart"/>
          </w:tcPr>
          <w:p>
            <w:pPr>
              <w:jc w:val="right"/>
              <w:ind w:right="43"/>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99"/>
        </w:trPr>
        <w:tc>
          <w:tcPr>
            <w:tcW w:w="6480" w:type="dxa"/>
            <w:vAlign w:val="bottom"/>
            <w:tcBorders>
              <w:bottom w:val="single" w:sz="8" w:color="A6A6A6"/>
            </w:tcBorders>
          </w:tcPr>
          <w:p>
            <w:pPr>
              <w:ind w:left="320"/>
              <w:spacing w:after="0"/>
              <w:rPr>
                <w:sz w:val="20"/>
                <w:szCs w:val="20"/>
                <w:color w:val="auto"/>
              </w:rPr>
            </w:pPr>
            <w:r>
              <w:rPr>
                <w:rFonts w:ascii="Arial" w:cs="Arial" w:eastAsia="Arial" w:hAnsi="Arial"/>
                <w:sz w:val="16"/>
                <w:szCs w:val="16"/>
                <w:color w:val="004483"/>
              </w:rPr>
              <w:t>of $48, $33, and $41</w:t>
            </w:r>
          </w:p>
        </w:tc>
        <w:tc>
          <w:tcPr>
            <w:tcW w:w="46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vMerge w:val="continue"/>
          </w:tcPr>
          <w:p>
            <w:pPr>
              <w:spacing w:after="0"/>
              <w:rPr>
                <w:sz w:val="17"/>
                <w:szCs w:val="17"/>
                <w:color w:val="auto"/>
              </w:rPr>
            </w:pPr>
          </w:p>
        </w:tc>
        <w:tc>
          <w:tcPr>
            <w:tcW w:w="8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360" w:type="dxa"/>
            <w:vAlign w:val="bottom"/>
            <w:tcBorders>
              <w:bottom w:val="single" w:sz="8" w:color="A6A6A6"/>
            </w:tcBorders>
            <w:vMerge w:val="continue"/>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480" w:type="dxa"/>
            <w:vAlign w:val="bottom"/>
          </w:tcPr>
          <w:p>
            <w:pPr>
              <w:ind w:left="200"/>
              <w:spacing w:after="0" w:line="146" w:lineRule="exact"/>
              <w:rPr>
                <w:sz w:val="20"/>
                <w:szCs w:val="20"/>
                <w:color w:val="auto"/>
              </w:rPr>
            </w:pPr>
            <w:r>
              <w:rPr>
                <w:rFonts w:ascii="Arial" w:cs="Arial" w:eastAsia="Arial" w:hAnsi="Arial"/>
                <w:sz w:val="16"/>
                <w:szCs w:val="16"/>
                <w:color w:val="004483"/>
              </w:rPr>
              <w:t>Amortization of Net Actuarial Gain (Loss), net of tax (expense) benefit of $39,</w:t>
            </w:r>
          </w:p>
        </w:tc>
        <w:tc>
          <w:tcPr>
            <w:tcW w:w="4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(154 )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(396 )</w:t>
            </w:r>
          </w:p>
        </w:tc>
        <w:tc>
          <w:tcPr>
            <w:tcW w:w="0" w:type="dxa"/>
            <w:vAlign w:val="bottom"/>
          </w:tcPr>
          <w:p>
            <w:pPr>
              <w:spacing w:after="0"/>
              <w:rPr>
                <w:sz w:val="1"/>
                <w:szCs w:val="1"/>
                <w:color w:val="auto"/>
              </w:rPr>
            </w:pPr>
          </w:p>
        </w:tc>
      </w:tr>
      <w:tr>
        <w:trPr>
          <w:trHeight w:val="172"/>
        </w:trPr>
        <w:tc>
          <w:tcPr>
            <w:tcW w:w="6480" w:type="dxa"/>
            <w:vAlign w:val="bottom"/>
          </w:tcPr>
          <w:p>
            <w:pPr>
              <w:ind w:left="320"/>
              <w:spacing w:after="0" w:line="172" w:lineRule="exact"/>
              <w:rPr>
                <w:sz w:val="20"/>
                <w:szCs w:val="20"/>
                <w:color w:val="auto"/>
              </w:rPr>
            </w:pPr>
            <w:r>
              <w:rPr>
                <w:rFonts w:ascii="Arial" w:cs="Arial" w:eastAsia="Arial" w:hAnsi="Arial"/>
                <w:sz w:val="16"/>
                <w:szCs w:val="16"/>
                <w:color w:val="004483"/>
              </w:rPr>
              <w:t>$(49), and $(120)</w:t>
            </w:r>
          </w:p>
        </w:tc>
        <w:tc>
          <w:tcPr>
            <w:tcW w:w="4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960" w:type="dxa"/>
            <w:vAlign w:val="bottom"/>
            <w:tcBorders>
              <w:bottom w:val="single" w:sz="8" w:color="004483"/>
            </w:tcBorders>
            <w:shd w:val="clear" w:color="auto" w:fill="004483"/>
          </w:tcPr>
          <w:p>
            <w:pPr>
              <w:spacing w:after="0"/>
              <w:rPr>
                <w:sz w:val="2"/>
                <w:szCs w:val="2"/>
                <w:color w:val="auto"/>
              </w:rPr>
            </w:pPr>
          </w:p>
        </w:tc>
        <w:tc>
          <w:tcPr>
            <w:tcW w:w="8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Comprehensive Earnings</w:t>
            </w:r>
          </w:p>
        </w:tc>
        <w:tc>
          <w:tcPr>
            <w:tcW w:w="460" w:type="dxa"/>
            <w:vAlign w:val="bottom"/>
            <w:tcBorders>
              <w:bottom w:val="single" w:sz="8" w:color="004483"/>
            </w:tcBorders>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374,512</w:t>
            </w:r>
          </w:p>
        </w:tc>
        <w:tc>
          <w:tcPr>
            <w:tcW w:w="80" w:type="dxa"/>
            <w:vAlign w:val="bottom"/>
            <w:tcBorders>
              <w:bottom w:val="single" w:sz="8" w:color="004483"/>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5"/>
              <w:spacing w:after="0" w:line="183" w:lineRule="exact"/>
              <w:rPr>
                <w:sz w:val="20"/>
                <w:szCs w:val="20"/>
                <w:color w:val="auto"/>
              </w:rPr>
            </w:pPr>
            <w:r>
              <w:rPr>
                <w:rFonts w:ascii="Arial" w:cs="Arial" w:eastAsia="Arial" w:hAnsi="Arial"/>
                <w:sz w:val="16"/>
                <w:szCs w:val="16"/>
                <w:b w:val="1"/>
                <w:bCs w:val="1"/>
                <w:color w:val="auto"/>
              </w:rPr>
              <w:t>339,391</w:t>
            </w:r>
          </w:p>
        </w:tc>
        <w:tc>
          <w:tcPr>
            <w:tcW w:w="160" w:type="dxa"/>
            <w:vAlign w:val="bottom"/>
          </w:tcPr>
          <w:p>
            <w:pPr>
              <w:spacing w:after="0"/>
              <w:rPr>
                <w:sz w:val="15"/>
                <w:szCs w:val="15"/>
                <w:color w:val="auto"/>
              </w:rPr>
            </w:pPr>
          </w:p>
        </w:tc>
        <w:tc>
          <w:tcPr>
            <w:tcW w:w="50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b w:val="1"/>
                <w:bCs w:val="1"/>
                <w:color w:val="auto"/>
              </w:rPr>
              <w:t>70,629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EAGLE MATERIALS INC. AND SUBSIDIARIES CONSOLIDATED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540" w:type="dxa"/>
            <w:vAlign w:val="bottom"/>
            <w:shd w:val="clear" w:color="auto" w:fill="004483"/>
          </w:tcPr>
          <w:p>
            <w:pPr>
              <w:spacing w:after="0"/>
              <w:rPr>
                <w:sz w:val="13"/>
                <w:szCs w:val="13"/>
                <w:color w:val="auto"/>
              </w:rPr>
            </w:pPr>
          </w:p>
        </w:tc>
        <w:tc>
          <w:tcPr>
            <w:tcW w:w="2060" w:type="dxa"/>
            <w:vAlign w:val="bottom"/>
            <w:gridSpan w:val="3"/>
            <w:shd w:val="clear" w:color="auto" w:fill="004483"/>
          </w:tcPr>
          <w:p>
            <w:pPr>
              <w:jc w:val="right"/>
              <w:ind w:right="479"/>
              <w:spacing w:after="0"/>
              <w:rPr>
                <w:sz w:val="20"/>
                <w:szCs w:val="20"/>
                <w:color w:val="auto"/>
              </w:rPr>
            </w:pPr>
            <w:r>
              <w:rPr>
                <w:rFonts w:ascii="Arial" w:cs="Arial" w:eastAsia="Arial" w:hAnsi="Arial"/>
                <w:sz w:val="13"/>
                <w:szCs w:val="13"/>
                <w:b w:val="1"/>
                <w:bCs w:val="1"/>
                <w:color w:val="FFFFFF"/>
              </w:rPr>
              <w:t>March 31,</w:t>
            </w:r>
          </w:p>
        </w:tc>
        <w:tc>
          <w:tcPr>
            <w:tcW w:w="104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004483"/>
            </w:tcBorders>
          </w:tcPr>
          <w:p>
            <w:pPr>
              <w:spacing w:after="0"/>
              <w:rPr>
                <w:sz w:val="15"/>
                <w:szCs w:val="15"/>
                <w:color w:val="auto"/>
              </w:rPr>
            </w:pPr>
          </w:p>
        </w:tc>
        <w:tc>
          <w:tcPr>
            <w:tcW w:w="54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3"/>
          </w:tcPr>
          <w:p>
            <w:pPr>
              <w:jc w:val="right"/>
              <w:ind w:right="199"/>
              <w:spacing w:after="0"/>
              <w:rPr>
                <w:sz w:val="20"/>
                <w:szCs w:val="20"/>
                <w:color w:val="auto"/>
              </w:rPr>
            </w:pPr>
            <w:r>
              <w:rPr>
                <w:rFonts w:ascii="Arial" w:cs="Arial" w:eastAsia="Arial" w:hAnsi="Arial"/>
                <w:sz w:val="13"/>
                <w:szCs w:val="13"/>
                <w:color w:val="auto"/>
              </w:rPr>
              <w:t>(dollars in thousands)</w:t>
            </w:r>
          </w:p>
        </w:tc>
        <w:tc>
          <w:tcPr>
            <w:tcW w:w="104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ASSETS</w:t>
            </w:r>
          </w:p>
        </w:tc>
        <w:tc>
          <w:tcPr>
            <w:tcW w:w="540" w:type="dxa"/>
            <w:vAlign w:val="bottom"/>
            <w:tcBorders>
              <w:bottom w:val="single" w:sz="8" w:color="A6A6A6"/>
            </w:tcBorders>
          </w:tcPr>
          <w:p>
            <w:pPr>
              <w:spacing w:after="0"/>
              <w:rPr>
                <w:sz w:val="16"/>
                <w:szCs w:val="16"/>
                <w:color w:val="auto"/>
              </w:rPr>
            </w:pPr>
          </w:p>
        </w:tc>
        <w:tc>
          <w:tcPr>
            <w:tcW w:w="120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680" w:type="dxa"/>
            <w:vAlign w:val="bottom"/>
            <w:tcBorders>
              <w:bottom w:val="single" w:sz="8" w:color="A6A6A6"/>
            </w:tcBorders>
          </w:tcPr>
          <w:p>
            <w:pPr>
              <w:spacing w:after="0"/>
              <w:rPr>
                <w:sz w:val="16"/>
                <w:szCs w:val="16"/>
                <w:color w:val="auto"/>
              </w:rPr>
            </w:pPr>
          </w:p>
        </w:tc>
        <w:tc>
          <w:tcPr>
            <w:tcW w:w="104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Current Assets -</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Cash and Cash Equivalents</w:t>
            </w:r>
          </w:p>
        </w:tc>
        <w:tc>
          <w:tcPr>
            <w:tcW w:w="540" w:type="dxa"/>
            <w:vAlign w:val="bottom"/>
            <w:tcBorders>
              <w:bottom w:val="single" w:sz="8" w:color="A6A6A6"/>
            </w:tcBorders>
          </w:tcPr>
          <w:p>
            <w:pPr>
              <w:jc w:val="right"/>
              <w:ind w:right="35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19,416</w:t>
            </w:r>
          </w:p>
        </w:tc>
        <w:tc>
          <w:tcPr>
            <w:tcW w:w="860" w:type="dxa"/>
            <w:vAlign w:val="bottom"/>
            <w:tcBorders>
              <w:bottom w:val="single" w:sz="8" w:color="A6A6A6"/>
            </w:tcBorders>
            <w:gridSpan w:val="2"/>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263,520</w:t>
            </w:r>
          </w:p>
        </w:tc>
        <w:tc>
          <w:tcPr>
            <w:tcW w:w="0" w:type="dxa"/>
            <w:vAlign w:val="bottom"/>
          </w:tcPr>
          <w:p>
            <w:pPr>
              <w:spacing w:after="0"/>
              <w:rPr>
                <w:sz w:val="1"/>
                <w:szCs w:val="1"/>
                <w:color w:val="auto"/>
              </w:rPr>
            </w:pPr>
          </w:p>
        </w:tc>
      </w:tr>
      <w:tr>
        <w:trPr>
          <w:trHeight w:val="182"/>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Restricted Cash</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and Notes Receivable, net</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176,276</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147,133</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Inventories</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236,661</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235,749</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Income Tax Receivable</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7,202</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2,838</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Prepaid and Other Assets</w:t>
            </w:r>
          </w:p>
        </w:tc>
        <w:tc>
          <w:tcPr>
            <w:tcW w:w="540" w:type="dxa"/>
            <w:vAlign w:val="bottom"/>
            <w:tcBorders>
              <w:bottom w:val="single" w:sz="8" w:color="004483"/>
            </w:tcBorders>
          </w:tcPr>
          <w:p>
            <w:pPr>
              <w:spacing w:after="0"/>
              <w:rPr>
                <w:sz w:val="18"/>
                <w:szCs w:val="18"/>
                <w:color w:val="auto"/>
              </w:rPr>
            </w:pPr>
          </w:p>
        </w:tc>
        <w:tc>
          <w:tcPr>
            <w:tcW w:w="12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3,172</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Total Current Assets</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442,727</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661,689</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Property, Plant, and Equipment, net</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1,616,539</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1,659,100</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Notes Receivable</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8,485</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Investment in Joint Venture</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80,637</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75,399</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Lease Right-of-Use Assets</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23,856</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25,811</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Goodwill and Intangible Assets, net</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387,898</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392,315</w:t>
            </w: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color w:val="004483"/>
              </w:rPr>
              <w:t>Other Assets</w:t>
            </w:r>
          </w:p>
        </w:tc>
        <w:tc>
          <w:tcPr>
            <w:tcW w:w="540" w:type="dxa"/>
            <w:vAlign w:val="bottom"/>
          </w:tcPr>
          <w:p>
            <w:pPr>
              <w:spacing w:after="0"/>
              <w:rPr>
                <w:sz w:val="15"/>
                <w:szCs w:val="15"/>
                <w:color w:val="auto"/>
              </w:rPr>
            </w:pPr>
          </w:p>
        </w:tc>
        <w:tc>
          <w:tcPr>
            <w:tcW w:w="120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19,510</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15,948</w:t>
            </w:r>
          </w:p>
        </w:tc>
        <w:tc>
          <w:tcPr>
            <w:tcW w:w="0" w:type="dxa"/>
            <w:vAlign w:val="bottom"/>
          </w:tcPr>
          <w:p>
            <w:pPr>
              <w:spacing w:after="0"/>
              <w:rPr>
                <w:sz w:val="1"/>
                <w:szCs w:val="1"/>
                <w:color w:val="auto"/>
              </w:rPr>
            </w:pPr>
          </w:p>
        </w:tc>
      </w:tr>
      <w:tr>
        <w:trPr>
          <w:trHeight w:val="27"/>
        </w:trPr>
        <w:tc>
          <w:tcPr>
            <w:tcW w:w="7600" w:type="dxa"/>
            <w:vAlign w:val="bottom"/>
            <w:tcBorders>
              <w:bottom w:val="single" w:sz="8" w:color="A6A6A6"/>
            </w:tcBorders>
          </w:tcPr>
          <w:p>
            <w:pPr>
              <w:spacing w:after="0"/>
              <w:rPr>
                <w:sz w:val="2"/>
                <w:szCs w:val="2"/>
                <w:color w:val="auto"/>
              </w:rPr>
            </w:pPr>
          </w:p>
        </w:tc>
        <w:tc>
          <w:tcPr>
            <w:tcW w:w="540" w:type="dxa"/>
            <w:vAlign w:val="bottom"/>
            <w:tcBorders>
              <w:bottom w:val="single" w:sz="8" w:color="004483"/>
            </w:tcBorders>
            <w:shd w:val="clear" w:color="auto" w:fill="004483"/>
          </w:tcPr>
          <w:p>
            <w:pPr>
              <w:spacing w:after="0"/>
              <w:rPr>
                <w:sz w:val="2"/>
                <w:szCs w:val="2"/>
                <w:color w:val="auto"/>
              </w:rPr>
            </w:pPr>
          </w:p>
        </w:tc>
        <w:tc>
          <w:tcPr>
            <w:tcW w:w="120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680" w:type="dxa"/>
            <w:vAlign w:val="bottom"/>
            <w:tcBorders>
              <w:bottom w:val="single" w:sz="8" w:color="004483"/>
            </w:tcBorders>
            <w:shd w:val="clear" w:color="auto" w:fill="004483"/>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540" w:type="dxa"/>
            <w:vAlign w:val="bottom"/>
            <w:tcBorders>
              <w:bottom w:val="single" w:sz="8" w:color="004483"/>
            </w:tcBorders>
          </w:tcPr>
          <w:p>
            <w:pPr>
              <w:jc w:val="right"/>
              <w:ind w:right="359"/>
              <w:spacing w:after="0" w:line="183" w:lineRule="exact"/>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2,579,652</w:t>
            </w:r>
          </w:p>
        </w:tc>
        <w:tc>
          <w:tcPr>
            <w:tcW w:w="180" w:type="dxa"/>
            <w:vAlign w:val="bottom"/>
          </w:tcPr>
          <w:p>
            <w:pPr>
              <w:spacing w:after="0"/>
              <w:rPr>
                <w:sz w:val="15"/>
                <w:szCs w:val="15"/>
                <w:color w:val="auto"/>
              </w:rPr>
            </w:pPr>
          </w:p>
        </w:tc>
        <w:tc>
          <w:tcPr>
            <w:tcW w:w="680" w:type="dxa"/>
            <w:vAlign w:val="bottom"/>
            <w:tcBorders>
              <w:bottom w:val="single" w:sz="8" w:color="004483"/>
            </w:tcBorders>
          </w:tcPr>
          <w:p>
            <w:pPr>
              <w:jc w:val="right"/>
              <w:ind w:right="49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2,838,681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20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540" w:type="dxa"/>
            <w:vAlign w:val="bottom"/>
            <w:tcBorders>
              <w:bottom w:val="single" w:sz="8" w:color="A6A6A6"/>
            </w:tcBorders>
          </w:tcPr>
          <w:p>
            <w:pPr>
              <w:spacing w:after="0"/>
              <w:rPr>
                <w:sz w:val="14"/>
                <w:szCs w:val="14"/>
                <w:color w:val="auto"/>
              </w:rPr>
            </w:pPr>
          </w:p>
        </w:tc>
        <w:tc>
          <w:tcPr>
            <w:tcW w:w="1200" w:type="dxa"/>
            <w:vAlign w:val="bottom"/>
            <w:tcBorders>
              <w:bottom w:val="single" w:sz="8" w:color="A6A6A6"/>
            </w:tcBorders>
          </w:tcPr>
          <w:p>
            <w:pPr>
              <w:spacing w:after="0"/>
              <w:rPr>
                <w:sz w:val="14"/>
                <w:szCs w:val="14"/>
                <w:color w:val="auto"/>
              </w:rPr>
            </w:pPr>
          </w:p>
        </w:tc>
        <w:tc>
          <w:tcPr>
            <w:tcW w:w="180" w:type="dxa"/>
            <w:vAlign w:val="bottom"/>
            <w:tcBorders>
              <w:bottom w:val="single" w:sz="8" w:color="A6A6A6"/>
            </w:tcBorders>
          </w:tcPr>
          <w:p>
            <w:pPr>
              <w:spacing w:after="0"/>
              <w:rPr>
                <w:sz w:val="14"/>
                <w:szCs w:val="14"/>
                <w:color w:val="auto"/>
              </w:rPr>
            </w:pPr>
          </w:p>
        </w:tc>
        <w:tc>
          <w:tcPr>
            <w:tcW w:w="680" w:type="dxa"/>
            <w:vAlign w:val="bottom"/>
            <w:tcBorders>
              <w:bottom w:val="single" w:sz="8" w:color="A6A6A6"/>
            </w:tcBorders>
          </w:tcPr>
          <w:p>
            <w:pPr>
              <w:spacing w:after="0"/>
              <w:rPr>
                <w:sz w:val="14"/>
                <w:szCs w:val="14"/>
                <w:color w:val="auto"/>
              </w:rPr>
            </w:pPr>
          </w:p>
        </w:tc>
        <w:tc>
          <w:tcPr>
            <w:tcW w:w="1040" w:type="dxa"/>
            <w:vAlign w:val="bottom"/>
            <w:tcBorders>
              <w:bottom w:val="single" w:sz="8" w:color="A6A6A6"/>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Current Liabilities -</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Payable</w:t>
            </w:r>
          </w:p>
        </w:tc>
        <w:tc>
          <w:tcPr>
            <w:tcW w:w="540" w:type="dxa"/>
            <w:vAlign w:val="bottom"/>
            <w:tcBorders>
              <w:bottom w:val="single" w:sz="8" w:color="A6A6A6"/>
            </w:tcBorders>
          </w:tcPr>
          <w:p>
            <w:pPr>
              <w:jc w:val="right"/>
              <w:ind w:right="35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113,679</w:t>
            </w:r>
          </w:p>
        </w:tc>
        <w:tc>
          <w:tcPr>
            <w:tcW w:w="860" w:type="dxa"/>
            <w:vAlign w:val="bottom"/>
            <w:tcBorders>
              <w:bottom w:val="single" w:sz="8" w:color="A6A6A6"/>
            </w:tcBorders>
            <w:gridSpan w:val="2"/>
          </w:tcPr>
          <w:p>
            <w:pPr>
              <w:jc w:val="right"/>
              <w:ind w:right="49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84,171</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Accrued Liabilities</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86,754</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78,840</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Operating Lease Liabilities</w:t>
            </w:r>
          </w:p>
        </w:tc>
        <w:tc>
          <w:tcPr>
            <w:tcW w:w="540" w:type="dxa"/>
            <w:vAlign w:val="bottom"/>
            <w:tcBorders>
              <w:bottom w:val="single" w:sz="8" w:color="004483"/>
            </w:tcBorders>
          </w:tcPr>
          <w:p>
            <w:pPr>
              <w:spacing w:after="0"/>
              <w:rPr>
                <w:sz w:val="18"/>
                <w:szCs w:val="18"/>
                <w:color w:val="auto"/>
              </w:rPr>
            </w:pPr>
          </w:p>
        </w:tc>
        <w:tc>
          <w:tcPr>
            <w:tcW w:w="12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7,118</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6,343</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Total Current Liabilities</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207,551</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169,354</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Long-term Debt</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938,265</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1,008,616</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Noncurrent Operating Lease Liabilities</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29,212</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34,444</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Other Long-term Liabilities</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38,699</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41,291</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Deferred Income Taxes</w:t>
            </w:r>
          </w:p>
        </w:tc>
        <w:tc>
          <w:tcPr>
            <w:tcW w:w="540" w:type="dxa"/>
            <w:vAlign w:val="bottom"/>
            <w:tcBorders>
              <w:bottom w:val="single" w:sz="8" w:color="004483"/>
            </w:tcBorders>
          </w:tcPr>
          <w:p>
            <w:pPr>
              <w:spacing w:after="0"/>
              <w:rPr>
                <w:sz w:val="18"/>
                <w:szCs w:val="18"/>
                <w:color w:val="auto"/>
              </w:rPr>
            </w:pPr>
          </w:p>
        </w:tc>
        <w:tc>
          <w:tcPr>
            <w:tcW w:w="12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232,369</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225,986</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Total Liabilities</w:t>
            </w:r>
          </w:p>
        </w:tc>
        <w:tc>
          <w:tcPr>
            <w:tcW w:w="540" w:type="dxa"/>
            <w:vAlign w:val="bottom"/>
            <w:tcBorders>
              <w:bottom w:val="single" w:sz="8" w:color="004483"/>
            </w:tcBorders>
          </w:tcPr>
          <w:p>
            <w:pPr>
              <w:spacing w:after="0"/>
              <w:rPr>
                <w:sz w:val="18"/>
                <w:szCs w:val="18"/>
                <w:color w:val="auto"/>
              </w:rPr>
            </w:pPr>
          </w:p>
        </w:tc>
        <w:tc>
          <w:tcPr>
            <w:tcW w:w="12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1,446,096</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1,479,691</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Stockholders’ Equity –</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Preferred Stock, Par Value $0.01; Authorized 5,000,000 Shares; None Issued</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6"/>
        </w:trPr>
        <w:tc>
          <w:tcPr>
            <w:tcW w:w="7600" w:type="dxa"/>
            <w:vAlign w:val="bottom"/>
          </w:tcPr>
          <w:p>
            <w:pPr>
              <w:ind w:left="200"/>
              <w:spacing w:after="0" w:line="146" w:lineRule="exact"/>
              <w:rPr>
                <w:sz w:val="20"/>
                <w:szCs w:val="20"/>
                <w:color w:val="auto"/>
              </w:rPr>
            </w:pPr>
            <w:r>
              <w:rPr>
                <w:rFonts w:ascii="Arial" w:cs="Arial" w:eastAsia="Arial" w:hAnsi="Arial"/>
                <w:sz w:val="16"/>
                <w:szCs w:val="16"/>
                <w:color w:val="004483"/>
              </w:rPr>
              <w:t>Common Stock, Par Value $0.01; Authorized 100,000,000 Shares;</w:t>
            </w:r>
          </w:p>
        </w:tc>
        <w:tc>
          <w:tcPr>
            <w:tcW w:w="540" w:type="dxa"/>
            <w:vAlign w:val="bottom"/>
          </w:tcPr>
          <w:p>
            <w:pPr>
              <w:spacing w:after="0"/>
              <w:rPr>
                <w:sz w:val="12"/>
                <w:szCs w:val="12"/>
                <w:color w:val="auto"/>
              </w:rPr>
            </w:pPr>
          </w:p>
        </w:tc>
        <w:tc>
          <w:tcPr>
            <w:tcW w:w="1200" w:type="dxa"/>
            <w:vAlign w:val="bottom"/>
            <w:vMerge w:val="restart"/>
          </w:tcPr>
          <w:p>
            <w:pPr>
              <w:jc w:val="right"/>
              <w:ind w:right="41"/>
              <w:spacing w:after="0"/>
              <w:rPr>
                <w:sz w:val="20"/>
                <w:szCs w:val="20"/>
                <w:color w:val="auto"/>
              </w:rPr>
            </w:pPr>
            <w:r>
              <w:rPr>
                <w:rFonts w:ascii="Arial" w:cs="Arial" w:eastAsia="Arial" w:hAnsi="Arial"/>
                <w:sz w:val="16"/>
                <w:szCs w:val="16"/>
                <w:color w:val="auto"/>
              </w:rPr>
              <w:t>387</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99"/>
        </w:trPr>
        <w:tc>
          <w:tcPr>
            <w:tcW w:w="7600" w:type="dxa"/>
            <w:vAlign w:val="bottom"/>
            <w:tcBorders>
              <w:bottom w:val="single" w:sz="8" w:color="A6A6A6"/>
            </w:tcBorders>
          </w:tcPr>
          <w:p>
            <w:pPr>
              <w:ind w:left="320"/>
              <w:spacing w:after="0"/>
              <w:rPr>
                <w:sz w:val="20"/>
                <w:szCs w:val="20"/>
                <w:color w:val="auto"/>
              </w:rPr>
            </w:pPr>
            <w:r>
              <w:rPr>
                <w:rFonts w:ascii="Arial" w:cs="Arial" w:eastAsia="Arial" w:hAnsi="Arial"/>
                <w:sz w:val="16"/>
                <w:szCs w:val="16"/>
                <w:color w:val="004483"/>
              </w:rPr>
              <w:t>Issued and Outstanding 38,710,929 and 42,370,878 Shares, respectively</w:t>
            </w:r>
          </w:p>
        </w:tc>
        <w:tc>
          <w:tcPr>
            <w:tcW w:w="540" w:type="dxa"/>
            <w:vAlign w:val="bottom"/>
            <w:tcBorders>
              <w:bottom w:val="single" w:sz="8" w:color="A6A6A6"/>
            </w:tcBorders>
          </w:tcPr>
          <w:p>
            <w:pPr>
              <w:spacing w:after="0"/>
              <w:rPr>
                <w:sz w:val="17"/>
                <w:szCs w:val="17"/>
                <w:color w:val="auto"/>
              </w:rPr>
            </w:pPr>
          </w:p>
        </w:tc>
        <w:tc>
          <w:tcPr>
            <w:tcW w:w="1200" w:type="dxa"/>
            <w:vAlign w:val="bottom"/>
            <w:tcBorders>
              <w:bottom w:val="single" w:sz="8" w:color="A6A6A6"/>
            </w:tcBorders>
            <w:vMerge w:val="continue"/>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Capital in Excess of Par Value</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62,497</w:t>
            </w:r>
          </w:p>
        </w:tc>
        <w:tc>
          <w:tcPr>
            <w:tcW w:w="0" w:type="dxa"/>
            <w:vAlign w:val="bottom"/>
          </w:tcPr>
          <w:p>
            <w:pPr>
              <w:spacing w:after="0"/>
              <w:rPr>
                <w:sz w:val="1"/>
                <w:szCs w:val="1"/>
                <w:color w:val="auto"/>
              </w:rPr>
            </w:pPr>
          </w:p>
        </w:tc>
      </w:tr>
      <w:tr>
        <w:trPr>
          <w:trHeight w:val="182"/>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Accumulated Other Comprehensive Losses</w:t>
            </w:r>
          </w:p>
        </w:tc>
        <w:tc>
          <w:tcPr>
            <w:tcW w:w="540" w:type="dxa"/>
            <w:vAlign w:val="bottom"/>
            <w:tcBorders>
              <w:bottom w:val="single" w:sz="8" w:color="A6A6A6"/>
            </w:tcBorders>
          </w:tcPr>
          <w:p>
            <w:pPr>
              <w:spacing w:after="0"/>
              <w:rPr>
                <w:sz w:val="15"/>
                <w:szCs w:val="15"/>
                <w:color w:val="auto"/>
              </w:rPr>
            </w:pPr>
          </w:p>
        </w:tc>
        <w:tc>
          <w:tcPr>
            <w:tcW w:w="12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(3,175 )</w:t>
            </w:r>
          </w:p>
        </w:tc>
        <w:tc>
          <w:tcPr>
            <w:tcW w:w="18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(3,440 )</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Retained Earnings</w:t>
            </w:r>
          </w:p>
        </w:tc>
        <w:tc>
          <w:tcPr>
            <w:tcW w:w="540" w:type="dxa"/>
            <w:vAlign w:val="bottom"/>
            <w:tcBorders>
              <w:bottom w:val="single" w:sz="8" w:color="004483"/>
            </w:tcBorders>
          </w:tcPr>
          <w:p>
            <w:pPr>
              <w:spacing w:after="0"/>
              <w:rPr>
                <w:sz w:val="18"/>
                <w:szCs w:val="18"/>
                <w:color w:val="auto"/>
              </w:rPr>
            </w:pPr>
          </w:p>
        </w:tc>
        <w:tc>
          <w:tcPr>
            <w:tcW w:w="12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1,136,344</w:t>
            </w:r>
          </w:p>
        </w:tc>
        <w:tc>
          <w:tcPr>
            <w:tcW w:w="180" w:type="dxa"/>
            <w:vAlign w:val="bottom"/>
            <w:tcBorders>
              <w:bottom w:val="single" w:sz="8" w:color="A6A6A6"/>
            </w:tcBorders>
          </w:tcPr>
          <w:p>
            <w:pPr>
              <w:spacing w:after="0"/>
              <w:rPr>
                <w:sz w:val="18"/>
                <w:szCs w:val="18"/>
                <w:color w:val="auto"/>
              </w:rPr>
            </w:pPr>
          </w:p>
        </w:tc>
        <w:tc>
          <w:tcPr>
            <w:tcW w:w="68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1,299,509</w:t>
            </w:r>
          </w:p>
        </w:tc>
        <w:tc>
          <w:tcPr>
            <w:tcW w:w="0" w:type="dxa"/>
            <w:vAlign w:val="bottom"/>
          </w:tcPr>
          <w:p>
            <w:pPr>
              <w:spacing w:after="0"/>
              <w:rPr>
                <w:sz w:val="1"/>
                <w:szCs w:val="1"/>
                <w:color w:val="auto"/>
              </w:rPr>
            </w:pPr>
          </w:p>
        </w:tc>
      </w:tr>
      <w:tr>
        <w:trPr>
          <w:trHeight w:val="203"/>
        </w:trPr>
        <w:tc>
          <w:tcPr>
            <w:tcW w:w="7600" w:type="dxa"/>
            <w:vAlign w:val="bottom"/>
          </w:tcPr>
          <w:p>
            <w:pPr>
              <w:ind w:left="380"/>
              <w:spacing w:after="0" w:line="183" w:lineRule="exact"/>
              <w:rPr>
                <w:sz w:val="20"/>
                <w:szCs w:val="20"/>
                <w:color w:val="auto"/>
              </w:rPr>
            </w:pPr>
            <w:r>
              <w:rPr>
                <w:rFonts w:ascii="Arial" w:cs="Arial" w:eastAsia="Arial" w:hAnsi="Arial"/>
                <w:sz w:val="16"/>
                <w:szCs w:val="16"/>
                <w:color w:val="004483"/>
              </w:rPr>
              <w:t>Total Stockholders’ Equity</w:t>
            </w:r>
          </w:p>
        </w:tc>
        <w:tc>
          <w:tcPr>
            <w:tcW w:w="540" w:type="dxa"/>
            <w:vAlign w:val="bottom"/>
            <w:tcBorders>
              <w:bottom w:val="single" w:sz="8" w:color="004483"/>
            </w:tcBorders>
          </w:tcPr>
          <w:p>
            <w:pPr>
              <w:spacing w:after="0"/>
              <w:rPr>
                <w:sz w:val="17"/>
                <w:szCs w:val="17"/>
                <w:color w:val="auto"/>
              </w:rPr>
            </w:pPr>
          </w:p>
        </w:tc>
        <w:tc>
          <w:tcPr>
            <w:tcW w:w="12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1,133,556</w:t>
            </w:r>
          </w:p>
        </w:tc>
        <w:tc>
          <w:tcPr>
            <w:tcW w:w="180" w:type="dxa"/>
            <w:vAlign w:val="bottom"/>
          </w:tcPr>
          <w:p>
            <w:pPr>
              <w:spacing w:after="0"/>
              <w:rPr>
                <w:sz w:val="17"/>
                <w:szCs w:val="17"/>
                <w:color w:val="auto"/>
              </w:rPr>
            </w:pPr>
          </w:p>
        </w:tc>
        <w:tc>
          <w:tcPr>
            <w:tcW w:w="680" w:type="dxa"/>
            <w:vAlign w:val="bottom"/>
            <w:tcBorders>
              <w:bottom w:val="single" w:sz="8" w:color="004483"/>
            </w:tcBorders>
          </w:tcPr>
          <w:p>
            <w:pPr>
              <w:spacing w:after="0"/>
              <w:rPr>
                <w:sz w:val="17"/>
                <w:szCs w:val="17"/>
                <w:color w:val="auto"/>
              </w:rPr>
            </w:pP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1,358,990</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004483"/>
            </w:tcBorders>
          </w:tcPr>
          <w:p>
            <w:pPr>
              <w:jc w:val="right"/>
              <w:ind w:right="41"/>
              <w:spacing w:after="0"/>
              <w:rPr>
                <w:sz w:val="20"/>
                <w:szCs w:val="20"/>
                <w:color w:val="auto"/>
              </w:rPr>
            </w:pPr>
            <w:r>
              <w:rPr>
                <w:rFonts w:ascii="Arial" w:cs="Arial" w:eastAsia="Arial" w:hAnsi="Arial"/>
                <w:sz w:val="16"/>
                <w:szCs w:val="16"/>
                <w:b w:val="1"/>
                <w:bCs w:val="1"/>
                <w:color w:val="auto"/>
              </w:rPr>
              <w:t>2,579,652</w:t>
            </w:r>
          </w:p>
        </w:tc>
        <w:tc>
          <w:tcPr>
            <w:tcW w:w="180" w:type="dxa"/>
            <w:vAlign w:val="bottom"/>
          </w:tcPr>
          <w:p>
            <w:pPr>
              <w:spacing w:after="0"/>
              <w:rPr>
                <w:sz w:val="16"/>
                <w:szCs w:val="16"/>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ind w:right="40"/>
              <w:spacing w:after="0"/>
              <w:rPr>
                <w:sz w:val="20"/>
                <w:szCs w:val="20"/>
                <w:color w:val="auto"/>
              </w:rPr>
            </w:pPr>
            <w:r>
              <w:rPr>
                <w:rFonts w:ascii="Arial" w:cs="Arial" w:eastAsia="Arial" w:hAnsi="Arial"/>
                <w:sz w:val="16"/>
                <w:szCs w:val="16"/>
                <w:b w:val="1"/>
                <w:bCs w:val="1"/>
                <w:color w:val="auto"/>
              </w:rPr>
              <w:t>2,838,681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20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Pr>
          <w:p>
            <w:pPr>
              <w:spacing w:after="0"/>
              <w:rPr>
                <w:sz w:val="13"/>
                <w:szCs w:val="13"/>
                <w:color w:val="auto"/>
              </w:rPr>
            </w:pPr>
          </w:p>
        </w:tc>
        <w:tc>
          <w:tcPr>
            <w:tcW w:w="440" w:type="dxa"/>
            <w:vAlign w:val="bottom"/>
            <w:shd w:val="clear" w:color="auto" w:fill="004483"/>
          </w:tcPr>
          <w:p>
            <w:pPr>
              <w:spacing w:after="0"/>
              <w:rPr>
                <w:sz w:val="13"/>
                <w:szCs w:val="13"/>
                <w:color w:val="auto"/>
              </w:rPr>
            </w:pPr>
          </w:p>
        </w:tc>
        <w:tc>
          <w:tcPr>
            <w:tcW w:w="1040" w:type="dxa"/>
            <w:vAlign w:val="bottom"/>
            <w:tcBorders>
              <w:right w:val="single" w:sz="8" w:color="004483"/>
            </w:tcBorders>
            <w:shd w:val="clear" w:color="auto" w:fill="004483"/>
          </w:tcPr>
          <w:p>
            <w:pPr>
              <w:spacing w:after="0"/>
              <w:rPr>
                <w:sz w:val="13"/>
                <w:szCs w:val="13"/>
                <w:color w:val="auto"/>
              </w:rPr>
            </w:pPr>
          </w:p>
        </w:tc>
        <w:tc>
          <w:tcPr>
            <w:tcW w:w="1760" w:type="dxa"/>
            <w:vAlign w:val="bottom"/>
            <w:gridSpan w:val="4"/>
            <w:shd w:val="clear" w:color="auto" w:fill="004483"/>
          </w:tcPr>
          <w:p>
            <w:pPr>
              <w:jc w:val="center"/>
              <w:ind w:right="100"/>
              <w:spacing w:after="0"/>
              <w:rPr>
                <w:sz w:val="20"/>
                <w:szCs w:val="20"/>
                <w:color w:val="auto"/>
              </w:rPr>
            </w:pPr>
            <w:r>
              <w:rPr>
                <w:rFonts w:ascii="Arial" w:cs="Arial" w:eastAsia="Arial" w:hAnsi="Arial"/>
                <w:sz w:val="13"/>
                <w:szCs w:val="13"/>
                <w:b w:val="1"/>
                <w:bCs w:val="1"/>
                <w:color w:val="FFFFFF"/>
                <w:w w:val="87"/>
              </w:rPr>
              <w:t>For the Years Ended March 31,</w:t>
            </w:r>
          </w:p>
        </w:tc>
        <w:tc>
          <w:tcPr>
            <w:tcW w:w="420" w:type="dxa"/>
            <w:vAlign w:val="bottom"/>
            <w:shd w:val="clear" w:color="auto" w:fill="004483"/>
          </w:tcPr>
          <w:p>
            <w:pPr>
              <w:spacing w:after="0"/>
              <w:rPr>
                <w:sz w:val="13"/>
                <w:szCs w:val="13"/>
                <w:color w:val="auto"/>
              </w:rPr>
            </w:pPr>
          </w:p>
        </w:tc>
        <w:tc>
          <w:tcPr>
            <w:tcW w:w="104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104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00" w:type="dxa"/>
            <w:vAlign w:val="bottom"/>
            <w:tcBorders>
              <w:bottom w:val="single" w:sz="8" w:color="004483"/>
            </w:tcBorders>
            <w:gridSpan w:val="2"/>
          </w:tcPr>
          <w:p>
            <w:pPr>
              <w:jc w:val="center"/>
              <w:ind w:right="380"/>
              <w:spacing w:after="0"/>
              <w:rPr>
                <w:sz w:val="20"/>
                <w:szCs w:val="20"/>
                <w:color w:val="auto"/>
              </w:rPr>
            </w:pPr>
            <w:r>
              <w:rPr>
                <w:rFonts w:ascii="Arial" w:cs="Arial" w:eastAsia="Arial" w:hAnsi="Arial"/>
                <w:sz w:val="13"/>
                <w:szCs w:val="13"/>
                <w:color w:val="auto"/>
                <w:w w:val="86"/>
              </w:rPr>
              <w:t>(dollars in thousands)</w:t>
            </w:r>
          </w:p>
        </w:tc>
        <w:tc>
          <w:tcPr>
            <w:tcW w:w="420" w:type="dxa"/>
            <w:vAlign w:val="bottom"/>
            <w:tcBorders>
              <w:bottom w:val="single" w:sz="8" w:color="004483"/>
            </w:tcBorders>
          </w:tcPr>
          <w:p>
            <w:pPr>
              <w:spacing w:after="0"/>
              <w:rPr>
                <w:sz w:val="15"/>
                <w:szCs w:val="15"/>
                <w:color w:val="auto"/>
              </w:rPr>
            </w:pPr>
          </w:p>
        </w:tc>
        <w:tc>
          <w:tcPr>
            <w:tcW w:w="104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tcBorders>
              <w:bottom w:val="single" w:sz="8" w:color="A6A6A6"/>
            </w:tcBorders>
          </w:tcPr>
          <w:p>
            <w:pPr>
              <w:spacing w:after="0"/>
              <w:rPr>
                <w:sz w:val="16"/>
                <w:szCs w:val="16"/>
                <w:color w:val="auto"/>
              </w:rPr>
            </w:pPr>
          </w:p>
        </w:tc>
        <w:tc>
          <w:tcPr>
            <w:tcW w:w="104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36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420" w:type="dxa"/>
            <w:vAlign w:val="bottom"/>
            <w:tcBorders>
              <w:bottom w:val="single" w:sz="8" w:color="A6A6A6"/>
            </w:tcBorders>
          </w:tcPr>
          <w:p>
            <w:pPr>
              <w:spacing w:after="0"/>
              <w:rPr>
                <w:sz w:val="16"/>
                <w:szCs w:val="16"/>
                <w:color w:val="auto"/>
              </w:rPr>
            </w:pPr>
          </w:p>
        </w:tc>
        <w:tc>
          <w:tcPr>
            <w:tcW w:w="104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440" w:type="dxa"/>
            <w:vAlign w:val="bottom"/>
            <w:tcBorders>
              <w:bottom w:val="single" w:sz="8" w:color="A6A6A6"/>
            </w:tcBorders>
          </w:tcPr>
          <w:p>
            <w:pPr>
              <w:jc w:val="right"/>
              <w:ind w:right="25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374,247</w:t>
            </w:r>
          </w:p>
        </w:tc>
        <w:tc>
          <w:tcPr>
            <w:tcW w:w="2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339,444</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70,894</w:t>
            </w:r>
          </w:p>
        </w:tc>
        <w:tc>
          <w:tcPr>
            <w:tcW w:w="0" w:type="dxa"/>
            <w:vAlign w:val="bottom"/>
          </w:tcPr>
          <w:p>
            <w:pPr>
              <w:spacing w:after="0"/>
              <w:rPr>
                <w:sz w:val="1"/>
                <w:szCs w:val="1"/>
                <w:color w:val="auto"/>
              </w:rPr>
            </w:pPr>
          </w:p>
        </w:tc>
      </w:tr>
      <w:tr>
        <w:trPr>
          <w:trHeight w:val="146"/>
        </w:trPr>
        <w:tc>
          <w:tcPr>
            <w:tcW w:w="6540" w:type="dxa"/>
            <w:vAlign w:val="bottom"/>
          </w:tcPr>
          <w:p>
            <w:pPr>
              <w:ind w:left="20"/>
              <w:spacing w:after="0" w:line="146" w:lineRule="exact"/>
              <w:rPr>
                <w:sz w:val="20"/>
                <w:szCs w:val="20"/>
                <w:color w:val="auto"/>
              </w:rPr>
            </w:pPr>
            <w:r>
              <w:rPr>
                <w:rFonts w:ascii="Arial" w:cs="Arial" w:eastAsia="Arial" w:hAnsi="Arial"/>
                <w:sz w:val="16"/>
                <w:szCs w:val="16"/>
                <w:color w:val="004483"/>
              </w:rPr>
              <w:t>Adjustments to Reconcile Net Earnings to Net Cash Provided</w:t>
            </w: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44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36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Depreciation, Depletion, and Amortization</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128,811</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129,087</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113,518</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Write-off of Debt Issuance Costs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6,101</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Impairment Losses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224,267</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Deferred Income Tax Provision</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6,383</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59,319</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75,987</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Stock Compensation Expense</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14,264</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15,293</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19,823</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Gain on Sale of Businesses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(61,203 )</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Equity in Earnings of Unconsolidated Joint Venture</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(32,488 )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(37,441 )</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(42,585 )</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Distributions from Joint Venture</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27,250</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36,000</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33,500</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Changes in Operating Assets and Liabilities: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and Notes Receivable</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(29,209 )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2,127</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(25,005 )</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Inventories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(912 )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30,002</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26,729</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Payable and Accrued Liabilities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27,192</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9,541</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17,265</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Assets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(1,331 )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(6,455 )</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7,841</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Income Taxes Receivable</w:t>
            </w:r>
          </w:p>
        </w:tc>
        <w:tc>
          <w:tcPr>
            <w:tcW w:w="44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(3,137 )</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127,359</w:t>
            </w:r>
          </w:p>
        </w:tc>
        <w:tc>
          <w:tcPr>
            <w:tcW w:w="14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(122,933 )</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Provided by Operating Activities</w:t>
            </w:r>
          </w:p>
        </w:tc>
        <w:tc>
          <w:tcPr>
            <w:tcW w:w="44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517,171</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643,073</w:t>
            </w:r>
          </w:p>
        </w:tc>
        <w:tc>
          <w:tcPr>
            <w:tcW w:w="14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399,301</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Additions to Property, Plant, and Equipment</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(74,121 )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(53,933 )</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(132,119 )</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Acquisition Spending</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(699,361 )</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Sale of Businesses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91,022</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40" w:type="dxa"/>
            <w:vAlign w:val="bottom"/>
          </w:tcPr>
          <w:p>
            <w:pPr>
              <w:ind w:left="200"/>
              <w:spacing w:after="0" w:line="183" w:lineRule="exact"/>
              <w:rPr>
                <w:sz w:val="20"/>
                <w:szCs w:val="20"/>
                <w:color w:val="auto"/>
              </w:rPr>
            </w:pPr>
            <w:r>
              <w:rPr>
                <w:rFonts w:ascii="Arial" w:cs="Arial" w:eastAsia="Arial" w:hAnsi="Arial"/>
                <w:sz w:val="16"/>
                <w:szCs w:val="16"/>
                <w:color w:val="004483"/>
              </w:rPr>
              <w:t>Proceeds from Sales of Property, Plant, and Equipment</w:t>
            </w:r>
          </w:p>
        </w:tc>
        <w:tc>
          <w:tcPr>
            <w:tcW w:w="440" w:type="dxa"/>
            <w:vAlign w:val="bottom"/>
          </w:tcPr>
          <w:p>
            <w:pPr>
              <w:spacing w:after="0"/>
              <w:rPr>
                <w:sz w:val="18"/>
                <w:szCs w:val="18"/>
                <w:color w:val="auto"/>
              </w:rPr>
            </w:pPr>
          </w:p>
        </w:tc>
        <w:tc>
          <w:tcPr>
            <w:tcW w:w="10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9"/>
        </w:trPr>
        <w:tc>
          <w:tcPr>
            <w:tcW w:w="6540" w:type="dxa"/>
            <w:vAlign w:val="bottom"/>
            <w:tcBorders>
              <w:top w:val="single" w:sz="8" w:color="A6A6A6"/>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Provided by (Used in) Investing Activities</w:t>
            </w:r>
          </w:p>
        </w:tc>
        <w:tc>
          <w:tcPr>
            <w:tcW w:w="440" w:type="dxa"/>
            <w:vAlign w:val="bottom"/>
            <w:tcBorders>
              <w:top w:val="single" w:sz="8" w:color="004483"/>
              <w:bottom w:val="single" w:sz="8" w:color="004483"/>
            </w:tcBorders>
          </w:tcPr>
          <w:p>
            <w:pPr>
              <w:spacing w:after="0"/>
              <w:rPr>
                <w:sz w:val="18"/>
                <w:szCs w:val="18"/>
                <w:color w:val="auto"/>
              </w:rPr>
            </w:pPr>
          </w:p>
        </w:tc>
        <w:tc>
          <w:tcPr>
            <w:tcW w:w="104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(74,121 )</w:t>
            </w:r>
          </w:p>
        </w:tc>
        <w:tc>
          <w:tcPr>
            <w:tcW w:w="16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004483"/>
              <w:bottom w:val="single" w:sz="8" w:color="004483"/>
            </w:tcBorders>
          </w:tcPr>
          <w:p>
            <w:pPr>
              <w:spacing w:after="0"/>
              <w:rPr>
                <w:sz w:val="18"/>
                <w:szCs w:val="18"/>
                <w:color w:val="auto"/>
              </w:rPr>
            </w:pPr>
          </w:p>
        </w:tc>
        <w:tc>
          <w:tcPr>
            <w:tcW w:w="1360" w:type="dxa"/>
            <w:vAlign w:val="bottom"/>
            <w:tcBorders>
              <w:top w:val="single" w:sz="8" w:color="004483"/>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37,089</w:t>
            </w:r>
          </w:p>
        </w:tc>
        <w:tc>
          <w:tcPr>
            <w:tcW w:w="140" w:type="dxa"/>
            <w:vAlign w:val="bottom"/>
            <w:tcBorders>
              <w:top w:val="single" w:sz="8" w:color="A6A6A6"/>
              <w:bottom w:val="single" w:sz="8" w:color="A6A6A6"/>
            </w:tcBorders>
          </w:tcPr>
          <w:p>
            <w:pPr>
              <w:spacing w:after="0"/>
              <w:rPr>
                <w:sz w:val="18"/>
                <w:szCs w:val="18"/>
                <w:color w:val="auto"/>
              </w:rPr>
            </w:pPr>
          </w:p>
        </w:tc>
        <w:tc>
          <w:tcPr>
            <w:tcW w:w="420" w:type="dxa"/>
            <w:vAlign w:val="bottom"/>
            <w:tcBorders>
              <w:top w:val="single" w:sz="8" w:color="004483"/>
              <w:bottom w:val="single" w:sz="8" w:color="004483"/>
            </w:tcBorders>
          </w:tcPr>
          <w:p>
            <w:pPr>
              <w:spacing w:after="0"/>
              <w:rPr>
                <w:sz w:val="18"/>
                <w:szCs w:val="18"/>
                <w:color w:val="auto"/>
              </w:rPr>
            </w:pPr>
          </w:p>
        </w:tc>
        <w:tc>
          <w:tcPr>
            <w:tcW w:w="104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(831,080 )</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(Decrease) Increase in Revolving Credit Facility</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200,000</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(560,000 )</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2.500% Senior Unsecured Notes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743,692</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4.500% Senior Unsecured Notes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(350,000 )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Issuance (Repayment) of Term Loan</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(665,000 )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665,000</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Repayment of Private Placement Senior Unsecured Notes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(36,500 )</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Dividends Paid to Stockholders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(30,770 )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(4,163 )</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(17,142 )</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(589,742 )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(313,887 )</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Stock Option Exercises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21,366</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40,455</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3,298</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Premium Paid on Early Retirement of Senior Notes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(8,407 )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00" w:type="dxa"/>
            <w:vAlign w:val="bottom"/>
            <w:tcBorders>
              <w:bottom w:val="single" w:sz="8" w:color="A6A6A6"/>
            </w:tcBorders>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Payment of Debt Issuance Costs</w:t>
            </w:r>
          </w:p>
        </w:tc>
        <w:tc>
          <w:tcPr>
            <w:tcW w:w="44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(7,985 )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(2,396 )</w:t>
            </w:r>
          </w:p>
        </w:tc>
        <w:tc>
          <w:tcPr>
            <w:tcW w:w="14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(4,880 )</w:t>
            </w:r>
          </w:p>
        </w:tc>
        <w:tc>
          <w:tcPr>
            <w:tcW w:w="0" w:type="dxa"/>
            <w:vAlign w:val="bottom"/>
          </w:tcPr>
          <w:p>
            <w:pPr>
              <w:spacing w:after="0"/>
              <w:rPr>
                <w:sz w:val="1"/>
                <w:szCs w:val="1"/>
                <w:color w:val="auto"/>
              </w:rPr>
            </w:pPr>
          </w:p>
        </w:tc>
      </w:tr>
      <w:tr>
        <w:trPr>
          <w:trHeight w:val="210"/>
        </w:trPr>
        <w:tc>
          <w:tcPr>
            <w:tcW w:w="65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Shares Redeemed to Settle Employee Taxes on Stock Compensation</w:t>
            </w:r>
          </w:p>
        </w:tc>
        <w:tc>
          <w:tcPr>
            <w:tcW w:w="44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(5,308 )</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(4,186 )</w:t>
            </w:r>
          </w:p>
        </w:tc>
        <w:tc>
          <w:tcPr>
            <w:tcW w:w="14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(4,063 )</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(Used in) Provided by Financing Activities</w:t>
            </w:r>
          </w:p>
        </w:tc>
        <w:tc>
          <w:tcPr>
            <w:tcW w:w="44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(692,154 )</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(530,290 )</w:t>
            </w:r>
          </w:p>
        </w:tc>
        <w:tc>
          <w:tcPr>
            <w:tcW w:w="140" w:type="dxa"/>
            <w:vAlign w:val="bottom"/>
            <w:tcBorders>
              <w:bottom w:val="single" w:sz="8" w:color="A6A6A6"/>
            </w:tcBorders>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541,826</w:t>
            </w:r>
          </w:p>
        </w:tc>
        <w:tc>
          <w:tcPr>
            <w:tcW w:w="0" w:type="dxa"/>
            <w:vAlign w:val="bottom"/>
          </w:tcPr>
          <w:p>
            <w:pPr>
              <w:spacing w:after="0"/>
              <w:rPr>
                <w:sz w:val="1"/>
                <w:szCs w:val="1"/>
                <w:color w:val="auto"/>
              </w:rPr>
            </w:pPr>
          </w:p>
        </w:tc>
      </w:tr>
      <w:tr>
        <w:trPr>
          <w:trHeight w:val="142"/>
        </w:trPr>
        <w:tc>
          <w:tcPr>
            <w:tcW w:w="654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NET INCREASE (DECREASE) IN CASH, CASH EQUIVALENTS, AND RESTRICTED</w:t>
            </w:r>
          </w:p>
        </w:tc>
        <w:tc>
          <w:tcPr>
            <w:tcW w:w="4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(249,104 )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right"/>
              <w:ind w:right="40"/>
              <w:spacing w:after="0"/>
              <w:rPr>
                <w:sz w:val="20"/>
                <w:szCs w:val="20"/>
                <w:color w:val="auto"/>
              </w:rPr>
            </w:pPr>
            <w:r>
              <w:rPr>
                <w:rFonts w:ascii="Arial" w:cs="Arial" w:eastAsia="Arial" w:hAnsi="Arial"/>
                <w:sz w:val="16"/>
                <w:szCs w:val="16"/>
                <w:color w:val="auto"/>
              </w:rPr>
              <w:t>149,872</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110,047</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w:t>
            </w:r>
          </w:p>
        </w:tc>
        <w:tc>
          <w:tcPr>
            <w:tcW w:w="44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vMerge w:val="continue"/>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360" w:type="dxa"/>
            <w:vAlign w:val="bottom"/>
            <w:tcBorders>
              <w:bottom w:val="single" w:sz="8" w:color="A6A6A6"/>
            </w:tcBorders>
            <w:vMerge w:val="continue"/>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54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CASH, CASH EQUIVALENTS, AND RESTRICTED CASH AT BEGINNING OF</w:t>
            </w:r>
          </w:p>
        </w:tc>
        <w:tc>
          <w:tcPr>
            <w:tcW w:w="440" w:type="dxa"/>
            <w:vAlign w:val="bottom"/>
          </w:tcPr>
          <w:p>
            <w:pPr>
              <w:spacing w:after="0"/>
              <w:rPr>
                <w:sz w:val="12"/>
                <w:szCs w:val="12"/>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268,520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right"/>
              <w:ind w:right="40"/>
              <w:spacing w:after="0"/>
              <w:rPr>
                <w:sz w:val="20"/>
                <w:szCs w:val="20"/>
                <w:color w:val="auto"/>
              </w:rPr>
            </w:pPr>
            <w:r>
              <w:rPr>
                <w:rFonts w:ascii="Arial" w:cs="Arial" w:eastAsia="Arial" w:hAnsi="Arial"/>
                <w:sz w:val="16"/>
                <w:szCs w:val="16"/>
                <w:color w:val="auto"/>
              </w:rPr>
              <w:t>118,648</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8,601</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PERIOD</w:t>
            </w:r>
          </w:p>
        </w:tc>
        <w:tc>
          <w:tcPr>
            <w:tcW w:w="4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A6A6A6"/>
            </w:tcBorders>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04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CASH EQUIVALENTS, AND RESTRICTED CASH AT END OF PERIOD</w:t>
            </w:r>
          </w:p>
        </w:tc>
        <w:tc>
          <w:tcPr>
            <w:tcW w:w="440" w:type="dxa"/>
            <w:vAlign w:val="bottom"/>
            <w:tcBorders>
              <w:bottom w:val="single" w:sz="8" w:color="004483"/>
            </w:tcBorders>
          </w:tcPr>
          <w:p>
            <w:pPr>
              <w:jc w:val="right"/>
              <w:ind w:right="25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19,416</w:t>
            </w: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268,520</w:t>
            </w:r>
          </w:p>
        </w:tc>
        <w:tc>
          <w:tcPr>
            <w:tcW w:w="14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118,648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14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80" w:type="dxa"/>
            <w:vAlign w:val="bottom"/>
            <w:tcBorders>
              <w:bottom w:val="single" w:sz="8" w:color="004483"/>
            </w:tcBorders>
          </w:tcPr>
          <w:p>
            <w:pPr>
              <w:spacing w:after="0"/>
              <w:rPr>
                <w:sz w:val="15"/>
                <w:szCs w:val="15"/>
                <w:color w:val="auto"/>
              </w:rPr>
            </w:pPr>
          </w:p>
        </w:tc>
        <w:tc>
          <w:tcPr>
            <w:tcW w:w="28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40" w:type="dxa"/>
            <w:vAlign w:val="bottom"/>
            <w:tcBorders>
              <w:bottom w:val="single" w:sz="8" w:color="004483"/>
            </w:tcBorders>
            <w:gridSpan w:val="3"/>
          </w:tcPr>
          <w:p>
            <w:pPr>
              <w:ind w:left="40"/>
              <w:spacing w:after="0"/>
              <w:rPr>
                <w:sz w:val="20"/>
                <w:szCs w:val="20"/>
                <w:color w:val="auto"/>
              </w:rPr>
            </w:pPr>
            <w:r>
              <w:rPr>
                <w:rFonts w:ascii="Arial" w:cs="Arial" w:eastAsia="Arial" w:hAnsi="Arial"/>
                <w:sz w:val="13"/>
                <w:szCs w:val="13"/>
                <w:color w:val="auto"/>
                <w:w w:val="94"/>
              </w:rPr>
              <w:t>(dollars in thousands)</w:t>
            </w:r>
          </w:p>
        </w:tc>
        <w:tc>
          <w:tcPr>
            <w:tcW w:w="18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451</w:t>
            </w:r>
          </w:p>
        </w:tc>
        <w:tc>
          <w:tcPr>
            <w:tcW w:w="380" w:type="dxa"/>
            <w:vAlign w:val="bottom"/>
            <w:tcBorders>
              <w:bottom w:val="single" w:sz="8" w:color="A6A6A6"/>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6A6A6"/>
            </w:tcBorders>
            <w:gridSpan w:val="2"/>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40"/>
              <w:spacing w:after="0"/>
              <w:rPr>
                <w:sz w:val="20"/>
                <w:szCs w:val="20"/>
                <w:color w:val="auto"/>
              </w:rPr>
            </w:pPr>
            <w:r>
              <w:rPr>
                <w:rFonts w:ascii="Arial" w:cs="Arial" w:eastAsia="Arial" w:hAnsi="Arial"/>
                <w:sz w:val="16"/>
                <w:szCs w:val="16"/>
                <w:color w:val="auto"/>
              </w:rPr>
              <w:t>1,212,352</w:t>
            </w:r>
          </w:p>
        </w:tc>
        <w:tc>
          <w:tcPr>
            <w:tcW w:w="10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(3,316 )</w:t>
            </w:r>
          </w:p>
        </w:tc>
        <w:tc>
          <w:tcPr>
            <w:tcW w:w="360" w:type="dxa"/>
            <w:vAlign w:val="bottom"/>
            <w:tcBorders>
              <w:bottom w:val="single" w:sz="8" w:color="A6A6A6"/>
            </w:tcBorders>
            <w:gridSpan w:val="2"/>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ind w:right="19"/>
              <w:spacing w:after="0"/>
              <w:rPr>
                <w:sz w:val="20"/>
                <w:szCs w:val="20"/>
                <w:color w:val="auto"/>
              </w:rPr>
            </w:pPr>
            <w:r>
              <w:rPr>
                <w:rFonts w:ascii="Arial" w:cs="Arial" w:eastAsia="Arial" w:hAnsi="Arial"/>
                <w:sz w:val="16"/>
                <w:szCs w:val="16"/>
                <w:color w:val="auto"/>
              </w:rPr>
              <w:t>1,209,487</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70,894</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70,894</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Exercises and Restricted Share Vesting</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3,298</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(36 )</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(8,114 )</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(305,737 )</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(313,887 )</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 to Stockholders</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(16,808 )</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(16,808 )</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19,822</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19,822</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Shares Redeemed to Settle Employee Taxes</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(4,063 )</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(4,063 )</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Cumulative Effect of Change in Accounting For Leases</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(636 )</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(636 )</w:t>
            </w:r>
          </w:p>
        </w:tc>
        <w:tc>
          <w:tcPr>
            <w:tcW w:w="0" w:type="dxa"/>
            <w:vAlign w:val="bottom"/>
          </w:tcPr>
          <w:p>
            <w:pPr>
              <w:spacing w:after="0"/>
              <w:rPr>
                <w:sz w:val="1"/>
                <w:szCs w:val="1"/>
                <w:color w:val="auto"/>
              </w:rPr>
            </w:pPr>
          </w:p>
        </w:tc>
      </w:tr>
      <w:tr>
        <w:trPr>
          <w:trHeight w:val="209"/>
        </w:trPr>
        <w:tc>
          <w:tcPr>
            <w:tcW w:w="488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280" w:type="dxa"/>
            <w:vAlign w:val="bottom"/>
          </w:tcPr>
          <w:p>
            <w:pPr>
              <w:spacing w:after="0"/>
              <w:rPr>
                <w:sz w:val="18"/>
                <w:szCs w:val="18"/>
                <w:color w:val="auto"/>
              </w:rPr>
            </w:pPr>
          </w:p>
        </w:tc>
        <w:tc>
          <w:tcPr>
            <w:tcW w:w="8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(265 )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183"/>
        </w:trPr>
        <w:tc>
          <w:tcPr>
            <w:tcW w:w="48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Balance at March 31, 2020</w:t>
            </w:r>
          </w:p>
        </w:tc>
        <w:tc>
          <w:tcPr>
            <w:tcW w:w="280" w:type="dxa"/>
            <w:vAlign w:val="bottom"/>
            <w:tcBorders>
              <w:top w:val="single" w:sz="8" w:color="004483"/>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004483"/>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416</w:t>
            </w:r>
          </w:p>
        </w:tc>
        <w:tc>
          <w:tcPr>
            <w:tcW w:w="120" w:type="dxa"/>
            <w:vAlign w:val="bottom"/>
            <w:tcBorders>
              <w:top w:val="single" w:sz="8" w:color="A6A6A6"/>
              <w:bottom w:val="single" w:sz="8" w:color="A6A6A6"/>
            </w:tcBorders>
          </w:tcPr>
          <w:p>
            <w:pPr>
              <w:spacing w:after="0"/>
              <w:rPr>
                <w:sz w:val="15"/>
                <w:szCs w:val="15"/>
                <w:color w:val="auto"/>
              </w:rPr>
            </w:pPr>
          </w:p>
        </w:tc>
        <w:tc>
          <w:tcPr>
            <w:tcW w:w="260" w:type="dxa"/>
            <w:vAlign w:val="bottom"/>
            <w:tcBorders>
              <w:top w:val="single" w:sz="8" w:color="004483"/>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004483"/>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10,943</w:t>
            </w:r>
          </w:p>
        </w:tc>
        <w:tc>
          <w:tcPr>
            <w:tcW w:w="10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004483"/>
              <w:bottom w:val="single" w:sz="8" w:color="A6A6A6"/>
            </w:tcBorders>
          </w:tcPr>
          <w:p>
            <w:pPr>
              <w:jc w:val="right"/>
              <w:ind w:right="64"/>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004483"/>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960,065</w:t>
            </w:r>
          </w:p>
        </w:tc>
        <w:tc>
          <w:tcPr>
            <w:tcW w:w="100" w:type="dxa"/>
            <w:vAlign w:val="bottom"/>
            <w:tcBorders>
              <w:top w:val="single" w:sz="8" w:color="A6A6A6"/>
              <w:bottom w:val="single" w:sz="8" w:color="A6A6A6"/>
            </w:tcBorders>
          </w:tcPr>
          <w:p>
            <w:pPr>
              <w:spacing w:after="0"/>
              <w:rPr>
                <w:sz w:val="15"/>
                <w:szCs w:val="15"/>
                <w:color w:val="auto"/>
              </w:rPr>
            </w:pPr>
          </w:p>
        </w:tc>
        <w:tc>
          <w:tcPr>
            <w:tcW w:w="1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(3,581 )</w:t>
            </w:r>
          </w:p>
        </w:tc>
        <w:tc>
          <w:tcPr>
            <w:tcW w:w="1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004483"/>
              <w:bottom w:val="single" w:sz="8" w:color="A6A6A6"/>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4483"/>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967,843</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339,444</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339,444</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Exercises and Restricted Share Vesting</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8</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40,449</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40,457</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15,291</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15,291</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Shares Redeemed to Settle Employee Taxes</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(4,186 )</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(4,186 )</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 of Business with Unfunded Pension Liability</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254</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9"/>
        </w:trPr>
        <w:tc>
          <w:tcPr>
            <w:tcW w:w="488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280" w:type="dxa"/>
            <w:vAlign w:val="bottom"/>
          </w:tcPr>
          <w:p>
            <w:pPr>
              <w:spacing w:after="0"/>
              <w:rPr>
                <w:sz w:val="18"/>
                <w:szCs w:val="18"/>
                <w:color w:val="auto"/>
              </w:rPr>
            </w:pPr>
          </w:p>
        </w:tc>
        <w:tc>
          <w:tcPr>
            <w:tcW w:w="8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(113 )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183"/>
        </w:trPr>
        <w:tc>
          <w:tcPr>
            <w:tcW w:w="48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Balance at March 31, 2021</w:t>
            </w:r>
          </w:p>
        </w:tc>
        <w:tc>
          <w:tcPr>
            <w:tcW w:w="280" w:type="dxa"/>
            <w:vAlign w:val="bottom"/>
            <w:tcBorders>
              <w:top w:val="single" w:sz="8" w:color="004483"/>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004483"/>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424</w:t>
            </w:r>
          </w:p>
        </w:tc>
        <w:tc>
          <w:tcPr>
            <w:tcW w:w="120" w:type="dxa"/>
            <w:vAlign w:val="bottom"/>
            <w:tcBorders>
              <w:top w:val="single" w:sz="8" w:color="A6A6A6"/>
              <w:bottom w:val="single" w:sz="8" w:color="A6A6A6"/>
            </w:tcBorders>
          </w:tcPr>
          <w:p>
            <w:pPr>
              <w:spacing w:after="0"/>
              <w:rPr>
                <w:sz w:val="15"/>
                <w:szCs w:val="15"/>
                <w:color w:val="auto"/>
              </w:rPr>
            </w:pPr>
          </w:p>
        </w:tc>
        <w:tc>
          <w:tcPr>
            <w:tcW w:w="260" w:type="dxa"/>
            <w:vAlign w:val="bottom"/>
            <w:tcBorders>
              <w:top w:val="single" w:sz="8" w:color="004483"/>
              <w:bottom w:val="single" w:sz="8" w:color="A6A6A6"/>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004483"/>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62,497</w:t>
            </w:r>
          </w:p>
        </w:tc>
        <w:tc>
          <w:tcPr>
            <w:tcW w:w="10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004483"/>
              <w:bottom w:val="single" w:sz="8" w:color="A6A6A6"/>
            </w:tcBorders>
          </w:tcPr>
          <w:p>
            <w:pPr>
              <w:jc w:val="right"/>
              <w:ind w:right="64"/>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004483"/>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1,299,509</w:t>
            </w:r>
          </w:p>
        </w:tc>
        <w:tc>
          <w:tcPr>
            <w:tcW w:w="100" w:type="dxa"/>
            <w:vAlign w:val="bottom"/>
            <w:tcBorders>
              <w:top w:val="single" w:sz="8" w:color="A6A6A6"/>
              <w:bottom w:val="single" w:sz="8" w:color="A6A6A6"/>
            </w:tcBorders>
          </w:tcPr>
          <w:p>
            <w:pPr>
              <w:spacing w:after="0"/>
              <w:rPr>
                <w:sz w:val="15"/>
                <w:szCs w:val="15"/>
                <w:color w:val="auto"/>
              </w:rPr>
            </w:pPr>
          </w:p>
        </w:tc>
        <w:tc>
          <w:tcPr>
            <w:tcW w:w="18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004483"/>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(3,440 )</w:t>
            </w:r>
          </w:p>
        </w:tc>
        <w:tc>
          <w:tcPr>
            <w:tcW w:w="120" w:type="dxa"/>
            <w:vAlign w:val="bottom"/>
            <w:tcBorders>
              <w:top w:val="single" w:sz="8" w:color="A6A6A6"/>
              <w:bottom w:val="single" w:sz="8" w:color="A6A6A6"/>
            </w:tcBorders>
          </w:tcPr>
          <w:p>
            <w:pPr>
              <w:spacing w:after="0"/>
              <w:rPr>
                <w:sz w:val="15"/>
                <w:szCs w:val="15"/>
                <w:color w:val="auto"/>
              </w:rPr>
            </w:pPr>
          </w:p>
        </w:tc>
        <w:tc>
          <w:tcPr>
            <w:tcW w:w="240" w:type="dxa"/>
            <w:vAlign w:val="bottom"/>
            <w:tcBorders>
              <w:top w:val="single" w:sz="8" w:color="004483"/>
              <w:bottom w:val="single" w:sz="8" w:color="A6A6A6"/>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4483"/>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1,358,990</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374,247</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374,247</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Option Exercises and Restricted Share Vesting</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21,363</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21,366</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14,264</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14,264</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Shares Redeemed to Settle Employee Taxes</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(5,308 )</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(5,308 )</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Purchase and Retirement of Common Stock</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(40 )</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(92,816 )</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(496,886 )</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(589,742 )</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 to Stockholders</w:t>
            </w:r>
          </w:p>
        </w:tc>
        <w:tc>
          <w:tcPr>
            <w:tcW w:w="2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(40,526 )</w:t>
            </w:r>
          </w:p>
        </w:tc>
        <w:tc>
          <w:tcPr>
            <w:tcW w:w="10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(40,526 )</w:t>
            </w:r>
          </w:p>
        </w:tc>
        <w:tc>
          <w:tcPr>
            <w:tcW w:w="0" w:type="dxa"/>
            <w:vAlign w:val="bottom"/>
          </w:tcPr>
          <w:p>
            <w:pPr>
              <w:spacing w:after="0"/>
              <w:rPr>
                <w:sz w:val="1"/>
                <w:szCs w:val="1"/>
                <w:color w:val="auto"/>
              </w:rPr>
            </w:pPr>
          </w:p>
        </w:tc>
      </w:tr>
      <w:tr>
        <w:trPr>
          <w:trHeight w:val="183"/>
        </w:trPr>
        <w:tc>
          <w:tcPr>
            <w:tcW w:w="4880" w:type="dxa"/>
            <w:vAlign w:val="bottom"/>
          </w:tcPr>
          <w:p>
            <w:pPr>
              <w:ind w:left="20"/>
              <w:spacing w:after="0" w:line="183" w:lineRule="exact"/>
              <w:rPr>
                <w:sz w:val="20"/>
                <w:szCs w:val="20"/>
                <w:color w:val="auto"/>
              </w:rPr>
            </w:pPr>
            <w:r>
              <w:rPr>
                <w:rFonts w:ascii="Arial" w:cs="Arial" w:eastAsia="Arial" w:hAnsi="Arial"/>
                <w:sz w:val="16"/>
                <w:szCs w:val="16"/>
                <w:color w:val="004483"/>
              </w:rPr>
              <w:t>Unfunded Pension Liability, net of tax</w:t>
            </w:r>
          </w:p>
        </w:tc>
        <w:tc>
          <w:tcPr>
            <w:tcW w:w="280" w:type="dxa"/>
            <w:vAlign w:val="bottom"/>
          </w:tcPr>
          <w:p>
            <w:pPr>
              <w:spacing w:after="0"/>
              <w:rPr>
                <w:sz w:val="15"/>
                <w:szCs w:val="15"/>
                <w:color w:val="auto"/>
              </w:rPr>
            </w:pPr>
          </w:p>
        </w:tc>
        <w:tc>
          <w:tcPr>
            <w:tcW w:w="8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0"/>
              <w:spacing w:after="0" w:line="183" w:lineRule="exact"/>
              <w:rPr>
                <w:sz w:val="20"/>
                <w:szCs w:val="20"/>
                <w:color w:val="auto"/>
              </w:rPr>
            </w:pPr>
            <w:r>
              <w:rPr>
                <w:rFonts w:ascii="Arial" w:cs="Arial" w:eastAsia="Arial" w:hAnsi="Arial"/>
                <w:sz w:val="16"/>
                <w:szCs w:val="16"/>
                <w:color w:val="auto"/>
              </w:rPr>
              <w:t>265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7"/>
        </w:trPr>
        <w:tc>
          <w:tcPr>
            <w:tcW w:w="488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60" w:type="dxa"/>
            <w:vAlign w:val="bottom"/>
            <w:tcBorders>
              <w:bottom w:val="single" w:sz="8" w:color="004483"/>
            </w:tcBorders>
            <w:shd w:val="clear" w:color="auto" w:fill="004483"/>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March 31, 2022</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387</w:t>
            </w:r>
          </w:p>
        </w:tc>
        <w:tc>
          <w:tcPr>
            <w:tcW w:w="120" w:type="dxa"/>
            <w:vAlign w:val="bottom"/>
          </w:tcPr>
          <w:p>
            <w:pPr>
              <w:spacing w:after="0"/>
              <w:rPr>
                <w:sz w:val="15"/>
                <w:szCs w:val="15"/>
                <w:color w:val="auto"/>
              </w:rPr>
            </w:pPr>
          </w:p>
        </w:tc>
        <w:tc>
          <w:tcPr>
            <w:tcW w:w="260" w:type="dxa"/>
            <w:vAlign w:val="bottom"/>
            <w:tcBorders>
              <w:bottom w:val="single" w:sz="8" w:color="004483"/>
            </w:tcBorders>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240" w:type="dxa"/>
            <w:vAlign w:val="bottom"/>
            <w:tcBorders>
              <w:bottom w:val="single" w:sz="8" w:color="004483"/>
            </w:tcBorders>
          </w:tcPr>
          <w:p>
            <w:pPr>
              <w:jc w:val="right"/>
              <w:ind w:right="64"/>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1,136,344</w:t>
            </w:r>
          </w:p>
        </w:tc>
        <w:tc>
          <w:tcPr>
            <w:tcW w:w="100" w:type="dxa"/>
            <w:vAlign w:val="bottom"/>
          </w:tcPr>
          <w:p>
            <w:pPr>
              <w:spacing w:after="0"/>
              <w:rPr>
                <w:sz w:val="15"/>
                <w:szCs w:val="15"/>
                <w:color w:val="auto"/>
              </w:rPr>
            </w:pPr>
          </w:p>
        </w:tc>
        <w:tc>
          <w:tcPr>
            <w:tcW w:w="1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(3,175 )</w:t>
            </w:r>
          </w:p>
        </w:tc>
        <w:tc>
          <w:tcPr>
            <w:tcW w:w="120" w:type="dxa"/>
            <w:vAlign w:val="bottom"/>
          </w:tcPr>
          <w:p>
            <w:pPr>
              <w:spacing w:after="0"/>
              <w:rPr>
                <w:sz w:val="15"/>
                <w:szCs w:val="15"/>
                <w:color w:val="auto"/>
              </w:rPr>
            </w:pPr>
          </w:p>
        </w:tc>
        <w:tc>
          <w:tcPr>
            <w:tcW w:w="240" w:type="dxa"/>
            <w:vAlign w:val="bottom"/>
            <w:tcBorders>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1,133,556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4" w:name="page65"/>
    <w:bookmarkEnd w:id="64"/>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p>
      <w:pPr>
        <w:ind w:right="7240" w:firstLine="8"/>
        <w:spacing w:after="0" w:line="380" w:lineRule="auto"/>
        <w:tabs>
          <w:tab w:leader="none" w:pos="330" w:val="left"/>
        </w:tabs>
        <w:numPr>
          <w:ilvl w:val="0"/>
          <w:numId w:val="18"/>
        </w:numPr>
        <w:rPr>
          <w:rFonts w:ascii="Arial" w:cs="Arial" w:eastAsia="Arial" w:hAnsi="Arial"/>
          <w:sz w:val="20"/>
          <w:szCs w:val="20"/>
          <w:b w:val="1"/>
          <w:bCs w:val="1"/>
          <w:color w:val="004483"/>
        </w:rPr>
      </w:pPr>
      <w:r>
        <w:rPr>
          <w:rFonts w:ascii="Arial" w:cs="Arial" w:eastAsia="Arial" w:hAnsi="Arial"/>
          <w:sz w:val="20"/>
          <w:szCs w:val="20"/>
          <w:b w:val="1"/>
          <w:bCs w:val="1"/>
          <w:color w:val="004483"/>
        </w:rPr>
        <w:t xml:space="preserve">SIGNIFICANT ACCOUNTING POLICIES </w:t>
      </w:r>
      <w:r>
        <w:rPr>
          <w:rFonts w:ascii="Arial" w:cs="Arial" w:eastAsia="Arial" w:hAnsi="Arial"/>
          <w:sz w:val="20"/>
          <w:szCs w:val="20"/>
          <w:b w:val="1"/>
          <w:bCs w:val="1"/>
          <w:u w:val="single" w:color="auto"/>
          <w:color w:val="004483"/>
        </w:rPr>
        <w:t>Basis of Presentation</w:t>
      </w:r>
    </w:p>
    <w:p>
      <w:pPr>
        <w:ind w:right="40"/>
        <w:spacing w:after="0" w:line="283" w:lineRule="auto"/>
        <w:rPr>
          <w:sz w:val="20"/>
          <w:szCs w:val="20"/>
          <w:color w:val="auto"/>
        </w:rPr>
      </w:pPr>
      <w:r>
        <w:rPr>
          <w:rFonts w:ascii="Arial" w:cs="Arial" w:eastAsia="Arial" w:hAnsi="Arial"/>
          <w:sz w:val="18"/>
          <w:szCs w:val="18"/>
          <w:color w:val="auto"/>
        </w:rPr>
        <w:t>The consolidated financial statements include the accounts of Eagle Materials Inc. and its majority-owned subsidiaries (the Company), which may be referred to as we, our, or us. All intercompany balances and transactions have been eliminated. The Company is a holding company whose assets consist of its investments in its subsidiaries, joint venture, intercompany balances, and holdings of cash and cash equivalents. The businesses of the consolidated group are conducted through the Company’s subsidiaries. The Company conducts one of its cement plant operations through a joint venture, Texas Lehigh Cement Company L.P., which is located in Buda, Texas (the Joint Venture). Our investment in the Joint Venture is accounted for using the equity method of accounting, and those results have been included for the same period as our March 31 fiscal year end.</w:t>
      </w:r>
    </w:p>
    <w:p>
      <w:pPr>
        <w:spacing w:after="0" w:line="101"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On September 18, 2020, we sold our Oil and Gas Proppants business, which had been previously reported as a separate operating segment, for a purchase price of $2.0 million. The sale resulted in a gain of approximately $9.2 million. Because the sale of the Oil and Gas Proppants business was determined to meet the accounting criteria for discontinued operations, this segment is no longer separately reported in our reportable segment footnote for any of the periods presented. See Footnote (C) for more information about the sale of the Oil and Gas Proppants business.</w:t>
      </w:r>
    </w:p>
    <w:p>
      <w:pPr>
        <w:spacing w:after="0" w:line="98"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Cash and Cash Equivalents</w:t>
      </w:r>
    </w:p>
    <w:p>
      <w:pPr>
        <w:spacing w:after="0" w:line="148"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Cash Equivalents include short-term, highly liquid investments with original maturities of three months or less and are recorded at cost, which approximates market value.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Restricted Cash</w:t>
      </w:r>
    </w:p>
    <w:p>
      <w:pPr>
        <w:spacing w:after="0" w:line="148"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color w:val="auto"/>
        </w:rPr>
        <w:t>Restricted Cash is comprised of cash reserved by contractual agreement for a specific use. Restricted Cash is generally held in an escrow account and distributed under the terms of the contract or agreement. Restricted Cash is included with Cash and Cash Equivalents on the Consolidated Statement of Cash Flows.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Accounts and Notes Receivable</w:t>
      </w:r>
    </w:p>
    <w:p>
      <w:pPr>
        <w:spacing w:after="0" w:line="148"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Accounts and Notes Receivable have been shown net of the allowance for doubtful accounts of $6.7 million and $8.1 million at March 31, 2022 and 2021, respectively. We perform ongoing credit evaluations of our customers’ financial condition and generally require no collateral from our customers. The allowance for non-collection of receivables is based on our assessment of the collectability of outstanding accounts receivable, and includes a provision for probable losses based on historical write-offs, adjusted for current economic trends in the construction industry, and a specific reserve for accounts deemed at risk. We have no significant credit risk concentration among our diversified customer base. Bad debt expense was approximately $0.3 million, $0.7 million, and $3.4 million for the fiscal years ended March</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65" w:name="page66"/>
    <w:bookmarkEnd w:id="65"/>
    <w:p>
      <w:pPr>
        <w:ind w:right="240"/>
        <w:spacing w:after="0" w:line="293" w:lineRule="auto"/>
        <w:rPr>
          <w:sz w:val="20"/>
          <w:szCs w:val="20"/>
          <w:color w:val="auto"/>
        </w:rPr>
      </w:pPr>
      <w:r>
        <w:rPr>
          <w:rFonts w:ascii="Arial" w:cs="Arial" w:eastAsia="Arial" w:hAnsi="Arial"/>
          <w:sz w:val="18"/>
          <w:szCs w:val="18"/>
          <w:color w:val="auto"/>
        </w:rPr>
        <w:t>31, 2022, 2021, and 2020, respectively. Write-offs of accounts receivable were approximately $1.6 million, $1.2 million, and $0.3 million for the fiscal years ended March 31, 2022, 2021, and 2020, respectively.</w:t>
      </w:r>
    </w:p>
    <w:p>
      <w:pPr>
        <w:spacing w:after="0" w:line="8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We had Notes Receivable totaling approximately $8.4 million at March 31, 2022, of which none was classified as current. We lend funds to certain companies in the ordinary course of business, and the notes bear interest, on average, at 3.5%. Remaining unpaid amounts, plus accrued interest, mature in fiscal 2025. The notes are collateralized by certain assets of the borrowers, namely property and equipment. We monitor the credit risk of each borrower by focusing on the timeliness of payments, review of credit history, credit metrics, and interaction with the borrowers.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Inventories</w:t>
      </w:r>
    </w:p>
    <w:p>
      <w:pPr>
        <w:spacing w:after="0" w:line="148"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then converted to tonnage using standard inventory density factors. Inventories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600" w:type="dxa"/>
            <w:vAlign w:val="bottom"/>
            <w:shd w:val="clear" w:color="auto" w:fill="004483"/>
          </w:tcPr>
          <w:p>
            <w:pPr>
              <w:spacing w:after="0"/>
              <w:rPr>
                <w:sz w:val="13"/>
                <w:szCs w:val="13"/>
                <w:color w:val="auto"/>
              </w:rPr>
            </w:pPr>
          </w:p>
        </w:tc>
        <w:tc>
          <w:tcPr>
            <w:tcW w:w="2060" w:type="dxa"/>
            <w:vAlign w:val="bottom"/>
            <w:gridSpan w:val="3"/>
            <w:shd w:val="clear" w:color="auto" w:fill="004483"/>
          </w:tcPr>
          <w:p>
            <w:pPr>
              <w:jc w:val="right"/>
              <w:ind w:right="539"/>
              <w:spacing w:after="0"/>
              <w:rPr>
                <w:sz w:val="20"/>
                <w:szCs w:val="20"/>
                <w:color w:val="auto"/>
              </w:rPr>
            </w:pPr>
            <w:r>
              <w:rPr>
                <w:rFonts w:ascii="Arial" w:cs="Arial" w:eastAsia="Arial" w:hAnsi="Arial"/>
                <w:sz w:val="13"/>
                <w:szCs w:val="13"/>
                <w:b w:val="1"/>
                <w:bCs w:val="1"/>
                <w:color w:val="FFFFFF"/>
              </w:rPr>
              <w:t>March 31,</w:t>
            </w:r>
          </w:p>
        </w:tc>
        <w:tc>
          <w:tcPr>
            <w:tcW w:w="98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jc w:val="right"/>
              <w:ind w:right="44"/>
              <w:spacing w:after="0" w:line="134"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3"/>
          </w:tcPr>
          <w:p>
            <w:pPr>
              <w:jc w:val="right"/>
              <w:ind w:right="259"/>
              <w:spacing w:after="0"/>
              <w:rPr>
                <w:sz w:val="20"/>
                <w:szCs w:val="20"/>
                <w:color w:val="auto"/>
              </w:rPr>
            </w:pPr>
            <w:r>
              <w:rPr>
                <w:rFonts w:ascii="Arial" w:cs="Arial" w:eastAsia="Arial" w:hAnsi="Arial"/>
                <w:sz w:val="13"/>
                <w:szCs w:val="13"/>
                <w:color w:val="auto"/>
              </w:rPr>
              <w:t>(dollars in thousands)</w:t>
            </w:r>
          </w:p>
        </w:tc>
        <w:tc>
          <w:tcPr>
            <w:tcW w:w="98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Raw Materials and Materials-in-Progress</w:t>
            </w:r>
          </w:p>
        </w:tc>
        <w:tc>
          <w:tcPr>
            <w:tcW w:w="600" w:type="dxa"/>
            <w:vAlign w:val="bottom"/>
            <w:tcBorders>
              <w:bottom w:val="single" w:sz="8" w:color="A6A6A6"/>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81,308</w:t>
            </w:r>
          </w:p>
        </w:tc>
        <w:tc>
          <w:tcPr>
            <w:tcW w:w="920" w:type="dxa"/>
            <w:vAlign w:val="bottom"/>
            <w:tcBorders>
              <w:bottom w:val="single" w:sz="8" w:color="A6A6A6"/>
            </w:tcBorders>
            <w:gridSpan w:val="2"/>
          </w:tcPr>
          <w:p>
            <w:pPr>
              <w:jc w:val="right"/>
              <w:ind w:right="5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92,696</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386191"/>
              </w:rPr>
              <w:t>Finished Cement</w:t>
            </w:r>
          </w:p>
        </w:tc>
        <w:tc>
          <w:tcPr>
            <w:tcW w:w="60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38,769</w:t>
            </w:r>
          </w:p>
        </w:tc>
        <w:tc>
          <w:tcPr>
            <w:tcW w:w="18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34,362</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3983C5"/>
              </w:rPr>
              <w:t>Aggregates</w:t>
            </w:r>
          </w:p>
        </w:tc>
        <w:tc>
          <w:tcPr>
            <w:tcW w:w="60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3,558</w:t>
            </w:r>
          </w:p>
        </w:tc>
        <w:tc>
          <w:tcPr>
            <w:tcW w:w="18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2,933</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77943C"/>
              </w:rPr>
              <w:t>Gypsum Wallboard</w:t>
            </w:r>
          </w:p>
        </w:tc>
        <w:tc>
          <w:tcPr>
            <w:tcW w:w="60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3,452</w:t>
            </w:r>
          </w:p>
        </w:tc>
        <w:tc>
          <w:tcPr>
            <w:tcW w:w="18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4,177</w:t>
            </w:r>
          </w:p>
        </w:tc>
      </w:tr>
      <w:tr>
        <w:trPr>
          <w:trHeight w:val="182"/>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EB949"/>
              </w:rPr>
              <w:t>Paperboard</w:t>
            </w:r>
          </w:p>
        </w:tc>
        <w:tc>
          <w:tcPr>
            <w:tcW w:w="60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7,462</w:t>
            </w:r>
          </w:p>
        </w:tc>
        <w:tc>
          <w:tcPr>
            <w:tcW w:w="18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5,031</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Repair Parts and Supplies</w:t>
            </w:r>
          </w:p>
        </w:tc>
        <w:tc>
          <w:tcPr>
            <w:tcW w:w="60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91,593</w:t>
            </w:r>
          </w:p>
        </w:tc>
        <w:tc>
          <w:tcPr>
            <w:tcW w:w="18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86,750</w:t>
            </w: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Fuel and Coal</w:t>
            </w:r>
          </w:p>
        </w:tc>
        <w:tc>
          <w:tcPr>
            <w:tcW w:w="600" w:type="dxa"/>
            <w:vAlign w:val="bottom"/>
          </w:tcPr>
          <w:p>
            <w:pPr>
              <w:spacing w:after="0"/>
              <w:rPr>
                <w:sz w:val="15"/>
                <w:szCs w:val="15"/>
                <w:color w:val="auto"/>
              </w:rPr>
            </w:pPr>
          </w:p>
        </w:tc>
        <w:tc>
          <w:tcPr>
            <w:tcW w:w="1140" w:type="dxa"/>
            <w:vAlign w:val="bottom"/>
          </w:tcPr>
          <w:p>
            <w:pPr>
              <w:jc w:val="right"/>
              <w:ind w:right="44"/>
              <w:spacing w:after="0" w:line="183" w:lineRule="exact"/>
              <w:rPr>
                <w:sz w:val="20"/>
                <w:szCs w:val="20"/>
                <w:color w:val="auto"/>
              </w:rPr>
            </w:pPr>
            <w:r>
              <w:rPr>
                <w:rFonts w:ascii="Arial" w:cs="Arial" w:eastAsia="Arial" w:hAnsi="Arial"/>
                <w:sz w:val="16"/>
                <w:szCs w:val="16"/>
                <w:color w:val="auto"/>
              </w:rPr>
              <w:t>10,519</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9,800</w:t>
            </w:r>
          </w:p>
        </w:tc>
      </w:tr>
      <w:tr>
        <w:trPr>
          <w:trHeight w:val="27"/>
        </w:trPr>
        <w:tc>
          <w:tcPr>
            <w:tcW w:w="7600" w:type="dxa"/>
            <w:vAlign w:val="bottom"/>
            <w:tcBorders>
              <w:bottom w:val="single" w:sz="8" w:color="A6A6A6"/>
            </w:tcBorders>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74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r>
      <w:tr>
        <w:trPr>
          <w:trHeight w:val="183"/>
        </w:trPr>
        <w:tc>
          <w:tcPr>
            <w:tcW w:w="7600" w:type="dxa"/>
            <w:vAlign w:val="bottom"/>
          </w:tcPr>
          <w:p>
            <w:pPr>
              <w:spacing w:after="0"/>
              <w:rPr>
                <w:sz w:val="15"/>
                <w:szCs w:val="15"/>
                <w:color w:val="auto"/>
              </w:rPr>
            </w:pPr>
          </w:p>
        </w:tc>
        <w:tc>
          <w:tcPr>
            <w:tcW w:w="600" w:type="dxa"/>
            <w:vAlign w:val="bottom"/>
            <w:tcBorders>
              <w:bottom w:val="single" w:sz="8" w:color="004483"/>
            </w:tcBorders>
          </w:tcPr>
          <w:p>
            <w:pPr>
              <w:jc w:val="right"/>
              <w:ind w:right="419"/>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44"/>
              <w:spacing w:after="0" w:line="183" w:lineRule="exact"/>
              <w:rPr>
                <w:sz w:val="20"/>
                <w:szCs w:val="20"/>
                <w:color w:val="auto"/>
              </w:rPr>
            </w:pPr>
            <w:r>
              <w:rPr>
                <w:rFonts w:ascii="Arial" w:cs="Arial" w:eastAsia="Arial" w:hAnsi="Arial"/>
                <w:sz w:val="16"/>
                <w:szCs w:val="16"/>
                <w:b w:val="1"/>
                <w:bCs w:val="1"/>
                <w:color w:val="auto"/>
              </w:rPr>
              <w:t>236,661</w:t>
            </w:r>
          </w:p>
        </w:tc>
        <w:tc>
          <w:tcPr>
            <w:tcW w:w="180" w:type="dxa"/>
            <w:vAlign w:val="bottom"/>
          </w:tcPr>
          <w:p>
            <w:pPr>
              <w:spacing w:after="0"/>
              <w:rPr>
                <w:sz w:val="15"/>
                <w:szCs w:val="15"/>
                <w:color w:val="auto"/>
              </w:rPr>
            </w:pPr>
          </w:p>
        </w:tc>
        <w:tc>
          <w:tcPr>
            <w:tcW w:w="740" w:type="dxa"/>
            <w:vAlign w:val="bottom"/>
            <w:tcBorders>
              <w:bottom w:val="single" w:sz="8" w:color="004483"/>
            </w:tcBorders>
          </w:tcPr>
          <w:p>
            <w:pPr>
              <w:jc w:val="right"/>
              <w:ind w:right="559"/>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235,749</w:t>
            </w:r>
          </w:p>
        </w:tc>
      </w:tr>
      <w:tr>
        <w:trPr>
          <w:trHeight w:val="20"/>
        </w:trPr>
        <w:tc>
          <w:tcPr>
            <w:tcW w:w="760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Property, Plant, and Equipment</w:t>
      </w:r>
    </w:p>
    <w:p>
      <w:pPr>
        <w:spacing w:after="0" w:line="148"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Property, Plant, and Equipment are stated at cost. Major renewals and improvements are capitalized and depreciated. Annual maintenance is expensed as incurred. Depreciation is provided on a straight-line basis over the estimated useful lives of depreciable assets and totaled $122.4 million, $120.7 million, and $109.5 million, for the fiscal years ended March 31, 2022, 2021, and 2020, respectively. Raw material deposits are depleted as such deposits are extracted for production utilizing the units-of-production method. Costs and accumulated depreciation applicable to assets retired or sold are eliminated from the accounts and any resulting gains or losses are recognized at such time. The estimated useful lives of the related assets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8"/>
                <w:szCs w:val="18"/>
                <w:b w:val="1"/>
                <w:bCs w:val="1"/>
                <w:color w:val="004483"/>
              </w:rPr>
              <w:t>Plants</w:t>
            </w:r>
          </w:p>
        </w:tc>
        <w:tc>
          <w:tcPr>
            <w:tcW w:w="50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8"/>
                <w:szCs w:val="18"/>
                <w:color w:val="auto"/>
              </w:rPr>
              <w:t>20 to 30 years</w:t>
            </w:r>
          </w:p>
        </w:tc>
      </w:tr>
      <w:tr>
        <w:trPr>
          <w:trHeight w:val="196"/>
        </w:trPr>
        <w:tc>
          <w:tcPr>
            <w:tcW w:w="6160" w:type="dxa"/>
            <w:vAlign w:val="bottom"/>
            <w:tcBorders>
              <w:bottom w:val="single" w:sz="8" w:color="A6A6A6"/>
            </w:tcBorders>
          </w:tcPr>
          <w:p>
            <w:pPr>
              <w:ind w:left="20"/>
              <w:spacing w:after="0" w:line="196" w:lineRule="exact"/>
              <w:rPr>
                <w:sz w:val="20"/>
                <w:szCs w:val="20"/>
                <w:color w:val="auto"/>
              </w:rPr>
            </w:pPr>
            <w:r>
              <w:rPr>
                <w:rFonts w:ascii="Arial" w:cs="Arial" w:eastAsia="Arial" w:hAnsi="Arial"/>
                <w:sz w:val="18"/>
                <w:szCs w:val="18"/>
                <w:b w:val="1"/>
                <w:bCs w:val="1"/>
                <w:color w:val="004483"/>
              </w:rPr>
              <w:t>Buildings</w:t>
            </w:r>
          </w:p>
        </w:tc>
        <w:tc>
          <w:tcPr>
            <w:tcW w:w="5080" w:type="dxa"/>
            <w:vAlign w:val="bottom"/>
            <w:tcBorders>
              <w:bottom w:val="single" w:sz="8" w:color="A6A6A6"/>
            </w:tcBorders>
          </w:tcPr>
          <w:p>
            <w:pPr>
              <w:jc w:val="right"/>
              <w:spacing w:after="0" w:line="196" w:lineRule="exact"/>
              <w:rPr>
                <w:sz w:val="20"/>
                <w:szCs w:val="20"/>
                <w:color w:val="auto"/>
              </w:rPr>
            </w:pPr>
            <w:r>
              <w:rPr>
                <w:rFonts w:ascii="Arial" w:cs="Arial" w:eastAsia="Arial" w:hAnsi="Arial"/>
                <w:sz w:val="18"/>
                <w:szCs w:val="18"/>
                <w:color w:val="auto"/>
              </w:rPr>
              <w:t>20 to 40 years</w:t>
            </w:r>
          </w:p>
        </w:tc>
      </w:tr>
      <w:tr>
        <w:trPr>
          <w:trHeight w:val="196"/>
        </w:trPr>
        <w:tc>
          <w:tcPr>
            <w:tcW w:w="6160" w:type="dxa"/>
            <w:vAlign w:val="bottom"/>
            <w:tcBorders>
              <w:bottom w:val="single" w:sz="8" w:color="A6A6A6"/>
            </w:tcBorders>
          </w:tcPr>
          <w:p>
            <w:pPr>
              <w:ind w:left="20"/>
              <w:spacing w:after="0" w:line="196" w:lineRule="exact"/>
              <w:rPr>
                <w:sz w:val="20"/>
                <w:szCs w:val="20"/>
                <w:color w:val="auto"/>
              </w:rPr>
            </w:pPr>
            <w:r>
              <w:rPr>
                <w:rFonts w:ascii="Arial" w:cs="Arial" w:eastAsia="Arial" w:hAnsi="Arial"/>
                <w:sz w:val="18"/>
                <w:szCs w:val="18"/>
                <w:b w:val="1"/>
                <w:bCs w:val="1"/>
                <w:color w:val="004483"/>
              </w:rPr>
              <w:t>Machinery and Equipment</w:t>
            </w:r>
          </w:p>
        </w:tc>
        <w:tc>
          <w:tcPr>
            <w:tcW w:w="5080" w:type="dxa"/>
            <w:vAlign w:val="bottom"/>
            <w:tcBorders>
              <w:bottom w:val="single" w:sz="8" w:color="A6A6A6"/>
            </w:tcBorders>
          </w:tcPr>
          <w:p>
            <w:pPr>
              <w:jc w:val="right"/>
              <w:spacing w:after="0" w:line="196" w:lineRule="exact"/>
              <w:rPr>
                <w:sz w:val="20"/>
                <w:szCs w:val="20"/>
                <w:color w:val="auto"/>
              </w:rPr>
            </w:pPr>
            <w:r>
              <w:rPr>
                <w:rFonts w:ascii="Arial" w:cs="Arial" w:eastAsia="Arial" w:hAnsi="Arial"/>
                <w:sz w:val="18"/>
                <w:szCs w:val="18"/>
                <w:color w:val="auto"/>
              </w:rPr>
              <w:t>3 to 25 years</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 expenses are included in each segment’s costs and expenses. We incurred $147.8 million, $137.2 million, and</w:t>
      </w:r>
    </w:p>
    <w:p>
      <w:pPr>
        <w:spacing w:after="0" w:line="36"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$127.0 million of maintenance and repair expenses in the fiscal years ended March 31, 2022, 2021, and 2020, respectively, which is included in Cost of Goods Sold on the Consolidated Statement of Earnings.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6" w:name="page67"/>
    <w:bookmarkEnd w:id="66"/>
    <w:p>
      <w:pPr>
        <w:ind w:right="500"/>
        <w:spacing w:after="0" w:line="293" w:lineRule="auto"/>
        <w:rPr>
          <w:sz w:val="20"/>
          <w:szCs w:val="20"/>
          <w:color w:val="auto"/>
        </w:rPr>
      </w:pPr>
      <w:r>
        <w:rPr>
          <w:rFonts w:ascii="Arial" w:cs="Arial" w:eastAsia="Arial" w:hAnsi="Arial"/>
          <w:sz w:val="18"/>
          <w:szCs w:val="18"/>
          <w:color w:val="auto"/>
        </w:rPr>
        <w:t>We periodically evaluate whether current events or circumstances indicate that the carrying value of our depreciable assets may not be recoverable. See Impairment or Disposal of Long-lived and Intangible Assets below for more information about the impairments.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Goodwill and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GOODWILL</w:t>
      </w:r>
    </w:p>
    <w:p>
      <w:pPr>
        <w:spacing w:after="0" w:line="166"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We annually assess Goodwill in the fourth quarter of our fiscal year, or more frequently when indicators of impairment exist. Impairment testing for Goodwill is done at the reporting unit, which is consistent with the reportable segment.</w:t>
      </w:r>
    </w:p>
    <w:p>
      <w:pPr>
        <w:spacing w:after="0" w:line="89"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test. The qualitative analysis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quantitative Step 1 test is not required. If we are unable to conclude that it is more likely than not that the fair value of the reporting unit exceeds its carrying value, then we proceed to the quantitative Step 1 test.</w:t>
      </w:r>
    </w:p>
    <w:p>
      <w:pPr>
        <w:spacing w:after="0" w:line="99"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test and the carrying value of the reporting unit exceeds its fair value, then an impairment charge equal to the difference, not to exceed the total amount of Goodwill, is recorded.</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We also perform an overall comparison of all reporting units to our market capitalization in order to test the reasonableness of our fair value calculations.</w:t>
      </w:r>
    </w:p>
    <w:p>
      <w:pPr>
        <w:spacing w:after="0" w:line="97" w:lineRule="exact"/>
        <w:rPr>
          <w:sz w:val="20"/>
          <w:szCs w:val="20"/>
          <w:color w:val="auto"/>
        </w:rPr>
      </w:pPr>
    </w:p>
    <w:p>
      <w:pPr>
        <w:ind w:right="220"/>
        <w:spacing w:after="0" w:line="283" w:lineRule="auto"/>
        <w:rPr>
          <w:sz w:val="20"/>
          <w:szCs w:val="20"/>
          <w:color w:val="auto"/>
        </w:rPr>
      </w:pPr>
      <w:r>
        <w:rPr>
          <w:rFonts w:ascii="Arial" w:cs="Arial" w:eastAsia="Arial" w:hAnsi="Arial"/>
          <w:sz w:val="18"/>
          <w:szCs w:val="18"/>
          <w:color w:val="auto"/>
        </w:rPr>
        <w:t>We performed qualitative assessments on all of our reporting units in the fourth quarter of fiscal 2022. As a result of these qualitative assessments, we determined that it was not more likely than not that an impairment existed; therefore, we did not perform a Step 1 quantitative test in fiscal 2022. We performed a quantitative Step 1 impairment test on our all of our reporting units with Goodwill during the fourth quarter of fiscal 2021. We estimated the reporting unit’s fair value using a discounted cash flow model as well as a market analysis. Key assumptions in the model included estimated average net sales prices, sales volumes, and the estimated weighted average cost of capital specific to each industry. Based on the results of the Step 1 impairment analysis, we concluded that the fair values of the reporting units substantially exceeded their carrying values, and therefore no impairment was recognized.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004483"/>
        </w:rPr>
        <w:t>GOODWILL AND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at March 31, 2022 and 2021,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60" w:type="dxa"/>
            <w:vAlign w:val="bottom"/>
          </w:tcPr>
          <w:p>
            <w:pPr>
              <w:spacing w:after="0"/>
              <w:rPr>
                <w:sz w:val="13"/>
                <w:szCs w:val="13"/>
                <w:color w:val="auto"/>
              </w:rPr>
            </w:pPr>
          </w:p>
        </w:tc>
        <w:tc>
          <w:tcPr>
            <w:tcW w:w="1240" w:type="dxa"/>
            <w:vAlign w:val="bottom"/>
            <w:shd w:val="clear" w:color="auto" w:fill="004483"/>
          </w:tcPr>
          <w:p>
            <w:pPr>
              <w:spacing w:after="0"/>
              <w:rPr>
                <w:sz w:val="13"/>
                <w:szCs w:val="13"/>
                <w:color w:val="auto"/>
              </w:rPr>
            </w:pPr>
          </w:p>
        </w:tc>
        <w:tc>
          <w:tcPr>
            <w:tcW w:w="320" w:type="dxa"/>
            <w:vAlign w:val="bottom"/>
            <w:shd w:val="clear" w:color="auto" w:fill="004483"/>
          </w:tcPr>
          <w:p>
            <w:pPr>
              <w:spacing w:after="0"/>
              <w:rPr>
                <w:sz w:val="13"/>
                <w:szCs w:val="13"/>
                <w:color w:val="auto"/>
              </w:rPr>
            </w:pPr>
          </w:p>
        </w:tc>
        <w:tc>
          <w:tcPr>
            <w:tcW w:w="880" w:type="dxa"/>
            <w:vAlign w:val="bottom"/>
            <w:shd w:val="clear" w:color="auto" w:fill="004483"/>
          </w:tcPr>
          <w:p>
            <w:pPr>
              <w:spacing w:after="0"/>
              <w:rPr>
                <w:sz w:val="13"/>
                <w:szCs w:val="13"/>
                <w:color w:val="auto"/>
              </w:rPr>
            </w:pPr>
          </w:p>
        </w:tc>
        <w:tc>
          <w:tcPr>
            <w:tcW w:w="140" w:type="dxa"/>
            <w:vAlign w:val="bottom"/>
            <w:tcBorders>
              <w:right w:val="single" w:sz="8" w:color="004483"/>
            </w:tcBorders>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1040" w:type="dxa"/>
            <w:vAlign w:val="bottom"/>
            <w:shd w:val="clear" w:color="auto" w:fill="004483"/>
          </w:tcPr>
          <w:p>
            <w:pPr>
              <w:jc w:val="center"/>
              <w:ind w:right="104"/>
              <w:spacing w:after="0"/>
              <w:rPr>
                <w:sz w:val="20"/>
                <w:szCs w:val="20"/>
                <w:color w:val="auto"/>
              </w:rPr>
            </w:pPr>
            <w:r>
              <w:rPr>
                <w:rFonts w:ascii="Arial" w:cs="Arial" w:eastAsia="Arial" w:hAnsi="Arial"/>
                <w:sz w:val="13"/>
                <w:szCs w:val="13"/>
                <w:b w:val="1"/>
                <w:bCs w:val="1"/>
                <w:color w:val="FFFFFF"/>
                <w:w w:val="88"/>
              </w:rPr>
              <w:t>March 31, 2022</w:t>
            </w:r>
          </w:p>
        </w:tc>
        <w:tc>
          <w:tcPr>
            <w:tcW w:w="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20" w:type="dxa"/>
            <w:vAlign w:val="bottom"/>
            <w:shd w:val="clear" w:color="auto" w:fill="004483"/>
          </w:tcPr>
          <w:p>
            <w:pPr>
              <w:spacing w:after="0"/>
              <w:rPr>
                <w:sz w:val="13"/>
                <w:szCs w:val="13"/>
                <w:color w:val="auto"/>
              </w:rPr>
            </w:pPr>
          </w:p>
        </w:tc>
        <w:tc>
          <w:tcPr>
            <w:tcW w:w="200" w:type="dxa"/>
            <w:vAlign w:val="bottom"/>
            <w:shd w:val="clear" w:color="auto" w:fill="004483"/>
          </w:tcPr>
          <w:p>
            <w:pPr>
              <w:spacing w:after="0"/>
              <w:rPr>
                <w:sz w:val="13"/>
                <w:szCs w:val="13"/>
                <w:color w:val="auto"/>
              </w:rPr>
            </w:pPr>
          </w:p>
        </w:tc>
        <w:tc>
          <w:tcPr>
            <w:tcW w:w="940" w:type="dxa"/>
            <w:vAlign w:val="bottom"/>
            <w:shd w:val="clear" w:color="auto" w:fill="004483"/>
          </w:tcPr>
          <w:p>
            <w:pPr>
              <w:spacing w:after="0"/>
              <w:rPr>
                <w:sz w:val="13"/>
                <w:szCs w:val="13"/>
                <w:color w:val="auto"/>
              </w:rPr>
            </w:pPr>
          </w:p>
        </w:tc>
        <w:tc>
          <w:tcPr>
            <w:tcW w:w="140" w:type="dxa"/>
            <w:vAlign w:val="bottom"/>
            <w:tcBorders>
              <w:left w:val="single" w:sz="8" w:color="004483"/>
              <w:right w:val="single" w:sz="8" w:color="004483"/>
            </w:tcBorders>
            <w:shd w:val="clear" w:color="auto" w:fill="004483"/>
          </w:tcPr>
          <w:p>
            <w:pPr>
              <w:spacing w:after="0"/>
              <w:rPr>
                <w:sz w:val="13"/>
                <w:szCs w:val="13"/>
                <w:color w:val="auto"/>
              </w:rPr>
            </w:pPr>
          </w:p>
        </w:tc>
        <w:tc>
          <w:tcPr>
            <w:tcW w:w="300" w:type="dxa"/>
            <w:vAlign w:val="bottom"/>
            <w:shd w:val="clear" w:color="auto" w:fill="004483"/>
          </w:tcPr>
          <w:p>
            <w:pPr>
              <w:spacing w:after="0"/>
              <w:rPr>
                <w:sz w:val="13"/>
                <w:szCs w:val="13"/>
                <w:color w:val="auto"/>
              </w:rPr>
            </w:pPr>
          </w:p>
        </w:tc>
        <w:tc>
          <w:tcPr>
            <w:tcW w:w="86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1240" w:type="dxa"/>
            <w:vAlign w:val="bottom"/>
          </w:tcPr>
          <w:p>
            <w:pPr>
              <w:jc w:val="right"/>
              <w:ind w:right="67"/>
              <w:spacing w:after="0" w:line="108" w:lineRule="exact"/>
              <w:rPr>
                <w:sz w:val="20"/>
                <w:szCs w:val="20"/>
                <w:color w:val="auto"/>
              </w:rPr>
            </w:pPr>
            <w:r>
              <w:rPr>
                <w:rFonts w:ascii="Arial" w:cs="Arial" w:eastAsia="Arial" w:hAnsi="Arial"/>
                <w:sz w:val="12"/>
                <w:szCs w:val="12"/>
                <w:b w:val="1"/>
                <w:bCs w:val="1"/>
                <w:color w:val="auto"/>
              </w:rPr>
              <w:t>Amortization</w:t>
            </w:r>
          </w:p>
        </w:tc>
        <w:tc>
          <w:tcPr>
            <w:tcW w:w="320" w:type="dxa"/>
            <w:vAlign w:val="bottom"/>
          </w:tcPr>
          <w:p>
            <w:pPr>
              <w:spacing w:after="0"/>
              <w:rPr>
                <w:sz w:val="9"/>
                <w:szCs w:val="9"/>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Additions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ind w:left="100"/>
              <w:spacing w:after="0" w:line="108"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40" w:type="dxa"/>
            <w:vAlign w:val="bottom"/>
          </w:tcPr>
          <w:p>
            <w:pPr>
              <w:jc w:val="right"/>
              <w:ind w:right="67"/>
              <w:spacing w:after="0" w:line="148" w:lineRule="exact"/>
              <w:rPr>
                <w:sz w:val="20"/>
                <w:szCs w:val="20"/>
                <w:color w:val="auto"/>
              </w:rPr>
            </w:pPr>
            <w:r>
              <w:rPr>
                <w:rFonts w:ascii="Arial" w:cs="Arial" w:eastAsia="Arial" w:hAnsi="Arial"/>
                <w:sz w:val="13"/>
                <w:szCs w:val="13"/>
                <w:b w:val="1"/>
                <w:bCs w:val="1"/>
                <w:color w:val="auto"/>
              </w:rPr>
              <w:t>Period</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ind w:left="100"/>
              <w:spacing w:after="0" w:line="148" w:lineRule="exact"/>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60" w:type="dxa"/>
            <w:vAlign w:val="bottom"/>
            <w:tcBorders>
              <w:bottom w:val="single" w:sz="8" w:color="004483"/>
            </w:tcBorders>
          </w:tcPr>
          <w:p>
            <w:pPr>
              <w:spacing w:after="0"/>
              <w:rPr>
                <w:sz w:val="15"/>
                <w:szCs w:val="15"/>
                <w:color w:val="auto"/>
              </w:rPr>
            </w:pPr>
          </w:p>
        </w:tc>
        <w:tc>
          <w:tcPr>
            <w:tcW w:w="124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260" w:type="dxa"/>
            <w:vAlign w:val="bottom"/>
            <w:tcBorders>
              <w:bottom w:val="single" w:sz="8" w:color="004483"/>
            </w:tcBorders>
            <w:gridSpan w:val="3"/>
          </w:tcPr>
          <w:p>
            <w:pPr>
              <w:jc w:val="center"/>
              <w:spacing w:after="0"/>
              <w:rPr>
                <w:sz w:val="20"/>
                <w:szCs w:val="20"/>
                <w:color w:val="auto"/>
              </w:rPr>
            </w:pPr>
            <w:r>
              <w:rPr>
                <w:rFonts w:ascii="Arial" w:cs="Arial" w:eastAsia="Arial" w:hAnsi="Arial"/>
                <w:sz w:val="13"/>
                <w:szCs w:val="13"/>
                <w:color w:val="auto"/>
                <w:w w:val="88"/>
              </w:rPr>
              <w:t>(dollars in thousands)</w:t>
            </w:r>
          </w:p>
        </w:tc>
        <w:tc>
          <w:tcPr>
            <w:tcW w:w="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2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86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 and Intangible Assets:</w:t>
            </w:r>
          </w:p>
        </w:tc>
        <w:tc>
          <w:tcPr>
            <w:tcW w:w="1240" w:type="dxa"/>
            <w:vAlign w:val="bottom"/>
            <w:tcBorders>
              <w:bottom w:val="single" w:sz="8" w:color="A6A6A6"/>
            </w:tcBorders>
          </w:tcPr>
          <w:p>
            <w:pPr>
              <w:spacing w:after="0"/>
              <w:rPr>
                <w:sz w:val="16"/>
                <w:szCs w:val="16"/>
                <w:color w:val="auto"/>
              </w:rPr>
            </w:pPr>
          </w:p>
        </w:tc>
        <w:tc>
          <w:tcPr>
            <w:tcW w:w="32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80" w:type="dxa"/>
            <w:vAlign w:val="bottom"/>
            <w:tcBorders>
              <w:bottom w:val="single" w:sz="8" w:color="A6A6A6"/>
            </w:tcBorders>
          </w:tcPr>
          <w:p>
            <w:pPr>
              <w:spacing w:after="0"/>
              <w:rPr>
                <w:sz w:val="16"/>
                <w:szCs w:val="16"/>
                <w:color w:val="auto"/>
              </w:rPr>
            </w:pPr>
          </w:p>
        </w:tc>
        <w:tc>
          <w:tcPr>
            <w:tcW w:w="104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94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30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Customer Contracts and Relationships</w:t>
            </w:r>
          </w:p>
        </w:tc>
        <w:tc>
          <w:tcPr>
            <w:tcW w:w="1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15 years</w:t>
            </w:r>
          </w:p>
        </w:tc>
        <w:tc>
          <w:tcPr>
            <w:tcW w:w="320" w:type="dxa"/>
            <w:vAlign w:val="bottom"/>
            <w:tcBorders>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108,610</w:t>
            </w:r>
          </w:p>
        </w:tc>
        <w:tc>
          <w:tcPr>
            <w:tcW w:w="2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ind w:left="760"/>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6A6A6"/>
            </w:tcBorders>
            <w:gridSpan w:val="4"/>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(69,866 )</w:t>
            </w:r>
          </w:p>
        </w:tc>
        <w:tc>
          <w:tcPr>
            <w:tcW w:w="440" w:type="dxa"/>
            <w:vAlign w:val="bottom"/>
            <w:tcBorders>
              <w:bottom w:val="single" w:sz="8" w:color="A6A6A6"/>
            </w:tcBorders>
            <w:gridSpan w:val="2"/>
          </w:tcPr>
          <w:p>
            <w:pPr>
              <w:jc w:val="right"/>
              <w:ind w:right="142"/>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38,744</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Permits</w:t>
            </w:r>
          </w:p>
        </w:tc>
        <w:tc>
          <w:tcPr>
            <w:tcW w:w="1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25-40 years</w:t>
            </w:r>
          </w:p>
        </w:tc>
        <w:tc>
          <w:tcPr>
            <w:tcW w:w="3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30,410</w:t>
            </w:r>
          </w:p>
        </w:tc>
        <w:tc>
          <w:tcPr>
            <w:tcW w:w="140" w:type="dxa"/>
            <w:vAlign w:val="bottom"/>
            <w:tcBorders>
              <w:bottom w:val="single" w:sz="8" w:color="A6A6A6"/>
            </w:tcBorders>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ind w:left="760"/>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(11,629 )</w:t>
            </w:r>
          </w:p>
        </w:tc>
        <w:tc>
          <w:tcPr>
            <w:tcW w:w="14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18,781</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Trade Name</w:t>
            </w:r>
          </w:p>
        </w:tc>
        <w:tc>
          <w:tcPr>
            <w:tcW w:w="1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15 years</w:t>
            </w:r>
          </w:p>
        </w:tc>
        <w:tc>
          <w:tcPr>
            <w:tcW w:w="3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1,500</w:t>
            </w:r>
          </w:p>
        </w:tc>
        <w:tc>
          <w:tcPr>
            <w:tcW w:w="140" w:type="dxa"/>
            <w:vAlign w:val="bottom"/>
            <w:tcBorders>
              <w:bottom w:val="single" w:sz="8" w:color="A6A6A6"/>
            </w:tcBorders>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ind w:left="760"/>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(264 )</w:t>
            </w:r>
          </w:p>
        </w:tc>
        <w:tc>
          <w:tcPr>
            <w:tcW w:w="14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line="183" w:lineRule="exact"/>
              <w:rPr>
                <w:sz w:val="20"/>
                <w:szCs w:val="20"/>
                <w:color w:val="auto"/>
              </w:rPr>
            </w:pPr>
            <w:r>
              <w:rPr>
                <w:rFonts w:ascii="Arial" w:cs="Arial" w:eastAsia="Arial" w:hAnsi="Arial"/>
                <w:sz w:val="16"/>
                <w:szCs w:val="16"/>
                <w:color w:val="004483"/>
              </w:rPr>
              <w:t>Goodwill</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42"/>
              <w:spacing w:after="0" w:line="183" w:lineRule="exact"/>
              <w:rPr>
                <w:sz w:val="20"/>
                <w:szCs w:val="20"/>
                <w:color w:val="auto"/>
              </w:rPr>
            </w:pPr>
            <w:r>
              <w:rPr>
                <w:rFonts w:ascii="Arial" w:cs="Arial" w:eastAsia="Arial" w:hAnsi="Arial"/>
                <w:sz w:val="16"/>
                <w:szCs w:val="16"/>
                <w:color w:val="auto"/>
              </w:rPr>
              <w:t>329,137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ind w:left="76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5"/>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42"/>
              <w:spacing w:after="0" w:line="183" w:lineRule="exact"/>
              <w:rPr>
                <w:sz w:val="20"/>
                <w:szCs w:val="20"/>
                <w:color w:val="auto"/>
              </w:rPr>
            </w:pPr>
            <w:r>
              <w:rPr>
                <w:rFonts w:ascii="Arial" w:cs="Arial" w:eastAsia="Arial" w:hAnsi="Arial"/>
                <w:sz w:val="16"/>
                <w:szCs w:val="16"/>
                <w:color w:val="auto"/>
              </w:rPr>
              <w:t>329,137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6A6A6"/>
            </w:tcBorders>
          </w:tcPr>
          <w:p>
            <w:pPr>
              <w:spacing w:after="0"/>
              <w:rPr>
                <w:sz w:val="2"/>
                <w:szCs w:val="2"/>
                <w:color w:val="auto"/>
              </w:rPr>
            </w:pPr>
          </w:p>
        </w:tc>
        <w:tc>
          <w:tcPr>
            <w:tcW w:w="124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6A6A6"/>
              <w:right w:val="single" w:sz="8" w:color="004483"/>
            </w:tcBorders>
          </w:tcPr>
          <w:p>
            <w:pPr>
              <w:spacing w:after="0"/>
              <w:rPr>
                <w:sz w:val="2"/>
                <w:szCs w:val="2"/>
                <w:color w:val="auto"/>
              </w:rPr>
            </w:pPr>
          </w:p>
        </w:tc>
        <w:tc>
          <w:tcPr>
            <w:tcW w:w="80" w:type="dxa"/>
            <w:vAlign w:val="bottom"/>
            <w:tcBorders>
              <w:bottom w:val="single" w:sz="8" w:color="004483"/>
            </w:tcBorders>
            <w:shd w:val="clear" w:color="auto" w:fill="004483"/>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tcBorders>
              <w:bottom w:val="single" w:sz="8" w:color="004483"/>
            </w:tcBorders>
            <w:shd w:val="clear" w:color="auto" w:fill="004483"/>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6A6A6"/>
              <w:right w:val="single" w:sz="8" w:color="004483"/>
            </w:tcBorders>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Goodwill and Intangible Assets</w:t>
            </w:r>
          </w:p>
        </w:tc>
        <w:tc>
          <w:tcPr>
            <w:tcW w:w="1240" w:type="dxa"/>
            <w:vAlign w:val="bottom"/>
          </w:tcPr>
          <w:p>
            <w:pPr>
              <w:spacing w:after="0"/>
              <w:rPr>
                <w:sz w:val="15"/>
                <w:szCs w:val="15"/>
                <w:color w:val="auto"/>
              </w:rPr>
            </w:pPr>
          </w:p>
        </w:tc>
        <w:tc>
          <w:tcPr>
            <w:tcW w:w="320" w:type="dxa"/>
            <w:vAlign w:val="bottom"/>
            <w:tcBorders>
              <w:bottom w:val="single" w:sz="8" w:color="004483"/>
            </w:tcBorders>
          </w:tcPr>
          <w:p>
            <w:pPr>
              <w:jc w:val="right"/>
              <w:ind w:right="13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469,657</w:t>
            </w:r>
          </w:p>
        </w:tc>
        <w:tc>
          <w:tcPr>
            <w:tcW w:w="140" w:type="dxa"/>
            <w:vAlign w:val="bottom"/>
          </w:tcPr>
          <w:p>
            <w:pPr>
              <w:spacing w:after="0"/>
              <w:rPr>
                <w:sz w:val="15"/>
                <w:szCs w:val="15"/>
                <w:color w:val="auto"/>
              </w:rPr>
            </w:pPr>
          </w:p>
        </w:tc>
        <w:tc>
          <w:tcPr>
            <w:tcW w:w="80" w:type="dxa"/>
            <w:vAlign w:val="bottom"/>
            <w:tcBorders>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004483"/>
            </w:tcBorders>
          </w:tcPr>
          <w:p>
            <w:pPr>
              <w:ind w:left="760"/>
              <w:spacing w:after="0" w:line="183" w:lineRule="exact"/>
              <w:rPr>
                <w:sz w:val="20"/>
                <w:szCs w:val="20"/>
                <w:color w:val="auto"/>
              </w:rPr>
            </w:pPr>
            <w:r>
              <w:rPr>
                <w:rFonts w:ascii="Arial" w:cs="Arial" w:eastAsia="Arial" w:hAnsi="Arial"/>
                <w:sz w:val="16"/>
                <w:szCs w:val="16"/>
                <w:b w:val="1"/>
                <w:bCs w:val="1"/>
                <w:color w:val="auto"/>
              </w:rPr>
              <w:t>—</w:t>
            </w: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004483"/>
            </w:tcBorders>
            <w:gridSpan w:val="2"/>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(81,759 )</w:t>
            </w:r>
          </w:p>
        </w:tc>
        <w:tc>
          <w:tcPr>
            <w:tcW w:w="140" w:type="dxa"/>
            <w:vAlign w:val="bottom"/>
          </w:tcPr>
          <w:p>
            <w:pPr>
              <w:spacing w:after="0"/>
              <w:rPr>
                <w:sz w:val="15"/>
                <w:szCs w:val="15"/>
                <w:color w:val="auto"/>
              </w:rPr>
            </w:pPr>
          </w:p>
        </w:tc>
        <w:tc>
          <w:tcPr>
            <w:tcW w:w="300" w:type="dxa"/>
            <w:vAlign w:val="bottom"/>
            <w:tcBorders>
              <w:bottom w:val="single" w:sz="8" w:color="004483"/>
            </w:tcBorders>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387,898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40" w:type="dxa"/>
            <w:vAlign w:val="bottom"/>
            <w:shd w:val="clear" w:color="auto" w:fill="004483"/>
          </w:tcPr>
          <w:p>
            <w:pPr>
              <w:spacing w:after="0"/>
              <w:rPr>
                <w:sz w:val="12"/>
                <w:szCs w:val="12"/>
                <w:color w:val="auto"/>
              </w:rPr>
            </w:pPr>
          </w:p>
        </w:tc>
        <w:tc>
          <w:tcPr>
            <w:tcW w:w="320" w:type="dxa"/>
            <w:vAlign w:val="bottom"/>
            <w:shd w:val="clear" w:color="auto" w:fill="004483"/>
          </w:tcPr>
          <w:p>
            <w:pPr>
              <w:spacing w:after="0"/>
              <w:rPr>
                <w:sz w:val="12"/>
                <w:szCs w:val="12"/>
                <w:color w:val="auto"/>
              </w:rPr>
            </w:pPr>
          </w:p>
        </w:tc>
        <w:tc>
          <w:tcPr>
            <w:tcW w:w="880" w:type="dxa"/>
            <w:vAlign w:val="bottom"/>
            <w:shd w:val="clear" w:color="auto" w:fill="004483"/>
          </w:tcPr>
          <w:p>
            <w:pPr>
              <w:spacing w:after="0"/>
              <w:rPr>
                <w:sz w:val="12"/>
                <w:szCs w:val="12"/>
                <w:color w:val="auto"/>
              </w:rPr>
            </w:pPr>
          </w:p>
        </w:tc>
        <w:tc>
          <w:tcPr>
            <w:tcW w:w="140" w:type="dxa"/>
            <w:vAlign w:val="bottom"/>
            <w:tcBorders>
              <w:right w:val="single" w:sz="8" w:color="004483"/>
            </w:tcBorders>
            <w:shd w:val="clear" w:color="auto" w:fill="004483"/>
          </w:tcPr>
          <w:p>
            <w:pPr>
              <w:spacing w:after="0"/>
              <w:rPr>
                <w:sz w:val="12"/>
                <w:szCs w:val="12"/>
                <w:color w:val="auto"/>
              </w:rPr>
            </w:pPr>
          </w:p>
        </w:tc>
        <w:tc>
          <w:tcPr>
            <w:tcW w:w="80" w:type="dxa"/>
            <w:vAlign w:val="bottom"/>
            <w:shd w:val="clear" w:color="auto" w:fill="004483"/>
          </w:tcPr>
          <w:p>
            <w:pPr>
              <w:spacing w:after="0"/>
              <w:rPr>
                <w:sz w:val="12"/>
                <w:szCs w:val="12"/>
                <w:color w:val="auto"/>
              </w:rPr>
            </w:pPr>
          </w:p>
        </w:tc>
        <w:tc>
          <w:tcPr>
            <w:tcW w:w="1040" w:type="dxa"/>
            <w:vAlign w:val="bottom"/>
            <w:shd w:val="clear" w:color="auto" w:fill="004483"/>
          </w:tcPr>
          <w:p>
            <w:pPr>
              <w:jc w:val="center"/>
              <w:ind w:right="104"/>
              <w:spacing w:after="0"/>
              <w:rPr>
                <w:sz w:val="20"/>
                <w:szCs w:val="20"/>
                <w:color w:val="auto"/>
              </w:rPr>
            </w:pPr>
            <w:r>
              <w:rPr>
                <w:rFonts w:ascii="Arial" w:cs="Arial" w:eastAsia="Arial" w:hAnsi="Arial"/>
                <w:sz w:val="13"/>
                <w:szCs w:val="13"/>
                <w:b w:val="1"/>
                <w:bCs w:val="1"/>
                <w:color w:val="FFFFFF"/>
                <w:w w:val="88"/>
              </w:rPr>
              <w:t>March 31, 2021</w:t>
            </w:r>
          </w:p>
        </w:tc>
        <w:tc>
          <w:tcPr>
            <w:tcW w:w="2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20" w:type="dxa"/>
            <w:vAlign w:val="bottom"/>
            <w:shd w:val="clear" w:color="auto" w:fill="004483"/>
          </w:tcPr>
          <w:p>
            <w:pPr>
              <w:spacing w:after="0"/>
              <w:rPr>
                <w:sz w:val="12"/>
                <w:szCs w:val="12"/>
                <w:color w:val="auto"/>
              </w:rPr>
            </w:pPr>
          </w:p>
        </w:tc>
        <w:tc>
          <w:tcPr>
            <w:tcW w:w="200" w:type="dxa"/>
            <w:vAlign w:val="bottom"/>
            <w:shd w:val="clear" w:color="auto" w:fill="004483"/>
          </w:tcPr>
          <w:p>
            <w:pPr>
              <w:spacing w:after="0"/>
              <w:rPr>
                <w:sz w:val="12"/>
                <w:szCs w:val="12"/>
                <w:color w:val="auto"/>
              </w:rPr>
            </w:pPr>
          </w:p>
        </w:tc>
        <w:tc>
          <w:tcPr>
            <w:tcW w:w="940" w:type="dxa"/>
            <w:vAlign w:val="bottom"/>
            <w:shd w:val="clear" w:color="auto" w:fill="004483"/>
          </w:tcPr>
          <w:p>
            <w:pPr>
              <w:spacing w:after="0"/>
              <w:rPr>
                <w:sz w:val="12"/>
                <w:szCs w:val="12"/>
                <w:color w:val="auto"/>
              </w:rPr>
            </w:pPr>
          </w:p>
        </w:tc>
        <w:tc>
          <w:tcPr>
            <w:tcW w:w="140" w:type="dxa"/>
            <w:vAlign w:val="bottom"/>
            <w:tcBorders>
              <w:left w:val="single" w:sz="8" w:color="004483"/>
              <w:right w:val="single" w:sz="8" w:color="004483"/>
            </w:tcBorders>
            <w:shd w:val="clear" w:color="auto" w:fill="004483"/>
          </w:tcPr>
          <w:p>
            <w:pPr>
              <w:spacing w:after="0"/>
              <w:rPr>
                <w:sz w:val="12"/>
                <w:szCs w:val="12"/>
                <w:color w:val="auto"/>
              </w:rPr>
            </w:pPr>
          </w:p>
        </w:tc>
        <w:tc>
          <w:tcPr>
            <w:tcW w:w="300" w:type="dxa"/>
            <w:vAlign w:val="bottom"/>
            <w:shd w:val="clear" w:color="auto" w:fill="004483"/>
          </w:tcPr>
          <w:p>
            <w:pPr>
              <w:spacing w:after="0"/>
              <w:rPr>
                <w:sz w:val="12"/>
                <w:szCs w:val="12"/>
                <w:color w:val="auto"/>
              </w:rPr>
            </w:pPr>
          </w:p>
        </w:tc>
        <w:tc>
          <w:tcPr>
            <w:tcW w:w="860" w:type="dxa"/>
            <w:vAlign w:val="bottom"/>
            <w:shd w:val="clear" w:color="auto" w:fill="004483"/>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1240" w:type="dxa"/>
            <w:vAlign w:val="bottom"/>
          </w:tcPr>
          <w:p>
            <w:pPr>
              <w:jc w:val="right"/>
              <w:ind w:right="67"/>
              <w:spacing w:after="0" w:line="108" w:lineRule="exact"/>
              <w:rPr>
                <w:sz w:val="20"/>
                <w:szCs w:val="20"/>
                <w:color w:val="auto"/>
              </w:rPr>
            </w:pPr>
            <w:r>
              <w:rPr>
                <w:rFonts w:ascii="Arial" w:cs="Arial" w:eastAsia="Arial" w:hAnsi="Arial"/>
                <w:sz w:val="12"/>
                <w:szCs w:val="12"/>
                <w:b w:val="1"/>
                <w:bCs w:val="1"/>
                <w:color w:val="auto"/>
              </w:rPr>
              <w:t>Amortization</w:t>
            </w:r>
          </w:p>
        </w:tc>
        <w:tc>
          <w:tcPr>
            <w:tcW w:w="320" w:type="dxa"/>
            <w:vAlign w:val="bottom"/>
          </w:tcPr>
          <w:p>
            <w:pPr>
              <w:spacing w:after="0"/>
              <w:rPr>
                <w:sz w:val="9"/>
                <w:szCs w:val="9"/>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Additions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ind w:left="120"/>
              <w:spacing w:after="0" w:line="108"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40" w:type="dxa"/>
            <w:vAlign w:val="bottom"/>
          </w:tcPr>
          <w:p>
            <w:pPr>
              <w:jc w:val="right"/>
              <w:ind w:right="67"/>
              <w:spacing w:after="0" w:line="148" w:lineRule="exact"/>
              <w:rPr>
                <w:sz w:val="20"/>
                <w:szCs w:val="20"/>
                <w:color w:val="auto"/>
              </w:rPr>
            </w:pPr>
            <w:r>
              <w:rPr>
                <w:rFonts w:ascii="Arial" w:cs="Arial" w:eastAsia="Arial" w:hAnsi="Arial"/>
                <w:sz w:val="13"/>
                <w:szCs w:val="13"/>
                <w:b w:val="1"/>
                <w:bCs w:val="1"/>
                <w:color w:val="auto"/>
              </w:rPr>
              <w:t>Period</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ind w:left="120"/>
              <w:spacing w:after="0" w:line="148" w:lineRule="exact"/>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60" w:type="dxa"/>
            <w:vAlign w:val="bottom"/>
            <w:tcBorders>
              <w:bottom w:val="single" w:sz="8" w:color="004483"/>
            </w:tcBorders>
          </w:tcPr>
          <w:p>
            <w:pPr>
              <w:spacing w:after="0"/>
              <w:rPr>
                <w:sz w:val="15"/>
                <w:szCs w:val="15"/>
                <w:color w:val="auto"/>
              </w:rPr>
            </w:pPr>
          </w:p>
        </w:tc>
        <w:tc>
          <w:tcPr>
            <w:tcW w:w="1240" w:type="dxa"/>
            <w:vAlign w:val="bottom"/>
            <w:tcBorders>
              <w:bottom w:val="single" w:sz="8" w:color="004483"/>
            </w:tcBorders>
          </w:tcPr>
          <w:p>
            <w:pPr>
              <w:spacing w:after="0"/>
              <w:rPr>
                <w:sz w:val="15"/>
                <w:szCs w:val="15"/>
                <w:color w:val="auto"/>
              </w:rPr>
            </w:pPr>
          </w:p>
        </w:tc>
        <w:tc>
          <w:tcPr>
            <w:tcW w:w="32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260" w:type="dxa"/>
            <w:vAlign w:val="bottom"/>
            <w:tcBorders>
              <w:bottom w:val="single" w:sz="8" w:color="004483"/>
            </w:tcBorders>
            <w:gridSpan w:val="3"/>
          </w:tcPr>
          <w:p>
            <w:pPr>
              <w:jc w:val="center"/>
              <w:spacing w:after="0"/>
              <w:rPr>
                <w:sz w:val="20"/>
                <w:szCs w:val="20"/>
                <w:color w:val="auto"/>
              </w:rPr>
            </w:pPr>
            <w:r>
              <w:rPr>
                <w:rFonts w:ascii="Arial" w:cs="Arial" w:eastAsia="Arial" w:hAnsi="Arial"/>
                <w:sz w:val="13"/>
                <w:szCs w:val="13"/>
                <w:color w:val="auto"/>
                <w:w w:val="88"/>
              </w:rPr>
              <w:t>(dollars in thousands)</w:t>
            </w:r>
          </w:p>
        </w:tc>
        <w:tc>
          <w:tcPr>
            <w:tcW w:w="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2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86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 and Intangible Assets:</w:t>
            </w:r>
          </w:p>
        </w:tc>
        <w:tc>
          <w:tcPr>
            <w:tcW w:w="1240" w:type="dxa"/>
            <w:vAlign w:val="bottom"/>
            <w:tcBorders>
              <w:bottom w:val="single" w:sz="8" w:color="A6A6A6"/>
            </w:tcBorders>
          </w:tcPr>
          <w:p>
            <w:pPr>
              <w:spacing w:after="0"/>
              <w:rPr>
                <w:sz w:val="16"/>
                <w:szCs w:val="16"/>
                <w:color w:val="auto"/>
              </w:rPr>
            </w:pPr>
          </w:p>
        </w:tc>
        <w:tc>
          <w:tcPr>
            <w:tcW w:w="32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80" w:type="dxa"/>
            <w:vAlign w:val="bottom"/>
            <w:tcBorders>
              <w:bottom w:val="single" w:sz="8" w:color="A6A6A6"/>
            </w:tcBorders>
          </w:tcPr>
          <w:p>
            <w:pPr>
              <w:spacing w:after="0"/>
              <w:rPr>
                <w:sz w:val="16"/>
                <w:szCs w:val="16"/>
                <w:color w:val="auto"/>
              </w:rPr>
            </w:pPr>
          </w:p>
        </w:tc>
        <w:tc>
          <w:tcPr>
            <w:tcW w:w="104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200" w:type="dxa"/>
            <w:vAlign w:val="bottom"/>
            <w:tcBorders>
              <w:bottom w:val="single" w:sz="8" w:color="A6A6A6"/>
            </w:tcBorders>
          </w:tcPr>
          <w:p>
            <w:pPr>
              <w:spacing w:after="0"/>
              <w:rPr>
                <w:sz w:val="16"/>
                <w:szCs w:val="16"/>
                <w:color w:val="auto"/>
              </w:rPr>
            </w:pPr>
          </w:p>
        </w:tc>
        <w:tc>
          <w:tcPr>
            <w:tcW w:w="94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30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Customer Contracts and Relationships</w:t>
            </w:r>
          </w:p>
        </w:tc>
        <w:tc>
          <w:tcPr>
            <w:tcW w:w="1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15 years</w:t>
            </w:r>
          </w:p>
        </w:tc>
        <w:tc>
          <w:tcPr>
            <w:tcW w:w="320" w:type="dxa"/>
            <w:vAlign w:val="bottom"/>
            <w:tcBorders>
              <w:bottom w:val="single" w:sz="8" w:color="A6A6A6"/>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108,610</w:t>
            </w:r>
          </w:p>
        </w:tc>
        <w:tc>
          <w:tcPr>
            <w:tcW w:w="22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ind w:left="780"/>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6A6A6"/>
            </w:tcBorders>
            <w:gridSpan w:val="4"/>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(66,445 )</w:t>
            </w:r>
          </w:p>
        </w:tc>
        <w:tc>
          <w:tcPr>
            <w:tcW w:w="440" w:type="dxa"/>
            <w:vAlign w:val="bottom"/>
            <w:tcBorders>
              <w:bottom w:val="single" w:sz="8" w:color="A6A6A6"/>
            </w:tcBorders>
            <w:gridSpan w:val="2"/>
          </w:tcPr>
          <w:p>
            <w:pPr>
              <w:jc w:val="right"/>
              <w:ind w:right="122"/>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42,165</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Permits</w:t>
            </w:r>
          </w:p>
        </w:tc>
        <w:tc>
          <w:tcPr>
            <w:tcW w:w="1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25-40 years</w:t>
            </w:r>
          </w:p>
        </w:tc>
        <w:tc>
          <w:tcPr>
            <w:tcW w:w="3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30,410</w:t>
            </w:r>
          </w:p>
        </w:tc>
        <w:tc>
          <w:tcPr>
            <w:tcW w:w="140" w:type="dxa"/>
            <w:vAlign w:val="bottom"/>
            <w:tcBorders>
              <w:bottom w:val="single" w:sz="8" w:color="A6A6A6"/>
            </w:tcBorders>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ind w:left="780"/>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(10,759 )</w:t>
            </w:r>
          </w:p>
        </w:tc>
        <w:tc>
          <w:tcPr>
            <w:tcW w:w="14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19,651</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Trade Name</w:t>
            </w:r>
          </w:p>
        </w:tc>
        <w:tc>
          <w:tcPr>
            <w:tcW w:w="1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15 years</w:t>
            </w:r>
          </w:p>
        </w:tc>
        <w:tc>
          <w:tcPr>
            <w:tcW w:w="3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1,500</w:t>
            </w:r>
          </w:p>
        </w:tc>
        <w:tc>
          <w:tcPr>
            <w:tcW w:w="140" w:type="dxa"/>
            <w:vAlign w:val="bottom"/>
            <w:tcBorders>
              <w:bottom w:val="single" w:sz="8" w:color="A6A6A6"/>
            </w:tcBorders>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ind w:left="780"/>
              <w:spacing w:after="0" w:line="183" w:lineRule="exact"/>
              <w:rPr>
                <w:sz w:val="20"/>
                <w:szCs w:val="20"/>
                <w:color w:val="auto"/>
              </w:rPr>
            </w:pPr>
            <w:r>
              <w:rPr>
                <w:rFonts w:ascii="Arial" w:cs="Arial" w:eastAsia="Arial" w:hAnsi="Arial"/>
                <w:sz w:val="16"/>
                <w:szCs w:val="16"/>
                <w:color w:val="auto"/>
              </w:rPr>
              <w:t>—</w:t>
            </w:r>
          </w:p>
        </w:tc>
        <w:tc>
          <w:tcPr>
            <w:tcW w:w="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(138 )</w:t>
            </w:r>
          </w:p>
        </w:tc>
        <w:tc>
          <w:tcPr>
            <w:tcW w:w="14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line="183" w:lineRule="exact"/>
              <w:rPr>
                <w:sz w:val="20"/>
                <w:szCs w:val="20"/>
                <w:color w:val="auto"/>
              </w:rPr>
            </w:pPr>
            <w:r>
              <w:rPr>
                <w:rFonts w:ascii="Arial" w:cs="Arial" w:eastAsia="Arial" w:hAnsi="Arial"/>
                <w:sz w:val="16"/>
                <w:szCs w:val="16"/>
                <w:color w:val="004483"/>
              </w:rPr>
              <w:t>Goodwill</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42"/>
              <w:spacing w:after="0" w:line="183" w:lineRule="exact"/>
              <w:rPr>
                <w:sz w:val="20"/>
                <w:szCs w:val="20"/>
                <w:color w:val="auto"/>
              </w:rPr>
            </w:pPr>
            <w:r>
              <w:rPr>
                <w:rFonts w:ascii="Arial" w:cs="Arial" w:eastAsia="Arial" w:hAnsi="Arial"/>
                <w:sz w:val="16"/>
                <w:szCs w:val="16"/>
                <w:color w:val="auto"/>
              </w:rPr>
              <w:t>329,137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ind w:left="780"/>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5"/>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42"/>
              <w:spacing w:after="0" w:line="183" w:lineRule="exact"/>
              <w:rPr>
                <w:sz w:val="20"/>
                <w:szCs w:val="20"/>
                <w:color w:val="auto"/>
              </w:rPr>
            </w:pPr>
            <w:r>
              <w:rPr>
                <w:rFonts w:ascii="Arial" w:cs="Arial" w:eastAsia="Arial" w:hAnsi="Arial"/>
                <w:sz w:val="16"/>
                <w:szCs w:val="16"/>
                <w:color w:val="auto"/>
              </w:rPr>
              <w:t>329,137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6A6A6"/>
            </w:tcBorders>
          </w:tcPr>
          <w:p>
            <w:pPr>
              <w:spacing w:after="0"/>
              <w:rPr>
                <w:sz w:val="2"/>
                <w:szCs w:val="2"/>
                <w:color w:val="auto"/>
              </w:rPr>
            </w:pPr>
          </w:p>
        </w:tc>
        <w:tc>
          <w:tcPr>
            <w:tcW w:w="124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80" w:type="dxa"/>
            <w:vAlign w:val="bottom"/>
            <w:tcBorders>
              <w:bottom w:val="single" w:sz="8" w:color="004483"/>
            </w:tcBorders>
            <w:shd w:val="clear" w:color="auto" w:fill="004483"/>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c>
          <w:tcPr>
            <w:tcW w:w="20" w:type="dxa"/>
            <w:vAlign w:val="bottom"/>
            <w:tcBorders>
              <w:bottom w:val="single" w:sz="8" w:color="004483"/>
            </w:tcBorders>
            <w:shd w:val="clear" w:color="auto" w:fill="004483"/>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c>
          <w:tcPr>
            <w:tcW w:w="140" w:type="dxa"/>
            <w:vAlign w:val="bottom"/>
            <w:tcBorders>
              <w:left w:val="single" w:sz="8" w:color="004483"/>
              <w:bottom w:val="single" w:sz="8" w:color="A6A6A6"/>
            </w:tcBorders>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Goodwill and Intangible Assets</w:t>
            </w:r>
          </w:p>
        </w:tc>
        <w:tc>
          <w:tcPr>
            <w:tcW w:w="1240" w:type="dxa"/>
            <w:vAlign w:val="bottom"/>
          </w:tcPr>
          <w:p>
            <w:pPr>
              <w:spacing w:after="0"/>
              <w:rPr>
                <w:sz w:val="15"/>
                <w:szCs w:val="15"/>
                <w:color w:val="auto"/>
              </w:rPr>
            </w:pPr>
          </w:p>
        </w:tc>
        <w:tc>
          <w:tcPr>
            <w:tcW w:w="320" w:type="dxa"/>
            <w:vAlign w:val="bottom"/>
            <w:tcBorders>
              <w:bottom w:val="single" w:sz="8" w:color="004483"/>
            </w:tcBorders>
          </w:tcPr>
          <w:p>
            <w:pPr>
              <w:jc w:val="right"/>
              <w:ind w:right="13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469,657</w:t>
            </w:r>
          </w:p>
        </w:tc>
        <w:tc>
          <w:tcPr>
            <w:tcW w:w="140" w:type="dxa"/>
            <w:vAlign w:val="bottom"/>
          </w:tcPr>
          <w:p>
            <w:pPr>
              <w:spacing w:after="0"/>
              <w:rPr>
                <w:sz w:val="15"/>
                <w:szCs w:val="15"/>
                <w:color w:val="auto"/>
              </w:rPr>
            </w:pPr>
          </w:p>
        </w:tc>
        <w:tc>
          <w:tcPr>
            <w:tcW w:w="8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004483"/>
            </w:tcBorders>
          </w:tcPr>
          <w:p>
            <w:pPr>
              <w:ind w:left="780"/>
              <w:spacing w:after="0" w:line="183" w:lineRule="exact"/>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004483"/>
            </w:tcBorders>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2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(77,342 )</w:t>
            </w:r>
          </w:p>
        </w:tc>
        <w:tc>
          <w:tcPr>
            <w:tcW w:w="140" w:type="dxa"/>
            <w:vAlign w:val="bottom"/>
          </w:tcPr>
          <w:p>
            <w:pPr>
              <w:spacing w:after="0"/>
              <w:rPr>
                <w:sz w:val="15"/>
                <w:szCs w:val="15"/>
                <w:color w:val="auto"/>
              </w:rPr>
            </w:pPr>
          </w:p>
        </w:tc>
        <w:tc>
          <w:tcPr>
            <w:tcW w:w="300" w:type="dxa"/>
            <w:vAlign w:val="bottom"/>
            <w:tcBorders>
              <w:bottom w:val="single" w:sz="8" w:color="004483"/>
            </w:tcBorders>
          </w:tcPr>
          <w:p>
            <w:pPr>
              <w:jc w:val="right"/>
              <w:ind w:right="122"/>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392,315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Amortization expense of intangibles was $4.4 million, $4.5 million, and $2.5 million for the fiscal years ended March 31, 2022, 2021, and 2020, respectively. Amortization expense is expected to be approximately $4.4 million for each of fiscal years 2023 through 2026, and $4.3 million in fiscal 2027.</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Impairment or Disposal of Long-Lived and Intangible Assets</w:t>
      </w:r>
    </w:p>
    <w:p>
      <w:pPr>
        <w:spacing w:after="0" w:line="148"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assess our long-lived assets, including mining and related assets, for impairment whenever events or changes in circumstances indicate that the carrying amount of an asset, or group of assets, may not be recoverable. Long-lived assets, or group of assets, are evaluated for impairment at the lowest level for which cash flows are largely independent of the cash flows of other assts. We assess recoverability of assets, or group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 of assets, exceeds the undiscounted cash flows, then an impairment is indicated. If such assets, or group of assets, are considered to be impaired, the impairment is recognized as the amount by which the carrying amount of the asset, or group of assets, exceeds the fair value of the asset, or group of assets. Any assets held for sale are reflected at the lower of their carrying amount or fair value less cost to sell. There were no indicators of impairment related to our long-lived assets during fiscal 2022.</w:t>
      </w:r>
    </w:p>
    <w:p>
      <w:pPr>
        <w:spacing w:after="0" w:line="97"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During fiscal 2020, declining sales prices, sales volumes and operating losses led to the impairment of long-lived assets in our Oil and Gas Proppants business of $224.3 million, which primarily related to property, plant, and equipment, but also included impairment of lease right-of-use assets. On September 18, 2020, we sold the Oil and Gas Proppants business, and determined that the sale of this business met the discontinued operations accounting criteria. See Footnote (C) for more information about the sale of the Oil and Gas Proppants business, and the discontinued operations accounting disclosures.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68" w:name="page69"/>
    <w:bookmarkEnd w:id="68"/>
    <w:p>
      <w:pPr>
        <w:ind w:right="40"/>
        <w:spacing w:after="0" w:line="285" w:lineRule="auto"/>
        <w:rPr>
          <w:sz w:val="20"/>
          <w:szCs w:val="20"/>
          <w:color w:val="auto"/>
        </w:rPr>
      </w:pPr>
      <w:r>
        <w:rPr>
          <w:rFonts w:ascii="Arial" w:cs="Arial" w:eastAsia="Arial" w:hAnsi="Arial"/>
          <w:sz w:val="18"/>
          <w:szCs w:val="18"/>
          <w:color w:val="auto"/>
        </w:rPr>
        <w:t>As part of the sale of the Oil and Gas Proppants business, there were certain assets that were included in this operating segment and not included in the sale. Because these assets were not included in the sale, any expenses related to these assets were not included in discontinued operations. Impairment charges related to these assets in fiscal 2020 are included in continuing operations on the Consolidated Statement of Earnings and are summarized below:</w:t>
      </w:r>
    </w:p>
    <w:p>
      <w:pPr>
        <w:sectPr>
          <w:pgSz w:w="11900" w:h="16838" w:orient="portrait"/>
          <w:cols w:equalWidth="0" w:num="1">
            <w:col w:w="11240"/>
          </w:cols>
          <w:pgMar w:left="320" w:top="5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004483"/>
        </w:rPr>
        <w:t>Property, Equipment, and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8088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088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0808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5829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80" w:type="dxa"/>
            <w:vAlign w:val="bottom"/>
            <w:shd w:val="clear" w:color="auto" w:fill="004483"/>
          </w:tcPr>
          <w:p>
            <w:pPr>
              <w:spacing w:after="0"/>
              <w:rPr>
                <w:sz w:val="13"/>
                <w:szCs w:val="13"/>
                <w:color w:val="auto"/>
              </w:rPr>
            </w:pPr>
          </w:p>
        </w:tc>
        <w:tc>
          <w:tcPr>
            <w:tcW w:w="1780" w:type="dxa"/>
            <w:vAlign w:val="bottom"/>
            <w:gridSpan w:val="2"/>
            <w:shd w:val="clear" w:color="auto" w:fill="004483"/>
          </w:tcPr>
          <w:p>
            <w:pPr>
              <w:jc w:val="center"/>
              <w:ind w:right="400"/>
              <w:spacing w:after="0"/>
              <w:rPr>
                <w:sz w:val="20"/>
                <w:szCs w:val="20"/>
                <w:color w:val="auto"/>
              </w:rPr>
            </w:pPr>
            <w:r>
              <w:rPr>
                <w:rFonts w:ascii="Arial" w:cs="Arial" w:eastAsia="Arial" w:hAnsi="Arial"/>
                <w:sz w:val="13"/>
                <w:szCs w:val="13"/>
                <w:b w:val="1"/>
                <w:bCs w:val="1"/>
                <w:color w:val="FFFFFF"/>
                <w:w w:val="88"/>
              </w:rPr>
              <w:t>For the Year Ended</w:t>
            </w:r>
          </w:p>
        </w:tc>
      </w:tr>
      <w:tr>
        <w:trPr>
          <w:trHeight w:val="162"/>
        </w:trPr>
        <w:tc>
          <w:tcPr>
            <w:tcW w:w="280" w:type="dxa"/>
            <w:vAlign w:val="bottom"/>
            <w:shd w:val="clear" w:color="auto" w:fill="004483"/>
          </w:tcPr>
          <w:p>
            <w:pPr>
              <w:spacing w:after="0"/>
              <w:rPr>
                <w:sz w:val="14"/>
                <w:szCs w:val="14"/>
                <w:color w:val="auto"/>
              </w:rPr>
            </w:pPr>
          </w:p>
        </w:tc>
        <w:tc>
          <w:tcPr>
            <w:tcW w:w="1780" w:type="dxa"/>
            <w:vAlign w:val="bottom"/>
            <w:gridSpan w:val="2"/>
            <w:shd w:val="clear" w:color="auto" w:fill="004483"/>
          </w:tcPr>
          <w:p>
            <w:pPr>
              <w:jc w:val="center"/>
              <w:ind w:right="360"/>
              <w:spacing w:after="0"/>
              <w:rPr>
                <w:sz w:val="20"/>
                <w:szCs w:val="20"/>
                <w:color w:val="auto"/>
              </w:rPr>
            </w:pPr>
            <w:r>
              <w:rPr>
                <w:rFonts w:ascii="Arial" w:cs="Arial" w:eastAsia="Arial" w:hAnsi="Arial"/>
                <w:sz w:val="13"/>
                <w:szCs w:val="13"/>
                <w:b w:val="1"/>
                <w:bCs w:val="1"/>
                <w:color w:val="FFFFFF"/>
                <w:w w:val="89"/>
              </w:rPr>
              <w:t>March 31,</w:t>
            </w:r>
          </w:p>
        </w:tc>
      </w:tr>
      <w:tr>
        <w:trPr>
          <w:trHeight w:val="188"/>
        </w:trPr>
        <w:tc>
          <w:tcPr>
            <w:tcW w:w="2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6"/>
                <w:szCs w:val="16"/>
                <w:color w:val="auto"/>
              </w:rPr>
            </w:pPr>
          </w:p>
        </w:tc>
      </w:tr>
      <w:tr>
        <w:trPr>
          <w:trHeight w:val="160"/>
        </w:trPr>
        <w:tc>
          <w:tcPr>
            <w:tcW w:w="280" w:type="dxa"/>
            <w:vAlign w:val="bottom"/>
          </w:tcPr>
          <w:p>
            <w:pPr>
              <w:spacing w:after="0"/>
              <w:rPr>
                <w:sz w:val="13"/>
                <w:szCs w:val="13"/>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3"/>
                <w:szCs w:val="13"/>
                <w:color w:val="auto"/>
                <w:w w:val="88"/>
              </w:rPr>
              <w:t>(dollars in thousands)</w:t>
            </w:r>
          </w:p>
        </w:tc>
      </w:tr>
      <w:tr>
        <w:trPr>
          <w:trHeight w:val="236"/>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11,213</w:t>
            </w:r>
          </w:p>
        </w:tc>
        <w:tc>
          <w:tcPr>
            <w:tcW w:w="80" w:type="dxa"/>
            <w:vAlign w:val="bottom"/>
          </w:tcPr>
          <w:p>
            <w:pPr>
              <w:spacing w:after="0"/>
              <w:rPr>
                <w:sz w:val="20"/>
                <w:szCs w:val="20"/>
                <w:color w:val="auto"/>
              </w:rPr>
            </w:pPr>
          </w:p>
        </w:tc>
      </w:tr>
      <w:tr>
        <w:trPr>
          <w:trHeight w:val="219"/>
        </w:trPr>
        <w:tc>
          <w:tcPr>
            <w:tcW w:w="280" w:type="dxa"/>
            <w:vAlign w:val="bottom"/>
            <w:tcBorders>
              <w:bottom w:val="single" w:sz="8" w:color="004483"/>
            </w:tcBorders>
          </w:tcPr>
          <w:p>
            <w:pPr>
              <w:spacing w:after="0"/>
              <w:rPr>
                <w:sz w:val="19"/>
                <w:szCs w:val="19"/>
                <w:color w:val="auto"/>
              </w:rPr>
            </w:pPr>
          </w:p>
        </w:tc>
        <w:tc>
          <w:tcPr>
            <w:tcW w:w="1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13,918</w:t>
            </w:r>
          </w:p>
        </w:tc>
        <w:tc>
          <w:tcPr>
            <w:tcW w:w="80" w:type="dxa"/>
            <w:vAlign w:val="bottom"/>
          </w:tcPr>
          <w:p>
            <w:pPr>
              <w:spacing w:after="0"/>
              <w:rPr>
                <w:sz w:val="19"/>
                <w:szCs w:val="19"/>
                <w:color w:val="auto"/>
              </w:rPr>
            </w:pPr>
          </w:p>
        </w:tc>
      </w:tr>
      <w:tr>
        <w:trPr>
          <w:trHeight w:val="189"/>
        </w:trPr>
        <w:tc>
          <w:tcPr>
            <w:tcW w:w="280" w:type="dxa"/>
            <w:vAlign w:val="bottom"/>
            <w:tcBorders>
              <w:bottom w:val="single" w:sz="8" w:color="004483"/>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25,131</w:t>
            </w:r>
          </w:p>
        </w:tc>
        <w:tc>
          <w:tcPr>
            <w:tcW w:w="80" w:type="dxa"/>
            <w:vAlign w:val="bottom"/>
          </w:tcPr>
          <w:p>
            <w:pPr>
              <w:spacing w:after="0"/>
              <w:rPr>
                <w:sz w:val="16"/>
                <w:szCs w:val="16"/>
                <w:color w:val="auto"/>
              </w:rPr>
            </w:pPr>
          </w:p>
        </w:tc>
      </w:tr>
      <w:tr>
        <w:trPr>
          <w:trHeight w:val="20"/>
        </w:trPr>
        <w:tc>
          <w:tcPr>
            <w:tcW w:w="280" w:type="dxa"/>
            <w:vAlign w:val="bottom"/>
            <w:tcBorders>
              <w:bottom w:val="single" w:sz="8" w:color="004483"/>
            </w:tcBorders>
          </w:tcPr>
          <w:p>
            <w:pPr>
              <w:spacing w:after="0" w:line="20" w:lineRule="exact"/>
              <w:rPr>
                <w:sz w:val="1"/>
                <w:szCs w:val="1"/>
                <w:color w:val="auto"/>
              </w:rPr>
            </w:pPr>
          </w:p>
        </w:tc>
        <w:tc>
          <w:tcPr>
            <w:tcW w:w="17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60" w:space="720"/>
            <w:col w:w="2060"/>
          </w:cols>
          <w:pgMar w:left="320" w:top="503"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Other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primarily composed of financing costs related to our Revolving Credit Facility, deferred expenses, and deposits.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Income Taxes</w:t>
      </w:r>
    </w:p>
    <w:p>
      <w:pPr>
        <w:spacing w:after="0" w:line="148"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We account for Income Taxes using the asset and liability method. The effect on deferred taxes of a change in tax rates is recognized in earnings in the period that includes the enactment date. We recognize deferred taxes for the differences between financial statement carrying amounts and the tax bases of existing assets and liabilities by applying enacted statutory tax rates for future years. In addition, we recognize future tax benefits to the extent that such benefits are more likely than not to be realized. See Footnote (J)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Stock Repurchases</w:t>
      </w:r>
    </w:p>
    <w:p>
      <w:pPr>
        <w:spacing w:after="0" w:line="1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Shares repurchased by the Company are considered retired and available for future issuance. When shares are repurchased, the Company first reduces Capital in Excess or Par Value, and if there is no balance in this account, the purchases are recorded as a reduction of Retained Earnings.</w:t>
      </w:r>
    </w:p>
    <w:p>
      <w:pPr>
        <w:spacing w:after="0" w:line="94"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On May 17, 2022, the Board of Directors authorized the Company to repurchase an additional 7,500,000 shares. During fiscal years 2022 and 2020, we repurchased 3,982,657 and 3,574,109 shares, respectively, at average prices of $148.08 and $87.82, respectively. We did not repurchase any shares during the fiscal year ended March 31, 2021. After the authorization on May 17, 2022, we have authorization to repurchase an additional 10,822,992 shares.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Revenue Recognition</w:t>
      </w:r>
    </w:p>
    <w:p>
      <w:pPr>
        <w:spacing w:after="0" w:line="148"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majority of Revenue from the sale of cement, concrete, aggregates, and gypsum wallboard is originated by purchase orders from our customers, who are mainly third-party contractors and suppliers. Revenue from our Recycled Paperboard segment is generated primarily through long-term supply agreements that mature between calendar years 2023 and 2025. We invoice customers upon shipment, and our collection terms range from 30 to 75 days. Revenue from the sale of cement, concrete, aggregates, and gypsum wallboard that is not related to long-term supply agreements is recognized upon shipment of the related products to customers, which is when title and ownership are transferred, and the customer is obligated to pay.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69" w:name="page70"/>
    <w:bookmarkEnd w:id="69"/>
    <w:p>
      <w:pPr>
        <w:ind w:right="180"/>
        <w:spacing w:after="0" w:line="284"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agreement is reached with the customer and there is no risk of reversal.</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billed to the customer are recorded as Revenue, while costs incurred for shipping and handling are recorded as expenses and included in Cost of Goods Sold.</w:t>
      </w:r>
    </w:p>
    <w:p>
      <w:pPr>
        <w:spacing w:after="0" w:line="97"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color w:val="auto"/>
        </w:rPr>
        <w:t>Approximately $199.1 million, $177.5 million, and $168.1 million of freight for the fiscal years ended March 31, 2022, 2021, and 2020, respectively, were included in both Revenue and Cost of Goods Sold in our Consolidated Statement of Earnings.</w:t>
      </w:r>
    </w:p>
    <w:p>
      <w:pPr>
        <w:spacing w:after="0" w:line="89"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and trucking income, as well as other miscellaneous revenue items and costs that have not been allocated to a business segment.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See Footnote (I) for disaggregation of Revenue by segment.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Comprehensive Income/Losses</w:t>
      </w:r>
    </w:p>
    <w:p>
      <w:pPr>
        <w:spacing w:after="0" w:line="148"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As of March 31, 2022, we have an Accumulated Other Comprehensive Loss of $3.2 million, which is net of income taxes of $1.0 million, in connection with recognizing the difference between the fair value of the pension assets and the projected benefit obligation.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Consolidated Cash Flows – Supplemental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580" w:type="dxa"/>
            <w:vAlign w:val="bottom"/>
            <w:shd w:val="clear" w:color="auto" w:fill="004483"/>
          </w:tcPr>
          <w:p>
            <w:pPr>
              <w:spacing w:after="0"/>
              <w:rPr>
                <w:sz w:val="17"/>
                <w:szCs w:val="17"/>
                <w:color w:val="auto"/>
              </w:rPr>
            </w:pPr>
          </w:p>
        </w:tc>
        <w:tc>
          <w:tcPr>
            <w:tcW w:w="960" w:type="dxa"/>
            <w:vAlign w:val="bottom"/>
            <w:shd w:val="clear" w:color="auto" w:fill="004483"/>
          </w:tcPr>
          <w:p>
            <w:pPr>
              <w:spacing w:after="0"/>
              <w:rPr>
                <w:sz w:val="17"/>
                <w:szCs w:val="17"/>
                <w:color w:val="auto"/>
              </w:rPr>
            </w:pPr>
          </w:p>
        </w:tc>
        <w:tc>
          <w:tcPr>
            <w:tcW w:w="100" w:type="dxa"/>
            <w:vAlign w:val="bottom"/>
            <w:shd w:val="clear" w:color="auto" w:fill="004483"/>
          </w:tcPr>
          <w:p>
            <w:pPr>
              <w:spacing w:after="0"/>
              <w:rPr>
                <w:sz w:val="17"/>
                <w:szCs w:val="17"/>
                <w:color w:val="auto"/>
              </w:rPr>
            </w:pPr>
          </w:p>
        </w:tc>
        <w:tc>
          <w:tcPr>
            <w:tcW w:w="1780" w:type="dxa"/>
            <w:vAlign w:val="bottom"/>
            <w:gridSpan w:val="3"/>
            <w:shd w:val="clear" w:color="auto" w:fill="004483"/>
          </w:tcPr>
          <w:p>
            <w:pPr>
              <w:ind w:left="40"/>
              <w:spacing w:after="0"/>
              <w:rPr>
                <w:sz w:val="20"/>
                <w:szCs w:val="20"/>
                <w:color w:val="auto"/>
              </w:rPr>
            </w:pPr>
            <w:r>
              <w:rPr>
                <w:rFonts w:ascii="Arial" w:cs="Arial" w:eastAsia="Arial" w:hAnsi="Arial"/>
                <w:sz w:val="13"/>
                <w:szCs w:val="13"/>
                <w:b w:val="1"/>
                <w:bCs w:val="1"/>
                <w:color w:val="FFFFFF"/>
                <w:w w:val="90"/>
              </w:rPr>
              <w:t>For the Years Ended March 31,</w:t>
            </w:r>
          </w:p>
        </w:tc>
        <w:tc>
          <w:tcPr>
            <w:tcW w:w="720" w:type="dxa"/>
            <w:vAlign w:val="bottom"/>
            <w:shd w:val="clear" w:color="auto" w:fill="004483"/>
          </w:tcPr>
          <w:p>
            <w:pPr>
              <w:spacing w:after="0"/>
              <w:rPr>
                <w:sz w:val="17"/>
                <w:szCs w:val="17"/>
                <w:color w:val="auto"/>
              </w:rPr>
            </w:pPr>
          </w:p>
        </w:tc>
        <w:tc>
          <w:tcPr>
            <w:tcW w:w="940" w:type="dxa"/>
            <w:vAlign w:val="bottom"/>
            <w:shd w:val="clear" w:color="auto" w:fill="004483"/>
          </w:tcPr>
          <w:p>
            <w:pPr>
              <w:spacing w:after="0"/>
              <w:rPr>
                <w:sz w:val="17"/>
                <w:szCs w:val="17"/>
                <w:color w:val="auto"/>
              </w:rPr>
            </w:pPr>
          </w:p>
        </w:tc>
        <w:tc>
          <w:tcPr>
            <w:tcW w:w="100" w:type="dxa"/>
            <w:vAlign w:val="bottom"/>
            <w:shd w:val="clear" w:color="auto" w:fill="004483"/>
          </w:tcPr>
          <w:p>
            <w:pPr>
              <w:spacing w:after="0"/>
              <w:rPr>
                <w:sz w:val="17"/>
                <w:szCs w:val="17"/>
                <w:color w:val="auto"/>
              </w:rPr>
            </w:pPr>
          </w:p>
        </w:tc>
      </w:tr>
      <w:tr>
        <w:trPr>
          <w:trHeight w:val="161"/>
        </w:trPr>
        <w:tc>
          <w:tcPr>
            <w:tcW w:w="6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r>
      <w:tr>
        <w:trPr>
          <w:trHeight w:val="183"/>
        </w:trPr>
        <w:tc>
          <w:tcPr>
            <w:tcW w:w="606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1940" w:type="dxa"/>
            <w:vAlign w:val="bottom"/>
            <w:tcBorders>
              <w:bottom w:val="single" w:sz="8" w:color="004483"/>
            </w:tcBorders>
            <w:gridSpan w:val="3"/>
          </w:tcPr>
          <w:p>
            <w:pPr>
              <w:jc w:val="right"/>
              <w:ind w:right="248"/>
              <w:spacing w:after="0"/>
              <w:rPr>
                <w:sz w:val="20"/>
                <w:szCs w:val="20"/>
                <w:color w:val="auto"/>
              </w:rPr>
            </w:pPr>
            <w:r>
              <w:rPr>
                <w:rFonts w:ascii="Arial" w:cs="Arial" w:eastAsia="Arial" w:hAnsi="Arial"/>
                <w:sz w:val="13"/>
                <w:szCs w:val="13"/>
                <w:color w:val="auto"/>
              </w:rPr>
              <w:t>(dollars in thousands)</w:t>
            </w:r>
          </w:p>
        </w:tc>
        <w:tc>
          <w:tcPr>
            <w:tcW w:w="780" w:type="dxa"/>
            <w:vAlign w:val="bottom"/>
            <w:tcBorders>
              <w:bottom w:val="single" w:sz="8" w:color="004483"/>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0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Payments:</w:t>
            </w:r>
          </w:p>
        </w:tc>
        <w:tc>
          <w:tcPr>
            <w:tcW w:w="58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06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21,298</w:t>
            </w:r>
          </w:p>
        </w:tc>
        <w:tc>
          <w:tcPr>
            <w:tcW w:w="980" w:type="dxa"/>
            <w:vAlign w:val="bottom"/>
            <w:gridSpan w:val="2"/>
          </w:tcPr>
          <w:p>
            <w:pPr>
              <w:jc w:val="right"/>
              <w:ind w:right="568"/>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42,343</w:t>
            </w:r>
          </w:p>
        </w:tc>
        <w:tc>
          <w:tcPr>
            <w:tcW w:w="120" w:type="dxa"/>
            <w:vAlign w:val="bottom"/>
          </w:tcPr>
          <w:p>
            <w:pPr>
              <w:spacing w:after="0"/>
              <w:rPr>
                <w:sz w:val="17"/>
                <w:szCs w:val="17"/>
                <w:color w:val="auto"/>
              </w:rPr>
            </w:pPr>
          </w:p>
        </w:tc>
        <w:tc>
          <w:tcPr>
            <w:tcW w:w="7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37,610</w:t>
            </w:r>
          </w:p>
        </w:tc>
        <w:tc>
          <w:tcPr>
            <w:tcW w:w="100" w:type="dxa"/>
            <w:vAlign w:val="bottom"/>
          </w:tcPr>
          <w:p>
            <w:pPr>
              <w:spacing w:after="0"/>
              <w:rPr>
                <w:sz w:val="17"/>
                <w:szCs w:val="17"/>
                <w:color w:val="auto"/>
              </w:rPr>
            </w:pPr>
          </w:p>
        </w:tc>
      </w:tr>
      <w:tr>
        <w:trPr>
          <w:trHeight w:val="196"/>
        </w:trPr>
        <w:tc>
          <w:tcPr>
            <w:tcW w:w="606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580" w:type="dxa"/>
            <w:vAlign w:val="bottom"/>
            <w:tcBorders>
              <w:top w:val="single" w:sz="8" w:color="A6A6A6"/>
              <w:bottom w:val="single" w:sz="8" w:color="A6A6A6"/>
            </w:tcBorders>
          </w:tcPr>
          <w:p>
            <w:pPr>
              <w:spacing w:after="0"/>
              <w:rPr>
                <w:sz w:val="17"/>
                <w:szCs w:val="17"/>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86,407</w:t>
            </w:r>
          </w:p>
        </w:tc>
        <w:tc>
          <w:tcPr>
            <w:tcW w:w="100" w:type="dxa"/>
            <w:vAlign w:val="bottom"/>
          </w:tcPr>
          <w:p>
            <w:pPr>
              <w:spacing w:after="0"/>
              <w:rPr>
                <w:sz w:val="17"/>
                <w:szCs w:val="17"/>
                <w:color w:val="auto"/>
              </w:rPr>
            </w:pPr>
          </w:p>
        </w:tc>
        <w:tc>
          <w:tcPr>
            <w:tcW w:w="880" w:type="dxa"/>
            <w:vAlign w:val="bottom"/>
            <w:tcBorders>
              <w:top w:val="single" w:sz="8" w:color="A6A6A6"/>
              <w:bottom w:val="single" w:sz="8" w:color="A6A6A6"/>
            </w:tcBorders>
          </w:tcPr>
          <w:p>
            <w:pPr>
              <w:spacing w:after="0"/>
              <w:rPr>
                <w:sz w:val="17"/>
                <w:szCs w:val="17"/>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32,870</w:t>
            </w:r>
          </w:p>
        </w:tc>
        <w:tc>
          <w:tcPr>
            <w:tcW w:w="120" w:type="dxa"/>
            <w:vAlign w:val="bottom"/>
          </w:tcPr>
          <w:p>
            <w:pPr>
              <w:spacing w:after="0"/>
              <w:rPr>
                <w:sz w:val="17"/>
                <w:szCs w:val="17"/>
                <w:color w:val="auto"/>
              </w:rPr>
            </w:pPr>
          </w:p>
        </w:tc>
        <w:tc>
          <w:tcPr>
            <w:tcW w:w="720" w:type="dxa"/>
            <w:vAlign w:val="bottom"/>
            <w:tcBorders>
              <w:top w:val="single" w:sz="8" w:color="A6A6A6"/>
              <w:bottom w:val="single" w:sz="8" w:color="A6A6A6"/>
            </w:tcBorders>
          </w:tcPr>
          <w:p>
            <w:pPr>
              <w:spacing w:after="0"/>
              <w:rPr>
                <w:sz w:val="17"/>
                <w:szCs w:val="17"/>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20,046</w:t>
            </w:r>
          </w:p>
        </w:tc>
        <w:tc>
          <w:tcPr>
            <w:tcW w:w="100" w:type="dxa"/>
            <w:vAlign w:val="bottom"/>
          </w:tcPr>
          <w:p>
            <w:pPr>
              <w:spacing w:after="0"/>
              <w:rPr>
                <w:sz w:val="17"/>
                <w:szCs w:val="17"/>
                <w:color w:val="auto"/>
              </w:rPr>
            </w:pPr>
          </w:p>
        </w:tc>
      </w:tr>
      <w:tr>
        <w:trPr>
          <w:trHeight w:val="196"/>
        </w:trPr>
        <w:tc>
          <w:tcPr>
            <w:tcW w:w="60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58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8,141</w:t>
            </w:r>
          </w:p>
        </w:tc>
        <w:tc>
          <w:tcPr>
            <w:tcW w:w="100" w:type="dxa"/>
            <w:vAlign w:val="bottom"/>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10,741</w:t>
            </w:r>
          </w:p>
        </w:tc>
        <w:tc>
          <w:tcPr>
            <w:tcW w:w="120" w:type="dxa"/>
            <w:vAlign w:val="bottom"/>
          </w:tcPr>
          <w:p>
            <w:pPr>
              <w:spacing w:after="0"/>
              <w:rPr>
                <w:sz w:val="17"/>
                <w:szCs w:val="17"/>
                <w:color w:val="auto"/>
              </w:rPr>
            </w:pPr>
          </w:p>
        </w:tc>
        <w:tc>
          <w:tcPr>
            <w:tcW w:w="7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14,926</w:t>
            </w:r>
          </w:p>
        </w:tc>
        <w:tc>
          <w:tcPr>
            <w:tcW w:w="100" w:type="dxa"/>
            <w:vAlign w:val="bottom"/>
          </w:tcPr>
          <w:p>
            <w:pPr>
              <w:spacing w:after="0"/>
              <w:rPr>
                <w:sz w:val="17"/>
                <w:szCs w:val="17"/>
                <w:color w:val="auto"/>
              </w:rPr>
            </w:pPr>
          </w:p>
        </w:tc>
      </w:tr>
      <w:tr>
        <w:trPr>
          <w:trHeight w:val="196"/>
        </w:trPr>
        <w:tc>
          <w:tcPr>
            <w:tcW w:w="606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0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58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06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Right-of-use Assets Obtained for Capitalized Operating Lease Liabilities</w:t>
            </w:r>
          </w:p>
        </w:tc>
        <w:tc>
          <w:tcPr>
            <w:tcW w:w="580" w:type="dxa"/>
            <w:vAlign w:val="bottom"/>
            <w:tcBorders>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2,598</w:t>
            </w:r>
          </w:p>
        </w:tc>
        <w:tc>
          <w:tcPr>
            <w:tcW w:w="100" w:type="dxa"/>
            <w:vAlign w:val="bottom"/>
          </w:tcPr>
          <w:p>
            <w:pPr>
              <w:spacing w:after="0"/>
              <w:rPr>
                <w:sz w:val="15"/>
                <w:szCs w:val="15"/>
                <w:color w:val="auto"/>
              </w:rPr>
            </w:pPr>
          </w:p>
        </w:tc>
        <w:tc>
          <w:tcPr>
            <w:tcW w:w="880" w:type="dxa"/>
            <w:vAlign w:val="bottom"/>
            <w:tcBorders>
              <w:bottom w:val="single" w:sz="8" w:color="A6A6A6"/>
            </w:tcBorders>
          </w:tcPr>
          <w:p>
            <w:pPr>
              <w:jc w:val="right"/>
              <w:ind w:right="568"/>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272</w:t>
            </w:r>
          </w:p>
        </w:tc>
        <w:tc>
          <w:tcPr>
            <w:tcW w:w="120" w:type="dxa"/>
            <w:vAlign w:val="bottom"/>
          </w:tcPr>
          <w:p>
            <w:pPr>
              <w:spacing w:after="0"/>
              <w:rPr>
                <w:sz w:val="15"/>
                <w:szCs w:val="15"/>
                <w:color w:val="auto"/>
              </w:rPr>
            </w:pPr>
          </w:p>
        </w:tc>
        <w:tc>
          <w:tcPr>
            <w:tcW w:w="720" w:type="dxa"/>
            <w:vAlign w:val="bottom"/>
            <w:tcBorders>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621</w:t>
            </w:r>
          </w:p>
        </w:tc>
        <w:tc>
          <w:tcPr>
            <w:tcW w:w="100" w:type="dxa"/>
            <w:vAlign w:val="bottom"/>
          </w:tcPr>
          <w:p>
            <w:pPr>
              <w:spacing w:after="0"/>
              <w:rPr>
                <w:sz w:val="15"/>
                <w:szCs w:val="15"/>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Selling, General, and Administrative Expenses</w:t>
      </w:r>
    </w:p>
    <w:p>
      <w:pPr>
        <w:spacing w:after="0" w:line="148"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Selling, General, and Administrative Expenses of the operating units are included in Cost of Goods Sold on the Consolidated Statements of Earnings. Corporate General and Administrative (Corporate G&amp;A)</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0" w:name="page71"/>
    <w:bookmarkEnd w:id="70"/>
    <w:p>
      <w:pPr>
        <w:ind w:right="320"/>
        <w:spacing w:after="0" w:line="324" w:lineRule="auto"/>
        <w:rPr>
          <w:sz w:val="20"/>
          <w:szCs w:val="20"/>
          <w:color w:val="auto"/>
        </w:rPr>
      </w:pPr>
      <w:r>
        <w:rPr>
          <w:rFonts w:ascii="Arial" w:cs="Arial" w:eastAsia="Arial" w:hAnsi="Arial"/>
          <w:sz w:val="17"/>
          <w:szCs w:val="17"/>
          <w:color w:val="auto"/>
        </w:rPr>
        <w:t>Expenses include administration, financial, legal, employee benefits, and other corporate activities, and are shown separately in the Consolidated Statements of Earnings. Corporate G&amp;A also includes stock compensation expense. See Footnote (L)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Total Selling, General, and Administrative Expenses for each of the periods are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60" w:type="dxa"/>
            <w:vAlign w:val="bottom"/>
          </w:tcPr>
          <w:p>
            <w:pPr>
              <w:spacing w:after="0"/>
              <w:rPr>
                <w:sz w:val="13"/>
                <w:szCs w:val="13"/>
                <w:color w:val="auto"/>
              </w:rPr>
            </w:pPr>
          </w:p>
        </w:tc>
        <w:tc>
          <w:tcPr>
            <w:tcW w:w="480" w:type="dxa"/>
            <w:vAlign w:val="bottom"/>
            <w:shd w:val="clear" w:color="auto" w:fill="004483"/>
          </w:tcPr>
          <w:p>
            <w:pPr>
              <w:spacing w:after="0"/>
              <w:rPr>
                <w:sz w:val="13"/>
                <w:szCs w:val="13"/>
                <w:color w:val="auto"/>
              </w:rPr>
            </w:pPr>
          </w:p>
        </w:tc>
        <w:tc>
          <w:tcPr>
            <w:tcW w:w="960" w:type="dxa"/>
            <w:vAlign w:val="bottom"/>
            <w:shd w:val="clear" w:color="auto" w:fill="004483"/>
          </w:tcPr>
          <w:p>
            <w:pPr>
              <w:spacing w:after="0"/>
              <w:rPr>
                <w:sz w:val="13"/>
                <w:szCs w:val="13"/>
                <w:color w:val="auto"/>
              </w:rPr>
            </w:pPr>
          </w:p>
        </w:tc>
        <w:tc>
          <w:tcPr>
            <w:tcW w:w="186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88"/>
              </w:rPr>
              <w:t>For the Years Ended March 31,</w:t>
            </w:r>
          </w:p>
        </w:tc>
        <w:tc>
          <w:tcPr>
            <w:tcW w:w="460" w:type="dxa"/>
            <w:vAlign w:val="bottom"/>
            <w:shd w:val="clear" w:color="auto" w:fill="004483"/>
          </w:tcPr>
          <w:p>
            <w:pPr>
              <w:spacing w:after="0"/>
              <w:rPr>
                <w:sz w:val="13"/>
                <w:szCs w:val="13"/>
                <w:color w:val="auto"/>
              </w:rPr>
            </w:pPr>
          </w:p>
        </w:tc>
        <w:tc>
          <w:tcPr>
            <w:tcW w:w="1020" w:type="dxa"/>
            <w:vAlign w:val="bottom"/>
            <w:shd w:val="clear" w:color="auto" w:fill="004483"/>
          </w:tcPr>
          <w:p>
            <w:pPr>
              <w:spacing w:after="0"/>
              <w:rPr>
                <w:sz w:val="13"/>
                <w:szCs w:val="13"/>
                <w:color w:val="auto"/>
              </w:rPr>
            </w:pPr>
          </w:p>
        </w:tc>
      </w:tr>
      <w:tr>
        <w:trPr>
          <w:trHeight w:val="134"/>
        </w:trPr>
        <w:tc>
          <w:tcPr>
            <w:tcW w:w="6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6"/>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jc w:val="right"/>
              <w:ind w:right="44"/>
              <w:spacing w:after="0" w:line="134" w:lineRule="exact"/>
              <w:rPr>
                <w:sz w:val="20"/>
                <w:szCs w:val="20"/>
                <w:color w:val="auto"/>
              </w:rPr>
            </w:pPr>
            <w:r>
              <w:rPr>
                <w:rFonts w:ascii="Arial" w:cs="Arial" w:eastAsia="Arial" w:hAnsi="Arial"/>
                <w:sz w:val="13"/>
                <w:szCs w:val="13"/>
                <w:b w:val="1"/>
                <w:bCs w:val="1"/>
                <w:color w:val="auto"/>
              </w:rPr>
              <w:t>2020</w:t>
            </w:r>
          </w:p>
        </w:tc>
      </w:tr>
      <w:tr>
        <w:trPr>
          <w:trHeight w:val="183"/>
        </w:trPr>
        <w:tc>
          <w:tcPr>
            <w:tcW w:w="646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46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spacing w:after="0"/>
              <w:rPr>
                <w:sz w:val="15"/>
                <w:szCs w:val="15"/>
                <w:color w:val="auto"/>
              </w:rPr>
            </w:pPr>
          </w:p>
        </w:tc>
      </w:tr>
      <w:tr>
        <w:trPr>
          <w:trHeight w:val="189"/>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Operating Units Selling, G&amp;A</w:t>
            </w:r>
          </w:p>
        </w:tc>
        <w:tc>
          <w:tcPr>
            <w:tcW w:w="48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56,561</w:t>
            </w:r>
          </w:p>
        </w:tc>
        <w:tc>
          <w:tcPr>
            <w:tcW w:w="34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56,309</w:t>
            </w:r>
          </w:p>
        </w:tc>
        <w:tc>
          <w:tcPr>
            <w:tcW w:w="160" w:type="dxa"/>
            <w:vAlign w:val="bottom"/>
            <w:tcBorders>
              <w:bottom w:val="single" w:sz="8" w:color="A6A6A6"/>
            </w:tcBorders>
          </w:tcPr>
          <w:p>
            <w:pPr>
              <w:spacing w:after="0"/>
              <w:rPr>
                <w:sz w:val="16"/>
                <w:szCs w:val="16"/>
                <w:color w:val="auto"/>
              </w:rPr>
            </w:pPr>
          </w:p>
        </w:tc>
        <w:tc>
          <w:tcPr>
            <w:tcW w:w="460" w:type="dxa"/>
            <w:vAlign w:val="bottom"/>
            <w:tcBorders>
              <w:bottom w:val="single" w:sz="8" w:color="A6A6A6"/>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57,077</w:t>
            </w:r>
          </w:p>
        </w:tc>
      </w:tr>
      <w:tr>
        <w:trPr>
          <w:trHeight w:val="183"/>
        </w:trPr>
        <w:tc>
          <w:tcPr>
            <w:tcW w:w="646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Corporate G&amp;A</w:t>
            </w:r>
          </w:p>
        </w:tc>
        <w:tc>
          <w:tcPr>
            <w:tcW w:w="4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46,801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6"/>
              <w:spacing w:after="0" w:line="183" w:lineRule="exact"/>
              <w:rPr>
                <w:sz w:val="20"/>
                <w:szCs w:val="20"/>
                <w:color w:val="auto"/>
              </w:rPr>
            </w:pPr>
            <w:r>
              <w:rPr>
                <w:rFonts w:ascii="Arial" w:cs="Arial" w:eastAsia="Arial" w:hAnsi="Arial"/>
                <w:sz w:val="16"/>
                <w:szCs w:val="16"/>
                <w:color w:val="auto"/>
              </w:rPr>
              <w:t>49,511</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44"/>
              <w:spacing w:after="0" w:line="183" w:lineRule="exact"/>
              <w:rPr>
                <w:sz w:val="20"/>
                <w:szCs w:val="20"/>
                <w:color w:val="auto"/>
              </w:rPr>
            </w:pPr>
            <w:r>
              <w:rPr>
                <w:rFonts w:ascii="Arial" w:cs="Arial" w:eastAsia="Arial" w:hAnsi="Arial"/>
                <w:sz w:val="16"/>
                <w:szCs w:val="16"/>
                <w:color w:val="auto"/>
              </w:rPr>
              <w:t>65,410</w:t>
            </w:r>
          </w:p>
        </w:tc>
      </w:tr>
      <w:tr>
        <w:trPr>
          <w:trHeight w:val="27"/>
        </w:trPr>
        <w:tc>
          <w:tcPr>
            <w:tcW w:w="6460" w:type="dxa"/>
            <w:vAlign w:val="bottom"/>
            <w:tcBorders>
              <w:bottom w:val="single" w:sz="8" w:color="A6A6A6"/>
            </w:tcBorders>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960" w:type="dxa"/>
            <w:vAlign w:val="bottom"/>
            <w:tcBorders>
              <w:bottom w:val="single" w:sz="8" w:color="004483"/>
            </w:tcBorders>
            <w:shd w:val="clear" w:color="auto" w:fill="004483"/>
          </w:tcPr>
          <w:p>
            <w:pPr>
              <w:spacing w:after="0"/>
              <w:rPr>
                <w:sz w:val="2"/>
                <w:szCs w:val="2"/>
                <w:color w:val="auto"/>
              </w:rPr>
            </w:pPr>
          </w:p>
        </w:tc>
        <w:tc>
          <w:tcPr>
            <w:tcW w:w="8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r>
      <w:tr>
        <w:trPr>
          <w:trHeight w:val="183"/>
        </w:trPr>
        <w:tc>
          <w:tcPr>
            <w:tcW w:w="6460" w:type="dxa"/>
            <w:vAlign w:val="bottom"/>
          </w:tcPr>
          <w:p>
            <w:pPr>
              <w:spacing w:after="0"/>
              <w:rPr>
                <w:sz w:val="15"/>
                <w:szCs w:val="15"/>
                <w:color w:val="auto"/>
              </w:rPr>
            </w:pPr>
          </w:p>
        </w:tc>
        <w:tc>
          <w:tcPr>
            <w:tcW w:w="480" w:type="dxa"/>
            <w:vAlign w:val="bottom"/>
            <w:tcBorders>
              <w:bottom w:val="single" w:sz="8" w:color="004483"/>
            </w:tcBorders>
          </w:tcPr>
          <w:p>
            <w:pPr>
              <w:jc w:val="right"/>
              <w:ind w:right="299"/>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103,362</w:t>
            </w:r>
          </w:p>
        </w:tc>
        <w:tc>
          <w:tcPr>
            <w:tcW w:w="80" w:type="dxa"/>
            <w:vAlign w:val="bottom"/>
            <w:tcBorders>
              <w:bottom w:val="single" w:sz="8" w:color="004483"/>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6"/>
              <w:spacing w:after="0" w:line="183" w:lineRule="exact"/>
              <w:rPr>
                <w:sz w:val="20"/>
                <w:szCs w:val="20"/>
                <w:color w:val="auto"/>
              </w:rPr>
            </w:pPr>
            <w:r>
              <w:rPr>
                <w:rFonts w:ascii="Arial" w:cs="Arial" w:eastAsia="Arial" w:hAnsi="Arial"/>
                <w:sz w:val="16"/>
                <w:szCs w:val="16"/>
                <w:b w:val="1"/>
                <w:bCs w:val="1"/>
                <w:color w:val="auto"/>
              </w:rPr>
              <w:t>105,820</w:t>
            </w:r>
          </w:p>
        </w:tc>
        <w:tc>
          <w:tcPr>
            <w:tcW w:w="160" w:type="dxa"/>
            <w:vAlign w:val="bottom"/>
          </w:tcPr>
          <w:p>
            <w:pPr>
              <w:spacing w:after="0"/>
              <w:rPr>
                <w:sz w:val="15"/>
                <w:szCs w:val="15"/>
                <w:color w:val="auto"/>
              </w:rPr>
            </w:pPr>
          </w:p>
        </w:tc>
        <w:tc>
          <w:tcPr>
            <w:tcW w:w="460" w:type="dxa"/>
            <w:vAlign w:val="bottom"/>
            <w:tcBorders>
              <w:bottom w:val="single" w:sz="8" w:color="004483"/>
            </w:tcBorders>
          </w:tcPr>
          <w:p>
            <w:pPr>
              <w:jc w:val="right"/>
              <w:ind w:right="279"/>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44"/>
              <w:spacing w:after="0" w:line="183" w:lineRule="exact"/>
              <w:rPr>
                <w:sz w:val="20"/>
                <w:szCs w:val="20"/>
                <w:color w:val="auto"/>
              </w:rPr>
            </w:pPr>
            <w:r>
              <w:rPr>
                <w:rFonts w:ascii="Arial" w:cs="Arial" w:eastAsia="Arial" w:hAnsi="Arial"/>
                <w:sz w:val="16"/>
                <w:szCs w:val="16"/>
                <w:b w:val="1"/>
                <w:bCs w:val="1"/>
                <w:color w:val="auto"/>
              </w:rPr>
              <w:t>122,487</w:t>
            </w:r>
          </w:p>
        </w:tc>
      </w:tr>
      <w:tr>
        <w:trPr>
          <w:trHeight w:val="20"/>
        </w:trPr>
        <w:tc>
          <w:tcPr>
            <w:tcW w:w="646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2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increase in Corporate General and Administrative Expenses during fiscal 2020, compared with fiscal 2022 and 2021, is primarily due to business development costs related to our portfolio review, acquisitions, and the acceleration of stock compensation costs upon the retirement of our Chief Executive Officer during the year.</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Earnings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00" w:type="dxa"/>
            <w:vAlign w:val="bottom"/>
          </w:tcPr>
          <w:p>
            <w:pPr>
              <w:spacing w:after="0"/>
              <w:rPr>
                <w:sz w:val="13"/>
                <w:szCs w:val="13"/>
                <w:color w:val="auto"/>
              </w:rPr>
            </w:pPr>
          </w:p>
        </w:tc>
        <w:tc>
          <w:tcPr>
            <w:tcW w:w="1460" w:type="dxa"/>
            <w:vAlign w:val="bottom"/>
            <w:tcBorders>
              <w:right w:val="single" w:sz="8" w:color="004483"/>
            </w:tcBorders>
            <w:shd w:val="clear" w:color="auto" w:fill="004483"/>
          </w:tcPr>
          <w:p>
            <w:pPr>
              <w:spacing w:after="0"/>
              <w:rPr>
                <w:sz w:val="13"/>
                <w:szCs w:val="13"/>
                <w:color w:val="auto"/>
              </w:rPr>
            </w:pPr>
          </w:p>
        </w:tc>
        <w:tc>
          <w:tcPr>
            <w:tcW w:w="1760" w:type="dxa"/>
            <w:vAlign w:val="bottom"/>
            <w:gridSpan w:val="3"/>
            <w:shd w:val="clear" w:color="auto" w:fill="004483"/>
          </w:tcPr>
          <w:p>
            <w:pPr>
              <w:spacing w:after="0"/>
              <w:rPr>
                <w:sz w:val="20"/>
                <w:szCs w:val="20"/>
                <w:color w:val="auto"/>
              </w:rPr>
            </w:pPr>
            <w:r>
              <w:rPr>
                <w:rFonts w:ascii="Arial" w:cs="Arial" w:eastAsia="Arial" w:hAnsi="Arial"/>
                <w:sz w:val="13"/>
                <w:szCs w:val="13"/>
                <w:b w:val="1"/>
                <w:bCs w:val="1"/>
                <w:color w:val="FFFFFF"/>
                <w:w w:val="91"/>
              </w:rPr>
              <w:t>For the Years Ended March 31,</w:t>
            </w:r>
          </w:p>
        </w:tc>
        <w:tc>
          <w:tcPr>
            <w:tcW w:w="1420" w:type="dxa"/>
            <w:vAlign w:val="bottom"/>
            <w:shd w:val="clear" w:color="auto" w:fill="004483"/>
          </w:tcPr>
          <w:p>
            <w:pPr>
              <w:spacing w:after="0"/>
              <w:rPr>
                <w:sz w:val="13"/>
                <w:szCs w:val="13"/>
                <w:color w:val="auto"/>
              </w:rPr>
            </w:pPr>
          </w:p>
        </w:tc>
      </w:tr>
      <w:tr>
        <w:trPr>
          <w:trHeight w:val="169"/>
        </w:trPr>
        <w:tc>
          <w:tcPr>
            <w:tcW w:w="6600" w:type="dxa"/>
            <w:vAlign w:val="bottom"/>
            <w:tcBorders>
              <w:bottom w:val="single" w:sz="8" w:color="004483"/>
            </w:tcBorders>
          </w:tcPr>
          <w:p>
            <w:pPr>
              <w:spacing w:after="0"/>
              <w:rPr>
                <w:sz w:val="14"/>
                <w:szCs w:val="14"/>
                <w:color w:val="auto"/>
              </w:rPr>
            </w:pPr>
          </w:p>
        </w:tc>
        <w:tc>
          <w:tcPr>
            <w:tcW w:w="1460" w:type="dxa"/>
            <w:vAlign w:val="bottom"/>
            <w:tcBorders>
              <w:bottom w:val="single" w:sz="8" w:color="004483"/>
            </w:tcBorders>
          </w:tcPr>
          <w:p>
            <w:pPr>
              <w:jc w:val="right"/>
              <w:ind w:right="42"/>
              <w:spacing w:after="0"/>
              <w:rPr>
                <w:sz w:val="20"/>
                <w:szCs w:val="20"/>
                <w:color w:val="auto"/>
              </w:rPr>
            </w:pPr>
            <w:r>
              <w:rPr>
                <w:rFonts w:ascii="Arial" w:cs="Arial" w:eastAsia="Arial" w:hAnsi="Arial"/>
                <w:sz w:val="13"/>
                <w:szCs w:val="13"/>
                <w:b w:val="1"/>
                <w:bCs w:val="1"/>
                <w:color w:val="auto"/>
              </w:rPr>
              <w:t>2022</w:t>
            </w:r>
          </w:p>
        </w:tc>
        <w:tc>
          <w:tcPr>
            <w:tcW w:w="1600" w:type="dxa"/>
            <w:vAlign w:val="bottom"/>
            <w:tcBorders>
              <w:bottom w:val="single" w:sz="8" w:color="004483"/>
            </w:tcBorders>
            <w:gridSpan w:val="2"/>
          </w:tcPr>
          <w:p>
            <w:pPr>
              <w:jc w:val="right"/>
              <w:ind w:right="39"/>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004483"/>
            </w:tcBorders>
          </w:tcPr>
          <w:p>
            <w:pPr>
              <w:spacing w:after="0"/>
              <w:rPr>
                <w:sz w:val="14"/>
                <w:szCs w:val="14"/>
                <w:color w:val="auto"/>
              </w:rPr>
            </w:pPr>
          </w:p>
        </w:tc>
        <w:tc>
          <w:tcPr>
            <w:tcW w:w="1420" w:type="dxa"/>
            <w:vAlign w:val="bottom"/>
            <w:tcBorders>
              <w:bottom w:val="single" w:sz="8" w:color="004483"/>
            </w:tcBorders>
          </w:tcPr>
          <w:p>
            <w:pPr>
              <w:jc w:val="right"/>
              <w:ind w:right="42"/>
              <w:spacing w:after="0"/>
              <w:rPr>
                <w:sz w:val="20"/>
                <w:szCs w:val="20"/>
                <w:color w:val="auto"/>
              </w:rPr>
            </w:pPr>
            <w:r>
              <w:rPr>
                <w:rFonts w:ascii="Arial" w:cs="Arial" w:eastAsia="Arial" w:hAnsi="Arial"/>
                <w:sz w:val="13"/>
                <w:szCs w:val="13"/>
                <w:b w:val="1"/>
                <w:bCs w:val="1"/>
                <w:color w:val="auto"/>
              </w:rPr>
              <w:t>2020</w:t>
            </w:r>
          </w:p>
        </w:tc>
      </w:tr>
      <w:tr>
        <w:trPr>
          <w:trHeight w:val="189"/>
        </w:trPr>
        <w:tc>
          <w:tcPr>
            <w:tcW w:w="6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Weighted-Average Shares of Common Stock Outstanding</w:t>
            </w:r>
          </w:p>
        </w:tc>
        <w:tc>
          <w:tcPr>
            <w:tcW w:w="14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40,547,048</w:t>
            </w:r>
          </w:p>
        </w:tc>
        <w:tc>
          <w:tcPr>
            <w:tcW w:w="1600" w:type="dxa"/>
            <w:vAlign w:val="bottom"/>
            <w:tcBorders>
              <w:bottom w:val="single" w:sz="8" w:color="A6A6A6"/>
            </w:tcBorders>
            <w:gridSpan w:val="2"/>
          </w:tcPr>
          <w:p>
            <w:pPr>
              <w:jc w:val="right"/>
              <w:ind w:right="39"/>
              <w:spacing w:after="0"/>
              <w:rPr>
                <w:sz w:val="20"/>
                <w:szCs w:val="20"/>
                <w:color w:val="auto"/>
              </w:rPr>
            </w:pPr>
            <w:r>
              <w:rPr>
                <w:rFonts w:ascii="Arial" w:cs="Arial" w:eastAsia="Arial" w:hAnsi="Arial"/>
                <w:sz w:val="16"/>
                <w:szCs w:val="16"/>
                <w:color w:val="auto"/>
              </w:rPr>
              <w:t>41,543,067</w:t>
            </w:r>
          </w:p>
        </w:tc>
        <w:tc>
          <w:tcPr>
            <w:tcW w:w="160" w:type="dxa"/>
            <w:vAlign w:val="bottom"/>
            <w:tcBorders>
              <w:bottom w:val="single" w:sz="8" w:color="A6A6A6"/>
            </w:tcBorders>
          </w:tcPr>
          <w:p>
            <w:pPr>
              <w:spacing w:after="0"/>
              <w:rPr>
                <w:sz w:val="16"/>
                <w:szCs w:val="16"/>
                <w:color w:val="auto"/>
              </w:rPr>
            </w:pPr>
          </w:p>
        </w:tc>
        <w:tc>
          <w:tcPr>
            <w:tcW w:w="14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42,021,892</w:t>
            </w:r>
          </w:p>
        </w:tc>
      </w:tr>
      <w:tr>
        <w:trPr>
          <w:trHeight w:val="183"/>
        </w:trPr>
        <w:tc>
          <w:tcPr>
            <w:tcW w:w="6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Effect of Dilutive Shares:</w:t>
            </w:r>
          </w:p>
        </w:tc>
        <w:tc>
          <w:tcPr>
            <w:tcW w:w="146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4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420" w:type="dxa"/>
            <w:vAlign w:val="bottom"/>
            <w:tcBorders>
              <w:bottom w:val="single" w:sz="8" w:color="A6A6A6"/>
            </w:tcBorders>
          </w:tcPr>
          <w:p>
            <w:pPr>
              <w:spacing w:after="0"/>
              <w:rPr>
                <w:sz w:val="15"/>
                <w:szCs w:val="15"/>
                <w:color w:val="auto"/>
              </w:rPr>
            </w:pPr>
          </w:p>
        </w:tc>
      </w:tr>
      <w:tr>
        <w:trPr>
          <w:trHeight w:val="183"/>
        </w:trPr>
        <w:tc>
          <w:tcPr>
            <w:tcW w:w="6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Assumed Exercise of Outstanding Dilutive Options</w:t>
            </w:r>
          </w:p>
        </w:tc>
        <w:tc>
          <w:tcPr>
            <w:tcW w:w="146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539,309</w:t>
            </w:r>
          </w:p>
        </w:tc>
        <w:tc>
          <w:tcPr>
            <w:tcW w:w="1600" w:type="dxa"/>
            <w:vAlign w:val="bottom"/>
            <w:tcBorders>
              <w:bottom w:val="single" w:sz="8" w:color="A6A6A6"/>
            </w:tcBorders>
            <w:gridSpan w:val="2"/>
          </w:tcPr>
          <w:p>
            <w:pPr>
              <w:jc w:val="right"/>
              <w:ind w:right="39"/>
              <w:spacing w:after="0" w:line="183" w:lineRule="exact"/>
              <w:rPr>
                <w:sz w:val="20"/>
                <w:szCs w:val="20"/>
                <w:color w:val="auto"/>
              </w:rPr>
            </w:pPr>
            <w:r>
              <w:rPr>
                <w:rFonts w:ascii="Arial" w:cs="Arial" w:eastAsia="Arial" w:hAnsi="Arial"/>
                <w:sz w:val="16"/>
                <w:szCs w:val="16"/>
                <w:color w:val="auto"/>
              </w:rPr>
              <w:t>570,325</w:t>
            </w:r>
          </w:p>
        </w:tc>
        <w:tc>
          <w:tcPr>
            <w:tcW w:w="160" w:type="dxa"/>
            <w:vAlign w:val="bottom"/>
            <w:tcBorders>
              <w:bottom w:val="single" w:sz="8" w:color="A6A6A6"/>
            </w:tcBorders>
          </w:tcPr>
          <w:p>
            <w:pPr>
              <w:spacing w:after="0"/>
              <w:rPr>
                <w:sz w:val="15"/>
                <w:szCs w:val="15"/>
                <w:color w:val="auto"/>
              </w:rPr>
            </w:pPr>
          </w:p>
        </w:tc>
        <w:tc>
          <w:tcPr>
            <w:tcW w:w="142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623,779</w:t>
            </w:r>
          </w:p>
        </w:tc>
      </w:tr>
      <w:tr>
        <w:trPr>
          <w:trHeight w:val="183"/>
        </w:trPr>
        <w:tc>
          <w:tcPr>
            <w:tcW w:w="6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Less Shares Repurchased from Proceeds of Assumed Exercised Options</w:t>
            </w:r>
          </w:p>
        </w:tc>
        <w:tc>
          <w:tcPr>
            <w:tcW w:w="14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(343,917 )</w:t>
            </w:r>
          </w:p>
        </w:tc>
        <w:tc>
          <w:tcPr>
            <w:tcW w:w="160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(429,815 )</w:t>
            </w:r>
          </w:p>
        </w:tc>
        <w:tc>
          <w:tcPr>
            <w:tcW w:w="160" w:type="dxa"/>
            <w:vAlign w:val="bottom"/>
            <w:tcBorders>
              <w:bottom w:val="single" w:sz="8" w:color="A6A6A6"/>
            </w:tcBorders>
          </w:tcPr>
          <w:p>
            <w:pPr>
              <w:spacing w:after="0"/>
              <w:rPr>
                <w:sz w:val="15"/>
                <w:szCs w:val="15"/>
                <w:color w:val="auto"/>
              </w:rPr>
            </w:pPr>
          </w:p>
        </w:tc>
        <w:tc>
          <w:tcPr>
            <w:tcW w:w="14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(481,853 )</w:t>
            </w: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6"/>
                <w:szCs w:val="16"/>
                <w:color w:val="004483"/>
              </w:rPr>
              <w:t>Restricted Stock Units</w:t>
            </w:r>
          </w:p>
        </w:tc>
        <w:tc>
          <w:tcPr>
            <w:tcW w:w="1460" w:type="dxa"/>
            <w:vAlign w:val="bottom"/>
          </w:tcPr>
          <w:p>
            <w:pPr>
              <w:jc w:val="right"/>
              <w:ind w:right="42"/>
              <w:spacing w:after="0" w:line="183" w:lineRule="exact"/>
              <w:rPr>
                <w:sz w:val="20"/>
                <w:szCs w:val="20"/>
                <w:color w:val="auto"/>
              </w:rPr>
            </w:pPr>
            <w:r>
              <w:rPr>
                <w:rFonts w:ascii="Arial" w:cs="Arial" w:eastAsia="Arial" w:hAnsi="Arial"/>
                <w:sz w:val="16"/>
                <w:szCs w:val="16"/>
                <w:color w:val="auto"/>
              </w:rPr>
              <w:t>187,272</w:t>
            </w:r>
          </w:p>
        </w:tc>
        <w:tc>
          <w:tcPr>
            <w:tcW w:w="160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143,132</w:t>
            </w:r>
          </w:p>
        </w:tc>
        <w:tc>
          <w:tcPr>
            <w:tcW w:w="160" w:type="dxa"/>
            <w:vAlign w:val="bottom"/>
          </w:tcPr>
          <w:p>
            <w:pPr>
              <w:spacing w:after="0"/>
              <w:rPr>
                <w:sz w:val="15"/>
                <w:szCs w:val="15"/>
                <w:color w:val="auto"/>
              </w:rPr>
            </w:pPr>
          </w:p>
        </w:tc>
        <w:tc>
          <w:tcPr>
            <w:tcW w:w="1420" w:type="dxa"/>
            <w:vAlign w:val="bottom"/>
          </w:tcPr>
          <w:p>
            <w:pPr>
              <w:jc w:val="right"/>
              <w:ind w:right="42"/>
              <w:spacing w:after="0" w:line="183" w:lineRule="exact"/>
              <w:rPr>
                <w:sz w:val="20"/>
                <w:szCs w:val="20"/>
                <w:color w:val="auto"/>
              </w:rPr>
            </w:pPr>
            <w:r>
              <w:rPr>
                <w:rFonts w:ascii="Arial" w:cs="Arial" w:eastAsia="Arial" w:hAnsi="Arial"/>
                <w:sz w:val="16"/>
                <w:szCs w:val="16"/>
                <w:color w:val="auto"/>
              </w:rPr>
              <w:t>121,525</w:t>
            </w:r>
          </w:p>
        </w:tc>
      </w:tr>
      <w:tr>
        <w:trPr>
          <w:trHeight w:val="27"/>
        </w:trPr>
        <w:tc>
          <w:tcPr>
            <w:tcW w:w="6600" w:type="dxa"/>
            <w:vAlign w:val="bottom"/>
            <w:tcBorders>
              <w:bottom w:val="single" w:sz="8" w:color="A6A6A6"/>
            </w:tcBorders>
          </w:tcPr>
          <w:p>
            <w:pPr>
              <w:spacing w:after="0"/>
              <w:rPr>
                <w:sz w:val="2"/>
                <w:szCs w:val="2"/>
                <w:color w:val="auto"/>
              </w:rPr>
            </w:pPr>
          </w:p>
        </w:tc>
        <w:tc>
          <w:tcPr>
            <w:tcW w:w="1460" w:type="dxa"/>
            <w:vAlign w:val="bottom"/>
            <w:tcBorders>
              <w:bottom w:val="single" w:sz="8" w:color="004483"/>
              <w:right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142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420" w:type="dxa"/>
            <w:vAlign w:val="bottom"/>
            <w:tcBorders>
              <w:bottom w:val="single" w:sz="8" w:color="004483"/>
            </w:tcBorders>
            <w:shd w:val="clear" w:color="auto" w:fill="004483"/>
          </w:tcPr>
          <w:p>
            <w:pPr>
              <w:spacing w:after="0"/>
              <w:rPr>
                <w:sz w:val="2"/>
                <w:szCs w:val="2"/>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Weighted-Average Common Stock and Dilutive Securities Outstanding</w:t>
            </w:r>
          </w:p>
        </w:tc>
        <w:tc>
          <w:tcPr>
            <w:tcW w:w="146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40,929,712</w:t>
            </w:r>
          </w:p>
        </w:tc>
        <w:tc>
          <w:tcPr>
            <w:tcW w:w="180" w:type="dxa"/>
            <w:vAlign w:val="bottom"/>
          </w:tcPr>
          <w:p>
            <w:pPr>
              <w:spacing w:after="0"/>
              <w:rPr>
                <w:sz w:val="15"/>
                <w:szCs w:val="15"/>
                <w:color w:val="auto"/>
              </w:rPr>
            </w:pPr>
          </w:p>
        </w:tc>
        <w:tc>
          <w:tcPr>
            <w:tcW w:w="1420" w:type="dxa"/>
            <w:vAlign w:val="bottom"/>
            <w:tcBorders>
              <w:bottom w:val="single" w:sz="8" w:color="004483"/>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41,826,709</w:t>
            </w:r>
          </w:p>
        </w:tc>
        <w:tc>
          <w:tcPr>
            <w:tcW w:w="160" w:type="dxa"/>
            <w:vAlign w:val="bottom"/>
          </w:tcPr>
          <w:p>
            <w:pPr>
              <w:spacing w:after="0"/>
              <w:rPr>
                <w:sz w:val="15"/>
                <w:szCs w:val="15"/>
                <w:color w:val="auto"/>
              </w:rPr>
            </w:pPr>
          </w:p>
        </w:tc>
        <w:tc>
          <w:tcPr>
            <w:tcW w:w="142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42,285,343</w:t>
            </w:r>
          </w:p>
        </w:tc>
      </w:tr>
      <w:tr>
        <w:trPr>
          <w:trHeight w:val="20"/>
        </w:trPr>
        <w:tc>
          <w:tcPr>
            <w:tcW w:w="6600" w:type="dxa"/>
            <w:vAlign w:val="bottom"/>
          </w:tcPr>
          <w:p>
            <w:pPr>
              <w:spacing w:after="0" w:line="20" w:lineRule="exact"/>
              <w:rPr>
                <w:sz w:val="1"/>
                <w:szCs w:val="1"/>
                <w:color w:val="auto"/>
              </w:rPr>
            </w:pPr>
          </w:p>
        </w:tc>
        <w:tc>
          <w:tcPr>
            <w:tcW w:w="146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004483"/>
            </w:tcBorders>
          </w:tcPr>
          <w:p>
            <w:pPr>
              <w:spacing w:after="0" w:line="20" w:lineRule="exact"/>
              <w:rPr>
                <w:sz w:val="1"/>
                <w:szCs w:val="1"/>
                <w:color w:val="auto"/>
              </w:rPr>
            </w:pPr>
          </w:p>
        </w:tc>
      </w:tr>
    </w:tbl>
    <w:p>
      <w:pPr>
        <w:spacing w:after="0" w:line="215"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line Less Shares Repurchased from Proceeds of Assumed Exercised Options includes unearned compensation related to outstanding stock options.</w:t>
      </w:r>
    </w:p>
    <w:p>
      <w:pPr>
        <w:spacing w:after="0" w:line="89"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There were 6,053; 569,431; and 475,082 stock options at an average exercise price of $139.80 per share, $89.11 per share, and $95.46 per share, respectively, that were excluded from the computation of diluted earnings per share for the fiscal years ended March 31, 2022, 2021, and 2020, because such inclusion would have been anti-dilutive.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Share-Based Compensation</w:t>
      </w:r>
    </w:p>
    <w:p>
      <w:pPr>
        <w:spacing w:after="0" w:line="148"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All share-based compensation is valued at the grant date and expensed over the requisite service period, which is generally identical to the vesting period of the award. Forfeitures of share-based awards are recognized in the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Fair Value Measures</w:t>
      </w:r>
    </w:p>
    <w:p>
      <w:pPr>
        <w:spacing w:after="0" w:line="148"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Certain assets and liabilities are required to be recorded or disclosed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assets and liabilities in active markets;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1" w:name="page72"/>
    <w:bookmarkEnd w:id="71"/>
    <w:p>
      <w:pPr>
        <w:ind w:right="620"/>
        <w:spacing w:after="0" w:line="318"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quoted prices for identical or similar assets and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and</w:t>
      </w:r>
    </w:p>
    <w:p>
      <w:pPr>
        <w:spacing w:after="0" w:line="45"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Recent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w:t>
      </w:r>
    </w:p>
    <w:p>
      <w:pPr>
        <w:spacing w:after="0" w:line="166"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color w:val="auto"/>
        </w:rPr>
        <w:t>In December 2019, the FASB issued ASU 2019-12, which simplifies the accounting for income taxes, eliminates certain exceptions within existing income tax guidance, and clarifies certain aspects of the current guidance to promote consistency among reporting entities. We adopted this standard on April 1, 2021. The adoption of this standard did not have a material impact on our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right="6740" w:firstLine="8"/>
        <w:spacing w:after="0" w:line="380" w:lineRule="auto"/>
        <w:tabs>
          <w:tab w:leader="none" w:pos="330" w:val="left"/>
        </w:tabs>
        <w:numPr>
          <w:ilvl w:val="0"/>
          <w:numId w:val="19"/>
        </w:numPr>
        <w:rPr>
          <w:rFonts w:ascii="Arial" w:cs="Arial" w:eastAsia="Arial" w:hAnsi="Arial"/>
          <w:sz w:val="20"/>
          <w:szCs w:val="20"/>
          <w:b w:val="1"/>
          <w:bCs w:val="1"/>
          <w:color w:val="004483"/>
        </w:rPr>
      </w:pPr>
      <w:r>
        <w:rPr>
          <w:rFonts w:ascii="Arial" w:cs="Arial" w:eastAsia="Arial" w:hAnsi="Arial"/>
          <w:sz w:val="20"/>
          <w:szCs w:val="20"/>
          <w:b w:val="1"/>
          <w:bCs w:val="1"/>
          <w:color w:val="004483"/>
        </w:rPr>
        <w:t xml:space="preserve">ACQUISITION SUBSEQUENT TO YEAR END </w:t>
      </w:r>
      <w:r>
        <w:rPr>
          <w:rFonts w:ascii="Arial" w:cs="Arial" w:eastAsia="Arial" w:hAnsi="Arial"/>
          <w:sz w:val="20"/>
          <w:szCs w:val="20"/>
          <w:b w:val="1"/>
          <w:bCs w:val="1"/>
          <w:u w:val="single" w:color="auto"/>
          <w:color w:val="004483"/>
        </w:rPr>
        <w:t>ConAgg Acquisition</w:t>
      </w:r>
    </w:p>
    <w:p>
      <w:pPr>
        <w:ind w:right="20"/>
        <w:spacing w:after="0" w:line="285" w:lineRule="auto"/>
        <w:rPr>
          <w:sz w:val="20"/>
          <w:szCs w:val="20"/>
          <w:color w:val="auto"/>
        </w:rPr>
      </w:pPr>
      <w:r>
        <w:rPr>
          <w:rFonts w:ascii="Arial" w:cs="Arial" w:eastAsia="Arial" w:hAnsi="Arial"/>
          <w:sz w:val="18"/>
          <w:szCs w:val="18"/>
          <w:color w:val="auto"/>
        </w:rPr>
        <w:t>On April 22, 2022, we acquired the assets of a readymix concrete and aggregates business in northern Colorado (the ConAgg Acquisition). The purchase price of the ConAgg Acquisition was approximately $121.2 million. The purchase price and expenses incurred in connection with the ConAgg Acquisition were funded primarily through borrowings under our Revolving Credit Facility. Operations related to the ConAgg Acquisition will be included in our segment reporting for the Concrete and Aggregates business beginning in fiscal 2023.</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(C) DISCONTINUED OPERATIONS AND OTHER DISPOSITIONS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Discontinued Operations</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On September 18, 2020, we sold our Oil and Gas Proppants business (the Proppants Business) to Smart Sand, Inc., a Delaware corporation (the Purchaser), pursuant to an Equity Purchase and Sale Agreement (the Purchase Agreement) between the Company and the Purchaser. The sale of this business excluded certain assets, namely real property and equipment in south Texas, real property in Illinois and certain other assets. The purchase price (the Purchase Price) paid by the Purchaser for the acquisition of the Proppants Business was $2.0 million paid in shares of common stock of the Purchaser. The shares were valued at March 31, 2022 and 2021 using Level 1 inputs at the quoted market price of the shares, and the shares are classified as Other Assets in our Consolidated Balance Sheet at March 31, 2022 and 2021.</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sale of the Oil and Gas Proppants business, which was previously disclosed as a reportable segment, was determined to meet the discontinued operations accounting criteria. The sale resulted in a gain of approximately $9.2 million for the year ended March 31, 2021, which is included in Earnings (Loss) from Discontinued Operations on the Consolidated Statement of Earnings. Certain expenses, which were previously included in the Oil and Gas Proppants operating segment, do not qualify for classification within discontinued operations and have been reclassified from the operating segment to</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1"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continuing operations. These expenses primarily relate to lease agreements not included in the sale of the Proppants Business.</w:t>
      </w:r>
    </w:p>
    <w:p>
      <w:pPr>
        <w:spacing w:after="0" w:line="144"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following is a summary of operating results included in Earnings (Loss) from Discontinued Operations for the fiscal years ended March 31, 2021 and 2020.</w:t>
      </w:r>
    </w:p>
    <w:p>
      <w:pPr>
        <w:spacing w:after="0" w:line="301" w:lineRule="exact"/>
        <w:rPr>
          <w:sz w:val="20"/>
          <w:szCs w:val="20"/>
          <w:color w:val="auto"/>
        </w:rPr>
      </w:pPr>
    </w:p>
    <w:p>
      <w:pPr>
        <w:ind w:left="8520"/>
        <w:spacing w:after="0"/>
        <w:rPr>
          <w:sz w:val="20"/>
          <w:szCs w:val="20"/>
          <w:color w:val="auto"/>
        </w:rPr>
      </w:pPr>
      <w:r>
        <w:rPr>
          <w:rFonts w:ascii="Arial" w:cs="Arial" w:eastAsia="Arial" w:hAnsi="Arial"/>
          <w:sz w:val="13"/>
          <w:szCs w:val="13"/>
          <w:b w:val="1"/>
          <w:bCs w:val="1"/>
          <w:color w:val="FFFFFF"/>
        </w:rPr>
        <w:t>For the 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-82550</wp:posOffset>
            </wp:positionV>
            <wp:extent cx="2305685"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05685" cy="93980"/>
                    </a:xfrm>
                    <a:prstGeom prst="rect">
                      <a:avLst/>
                    </a:prstGeom>
                    <a:noFill/>
                  </pic:spPr>
                </pic:pic>
              </a:graphicData>
            </a:graphic>
          </wp:anchor>
        </w:drawing>
      </w:r>
    </w:p>
    <w:p>
      <w:pPr>
        <w:ind w:left="8960"/>
        <w:spacing w:after="0"/>
        <w:tabs>
          <w:tab w:leader="none" w:pos="10840" w:val="left"/>
        </w:tabs>
        <w:rPr>
          <w:sz w:val="20"/>
          <w:szCs w:val="20"/>
          <w:color w:val="auto"/>
        </w:rPr>
      </w:pPr>
      <w:r>
        <w:rPr>
          <w:rFonts w:ascii="Arial" w:cs="Arial" w:eastAsia="Arial" w:hAnsi="Arial"/>
          <w:sz w:val="10"/>
          <w:szCs w:val="10"/>
          <w:b w:val="1"/>
          <w:bCs w:val="1"/>
          <w:color w:val="auto"/>
        </w:rPr>
        <w:t>2021</w:t>
      </w:r>
      <w:r>
        <w:rPr>
          <w:sz w:val="20"/>
          <w:szCs w:val="20"/>
          <w:color w:val="auto"/>
        </w:rPr>
        <w:tab/>
      </w:r>
      <w:r>
        <w:rPr>
          <w:rFonts w:ascii="Arial" w:cs="Arial" w:eastAsia="Arial" w:hAnsi="Arial"/>
          <w:sz w:val="10"/>
          <w:szCs w:val="10"/>
          <w:b w:val="1"/>
          <w:bCs w:val="1"/>
          <w:color w:val="auto"/>
        </w:rPr>
        <w:t>2020</w:t>
      </w:r>
    </w:p>
    <w:p>
      <w:pPr>
        <w:spacing w:after="0" w:line="34" w:lineRule="exact"/>
        <w:rPr>
          <w:sz w:val="20"/>
          <w:szCs w:val="20"/>
          <w:color w:val="auto"/>
        </w:rPr>
      </w:pPr>
    </w:p>
    <w:p>
      <w:pPr>
        <w:ind w:left="882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6374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34"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6977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6977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6977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Other Non-Operating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6977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004483"/>
        </w:rPr>
        <w:t>Gain on Sale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6977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004483"/>
        </w:rPr>
        <w:t>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6977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Earnings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6977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8260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17385E"/>
        </w:rPr>
        <w:t>Net Earnings (Loss) from Discontinued Operations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64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7"/>
                <w:szCs w:val="17"/>
                <w:color w:val="auto"/>
              </w:rPr>
            </w:pPr>
          </w:p>
        </w:tc>
        <w:tc>
          <w:tcPr>
            <w:tcW w:w="740" w:type="dxa"/>
            <w:vAlign w:val="bottom"/>
            <w:tcBorders>
              <w:bottom w:val="single" w:sz="8" w:color="A6A6A6"/>
            </w:tcBorders>
            <w:gridSpan w:val="2"/>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46,781</w:t>
            </w:r>
          </w:p>
        </w:tc>
        <w:tc>
          <w:tcPr>
            <w:tcW w:w="60" w:type="dxa"/>
            <w:vAlign w:val="bottom"/>
          </w:tcPr>
          <w:p>
            <w:pPr>
              <w:spacing w:after="0"/>
              <w:rPr>
                <w:sz w:val="17"/>
                <w:szCs w:val="17"/>
                <w:color w:val="auto"/>
              </w:rPr>
            </w:pPr>
          </w:p>
        </w:tc>
      </w:tr>
      <w:tr>
        <w:trPr>
          <w:trHeight w:val="209"/>
        </w:trPr>
        <w:tc>
          <w:tcPr>
            <w:tcW w:w="6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3,415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58,185</w:t>
            </w:r>
          </w:p>
        </w:tc>
        <w:tc>
          <w:tcPr>
            <w:tcW w:w="60" w:type="dxa"/>
            <w:vAlign w:val="bottom"/>
          </w:tcPr>
          <w:p>
            <w:pPr>
              <w:spacing w:after="0"/>
              <w:rPr>
                <w:sz w:val="18"/>
                <w:szCs w:val="18"/>
                <w:color w:val="auto"/>
              </w:rPr>
            </w:pPr>
          </w:p>
        </w:tc>
      </w:tr>
      <w:tr>
        <w:trPr>
          <w:trHeight w:val="183"/>
        </w:trPr>
        <w:tc>
          <w:tcPr>
            <w:tcW w:w="6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(2,370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(11,404</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226</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569</w:t>
            </w:r>
          </w:p>
        </w:tc>
        <w:tc>
          <w:tcPr>
            <w:tcW w:w="60" w:type="dxa"/>
            <w:vAlign w:val="bottom"/>
          </w:tcPr>
          <w:p>
            <w:pPr>
              <w:spacing w:after="0"/>
              <w:rPr>
                <w:sz w:val="15"/>
                <w:szCs w:val="15"/>
                <w:color w:val="auto"/>
              </w:rPr>
            </w:pPr>
          </w:p>
        </w:tc>
      </w:tr>
      <w:tr>
        <w:trPr>
          <w:trHeight w:val="183"/>
        </w:trPr>
        <w:tc>
          <w:tcPr>
            <w:tcW w:w="6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9,230</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r>
      <w:tr>
        <w:trPr>
          <w:trHeight w:val="210"/>
        </w:trPr>
        <w:tc>
          <w:tcPr>
            <w:tcW w:w="6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(199,136</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4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7,086</w:t>
            </w:r>
          </w:p>
        </w:tc>
        <w:tc>
          <w:tcPr>
            <w:tcW w:w="12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(209,971</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9"/>
        </w:trPr>
        <w:tc>
          <w:tcPr>
            <w:tcW w:w="6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(1,808</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56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49,674</w:t>
            </w:r>
          </w:p>
        </w:tc>
        <w:tc>
          <w:tcPr>
            <w:tcW w:w="60" w:type="dxa"/>
            <w:vAlign w:val="bottom"/>
          </w:tcPr>
          <w:p>
            <w:pPr>
              <w:spacing w:after="0"/>
              <w:rPr>
                <w:sz w:val="18"/>
                <w:szCs w:val="18"/>
                <w:color w:val="auto"/>
              </w:rPr>
            </w:pPr>
          </w:p>
        </w:tc>
      </w:tr>
      <w:tr>
        <w:trPr>
          <w:trHeight w:val="183"/>
        </w:trPr>
        <w:tc>
          <w:tcPr>
            <w:tcW w:w="640" w:type="dxa"/>
            <w:vAlign w:val="bottom"/>
            <w:tcBorders>
              <w:bottom w:val="single" w:sz="8" w:color="004483"/>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5,278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004483"/>
            </w:tcBorders>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(160,297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
        </w:trPr>
        <w:tc>
          <w:tcPr>
            <w:tcW w:w="6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503" w:right="339" w:bottom="1440" w:gutter="0" w:footer="0" w:header="0"/>
          <w:type w:val="continuous"/>
        </w:sectPr>
      </w:pPr>
    </w:p>
    <w:p>
      <w:pPr>
        <w:spacing w:after="0" w:line="164"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The significant components of our Consolidated Statements of Cash Flows for discontinued operations for the fiscal years ended March 31, 2021 and 2020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00" w:type="dxa"/>
            <w:vAlign w:val="bottom"/>
          </w:tcPr>
          <w:p>
            <w:pPr>
              <w:spacing w:after="0"/>
              <w:rPr>
                <w:sz w:val="13"/>
                <w:szCs w:val="13"/>
                <w:color w:val="auto"/>
              </w:rPr>
            </w:pPr>
          </w:p>
        </w:tc>
        <w:tc>
          <w:tcPr>
            <w:tcW w:w="620" w:type="dxa"/>
            <w:vAlign w:val="bottom"/>
            <w:shd w:val="clear" w:color="auto" w:fill="004483"/>
          </w:tcPr>
          <w:p>
            <w:pPr>
              <w:spacing w:after="0"/>
              <w:rPr>
                <w:sz w:val="13"/>
                <w:szCs w:val="13"/>
                <w:color w:val="auto"/>
              </w:rPr>
            </w:pPr>
          </w:p>
        </w:tc>
        <w:tc>
          <w:tcPr>
            <w:tcW w:w="2500" w:type="dxa"/>
            <w:vAlign w:val="bottom"/>
            <w:gridSpan w:val="3"/>
            <w:shd w:val="clear" w:color="auto" w:fill="004483"/>
          </w:tcPr>
          <w:p>
            <w:pPr>
              <w:jc w:val="right"/>
              <w:ind w:right="219"/>
              <w:spacing w:after="0"/>
              <w:rPr>
                <w:sz w:val="20"/>
                <w:szCs w:val="20"/>
                <w:color w:val="auto"/>
              </w:rPr>
            </w:pPr>
            <w:r>
              <w:rPr>
                <w:rFonts w:ascii="Arial" w:cs="Arial" w:eastAsia="Arial" w:hAnsi="Arial"/>
                <w:sz w:val="13"/>
                <w:szCs w:val="13"/>
                <w:b w:val="1"/>
                <w:bCs w:val="1"/>
                <w:color w:val="FFFFFF"/>
              </w:rPr>
              <w:t>For the Years Ended March 31,</w:t>
            </w:r>
          </w:p>
        </w:tc>
        <w:tc>
          <w:tcPr>
            <w:tcW w:w="84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r>
      <w:tr>
        <w:trPr>
          <w:trHeight w:val="134"/>
        </w:trPr>
        <w:tc>
          <w:tcPr>
            <w:tcW w:w="7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1"/>
                <w:szCs w:val="11"/>
                <w:color w:val="auto"/>
              </w:rPr>
            </w:pPr>
          </w:p>
        </w:tc>
      </w:tr>
      <w:tr>
        <w:trPr>
          <w:trHeight w:val="183"/>
        </w:trPr>
        <w:tc>
          <w:tcPr>
            <w:tcW w:w="7200" w:type="dxa"/>
            <w:vAlign w:val="bottom"/>
            <w:tcBorders>
              <w:bottom w:val="single" w:sz="8" w:color="004483"/>
            </w:tcBorders>
          </w:tcPr>
          <w:p>
            <w:pPr>
              <w:spacing w:after="0"/>
              <w:rPr>
                <w:sz w:val="15"/>
                <w:szCs w:val="15"/>
                <w:color w:val="auto"/>
              </w:rPr>
            </w:pPr>
          </w:p>
        </w:tc>
        <w:tc>
          <w:tcPr>
            <w:tcW w:w="620" w:type="dxa"/>
            <w:vAlign w:val="bottom"/>
            <w:tcBorders>
              <w:bottom w:val="single" w:sz="8" w:color="004483"/>
            </w:tcBorders>
          </w:tcPr>
          <w:p>
            <w:pPr>
              <w:spacing w:after="0"/>
              <w:rPr>
                <w:sz w:val="15"/>
                <w:szCs w:val="15"/>
                <w:color w:val="auto"/>
              </w:rPr>
            </w:pPr>
          </w:p>
        </w:tc>
        <w:tc>
          <w:tcPr>
            <w:tcW w:w="2500" w:type="dxa"/>
            <w:vAlign w:val="bottom"/>
            <w:tcBorders>
              <w:bottom w:val="single" w:sz="8" w:color="004483"/>
            </w:tcBorders>
            <w:gridSpan w:val="3"/>
          </w:tcPr>
          <w:p>
            <w:pPr>
              <w:jc w:val="right"/>
              <w:ind w:right="519"/>
              <w:spacing w:after="0"/>
              <w:rPr>
                <w:sz w:val="20"/>
                <w:szCs w:val="20"/>
                <w:color w:val="auto"/>
              </w:rPr>
            </w:pPr>
            <w:r>
              <w:rPr>
                <w:rFonts w:ascii="Arial" w:cs="Arial" w:eastAsia="Arial" w:hAnsi="Arial"/>
                <w:sz w:val="13"/>
                <w:szCs w:val="13"/>
                <w:color w:val="auto"/>
              </w:rPr>
              <w:t>(dollars in thousands)</w:t>
            </w:r>
          </w:p>
        </w:tc>
        <w:tc>
          <w:tcPr>
            <w:tcW w:w="84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and Amortization</w:t>
            </w:r>
          </w:p>
        </w:tc>
        <w:tc>
          <w:tcPr>
            <w:tcW w:w="62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6"/>
                <w:szCs w:val="16"/>
                <w:color w:val="auto"/>
              </w:rPr>
            </w:pPr>
          </w:p>
        </w:tc>
        <w:tc>
          <w:tcPr>
            <w:tcW w:w="1180" w:type="dxa"/>
            <w:vAlign w:val="bottom"/>
            <w:tcBorders>
              <w:bottom w:val="single" w:sz="8" w:color="A6A6A6"/>
            </w:tcBorders>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11,310</w:t>
            </w:r>
          </w:p>
        </w:tc>
        <w:tc>
          <w:tcPr>
            <w:tcW w:w="80" w:type="dxa"/>
            <w:vAlign w:val="bottom"/>
          </w:tcPr>
          <w:p>
            <w:pPr>
              <w:spacing w:after="0"/>
              <w:rPr>
                <w:sz w:val="16"/>
                <w:szCs w:val="16"/>
                <w:color w:val="auto"/>
              </w:rPr>
            </w:pPr>
          </w:p>
        </w:tc>
      </w:tr>
      <w:tr>
        <w:trPr>
          <w:trHeight w:val="183"/>
        </w:trPr>
        <w:tc>
          <w:tcPr>
            <w:tcW w:w="72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Impairment Losses</w:t>
            </w:r>
          </w:p>
        </w:tc>
        <w:tc>
          <w:tcPr>
            <w:tcW w:w="620" w:type="dxa"/>
            <w:vAlign w:val="bottom"/>
            <w:tcBorders>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80" w:type="dxa"/>
            <w:vAlign w:val="bottom"/>
            <w:tcBorders>
              <w:bottom w:val="single" w:sz="8" w:color="A6A6A6"/>
            </w:tcBorders>
          </w:tcPr>
          <w:p>
            <w:pPr>
              <w:jc w:val="right"/>
              <w:ind w:right="8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199,136</w:t>
            </w:r>
          </w:p>
        </w:tc>
        <w:tc>
          <w:tcPr>
            <w:tcW w:w="80" w:type="dxa"/>
            <w:vAlign w:val="bottom"/>
          </w:tcPr>
          <w:p>
            <w:pPr>
              <w:spacing w:after="0"/>
              <w:rPr>
                <w:sz w:val="15"/>
                <w:szCs w:val="15"/>
                <w:color w:val="auto"/>
              </w:rPr>
            </w:pPr>
          </w:p>
        </w:tc>
      </w:tr>
      <w:tr>
        <w:trPr>
          <w:trHeight w:val="183"/>
        </w:trPr>
        <w:tc>
          <w:tcPr>
            <w:tcW w:w="72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Gain on Sale of Business</w:t>
            </w:r>
          </w:p>
        </w:tc>
        <w:tc>
          <w:tcPr>
            <w:tcW w:w="620" w:type="dxa"/>
            <w:vAlign w:val="bottom"/>
            <w:tcBorders>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(9,230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180" w:type="dxa"/>
            <w:vAlign w:val="bottom"/>
            <w:tcBorders>
              <w:bottom w:val="single" w:sz="8" w:color="A6A6A6"/>
            </w:tcBorders>
          </w:tcPr>
          <w:p>
            <w:pPr>
              <w:jc w:val="right"/>
              <w:ind w:right="8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r>
      <w:tr>
        <w:trPr>
          <w:trHeight w:val="183"/>
        </w:trPr>
        <w:tc>
          <w:tcPr>
            <w:tcW w:w="72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Net Change in Inventory</w:t>
            </w:r>
          </w:p>
        </w:tc>
        <w:tc>
          <w:tcPr>
            <w:tcW w:w="620" w:type="dxa"/>
            <w:vAlign w:val="bottom"/>
            <w:tcBorders>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80" w:type="dxa"/>
            <w:vAlign w:val="bottom"/>
            <w:tcBorders>
              <w:bottom w:val="single" w:sz="8" w:color="A6A6A6"/>
            </w:tcBorders>
          </w:tcPr>
          <w:p>
            <w:pPr>
              <w:jc w:val="right"/>
              <w:ind w:right="8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3,200</w:t>
            </w:r>
          </w:p>
        </w:tc>
        <w:tc>
          <w:tcPr>
            <w:tcW w:w="80" w:type="dxa"/>
            <w:vAlign w:val="bottom"/>
          </w:tcPr>
          <w:p>
            <w:pPr>
              <w:spacing w:after="0"/>
              <w:rPr>
                <w:sz w:val="15"/>
                <w:szCs w:val="15"/>
                <w:color w:val="auto"/>
              </w:rPr>
            </w:pPr>
          </w:p>
        </w:tc>
      </w:tr>
      <w:tr>
        <w:trPr>
          <w:trHeight w:val="183"/>
        </w:trPr>
        <w:tc>
          <w:tcPr>
            <w:tcW w:w="72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Capital Expenditures</w:t>
            </w:r>
          </w:p>
        </w:tc>
        <w:tc>
          <w:tcPr>
            <w:tcW w:w="620" w:type="dxa"/>
            <w:vAlign w:val="bottom"/>
            <w:tcBorders>
              <w:bottom w:val="single" w:sz="8" w:color="A6A6A6"/>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80" w:type="dxa"/>
            <w:vAlign w:val="bottom"/>
            <w:tcBorders>
              <w:bottom w:val="single" w:sz="8" w:color="A6A6A6"/>
            </w:tcBorders>
          </w:tcPr>
          <w:p>
            <w:pPr>
              <w:jc w:val="right"/>
              <w:ind w:right="8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146</w:t>
            </w:r>
          </w:p>
        </w:tc>
        <w:tc>
          <w:tcPr>
            <w:tcW w:w="80" w:type="dxa"/>
            <w:vAlign w:val="bottom"/>
          </w:tcPr>
          <w:p>
            <w:pPr>
              <w:spacing w:after="0"/>
              <w:rPr>
                <w:sz w:val="15"/>
                <w:szCs w:val="15"/>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Other Dispositions</w:t>
      </w:r>
    </w:p>
    <w:p>
      <w:pPr>
        <w:spacing w:after="0" w:line="135" w:lineRule="exact"/>
        <w:rPr>
          <w:sz w:val="20"/>
          <w:szCs w:val="20"/>
          <w:color w:val="auto"/>
        </w:rPr>
      </w:pPr>
    </w:p>
    <w:p>
      <w:pPr>
        <w:jc w:val="both"/>
        <w:ind w:right="280"/>
        <w:spacing w:after="0" w:line="287" w:lineRule="auto"/>
        <w:rPr>
          <w:sz w:val="20"/>
          <w:szCs w:val="20"/>
          <w:color w:val="auto"/>
        </w:rPr>
      </w:pPr>
      <w:r>
        <w:rPr>
          <w:rFonts w:ascii="Arial" w:cs="Arial" w:eastAsia="Arial" w:hAnsi="Arial"/>
          <w:sz w:val="18"/>
          <w:szCs w:val="18"/>
          <w:color w:val="auto"/>
        </w:rPr>
        <w:t>On April 17, 2020, we sold our Western Aggregates LLC (Western) and Mathews Readymix LLC (Mathews) operations to Teichert Inc., a California-based construction company for an aggregate purchase price of $93.5 million, which resulted in a gain on sale of approximately $52.0 million. Western and Mathews were part of our Concrete and Aggregates operating segment.</w:t>
      </w:r>
    </w:p>
    <w:p>
      <w:pPr>
        <w:spacing w:after="0" w:line="94" w:lineRule="exact"/>
        <w:rPr>
          <w:sz w:val="20"/>
          <w:szCs w:val="20"/>
          <w:color w:val="auto"/>
        </w:rPr>
      </w:pPr>
    </w:p>
    <w:p>
      <w:pPr>
        <w:jc w:val="both"/>
        <w:ind w:right="280"/>
        <w:spacing w:after="0" w:line="293" w:lineRule="auto"/>
        <w:rPr>
          <w:sz w:val="20"/>
          <w:szCs w:val="20"/>
          <w:color w:val="auto"/>
        </w:rPr>
      </w:pPr>
      <w:r>
        <w:rPr>
          <w:rFonts w:ascii="Arial" w:cs="Arial" w:eastAsia="Arial" w:hAnsi="Arial"/>
          <w:sz w:val="18"/>
          <w:szCs w:val="18"/>
          <w:color w:val="auto"/>
        </w:rPr>
        <w:t>At the date of sale, assets and liabilities included on our Balance Sheet related to Western and Mathews were approximately $43.8 million and $2.3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Earnings from Western and Mathews, collectively, for fiscal years 2021 and 2020 are as follows:</w:t>
      </w:r>
    </w:p>
    <w:p>
      <w:pPr>
        <w:spacing w:after="0" w:line="10" w:lineRule="exact"/>
        <w:rPr>
          <w:sz w:val="20"/>
          <w:szCs w:val="20"/>
          <w:color w:val="auto"/>
        </w:rPr>
      </w:pPr>
    </w:p>
    <w:p>
      <w:pPr>
        <w:ind w:left="8340"/>
        <w:spacing w:after="0"/>
        <w:rPr>
          <w:sz w:val="20"/>
          <w:szCs w:val="20"/>
          <w:color w:val="auto"/>
        </w:rPr>
      </w:pPr>
      <w:r>
        <w:rPr>
          <w:rFonts w:ascii="Arial" w:cs="Arial" w:eastAsia="Arial" w:hAnsi="Arial"/>
          <w:sz w:val="13"/>
          <w:szCs w:val="13"/>
          <w:b w:val="1"/>
          <w:bCs w:val="1"/>
          <w:color w:val="FFFFFF"/>
        </w:rPr>
        <w:t>For the 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-85725</wp:posOffset>
            </wp:positionV>
            <wp:extent cx="2562860" cy="939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93980"/>
                    </a:xfrm>
                    <a:prstGeom prst="rect">
                      <a:avLst/>
                    </a:prstGeom>
                    <a:noFill/>
                  </pic:spPr>
                </pic:pic>
              </a:graphicData>
            </a:graphic>
          </wp:anchor>
        </w:drawing>
      </w:r>
    </w:p>
    <w:p>
      <w:pPr>
        <w:ind w:left="8800"/>
        <w:spacing w:after="0"/>
        <w:tabs>
          <w:tab w:leader="none" w:pos="108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ind w:left="8640"/>
        <w:spacing w:after="0"/>
        <w:rPr>
          <w:sz w:val="20"/>
          <w:szCs w:val="20"/>
          <w:color w:val="auto"/>
        </w:rPr>
      </w:pPr>
      <w:r>
        <w:rPr>
          <w:rFonts w:ascii="Arial" w:cs="Arial" w:eastAsia="Arial" w:hAnsi="Arial"/>
          <w:sz w:val="13"/>
          <w:szCs w:val="13"/>
          <w:color w:val="auto"/>
        </w:rPr>
        <w:t>(dollars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tcBorders>
              <w:top w:val="single" w:sz="8" w:color="004483"/>
            </w:tcBorders>
          </w:tcPr>
          <w:p>
            <w:pPr>
              <w:ind w:left="20"/>
              <w:spacing w:after="0"/>
              <w:rPr>
                <w:sz w:val="20"/>
                <w:szCs w:val="20"/>
                <w:color w:val="auto"/>
              </w:rPr>
            </w:pPr>
            <w:r>
              <w:rPr>
                <w:rFonts w:ascii="Arial" w:cs="Arial" w:eastAsia="Arial" w:hAnsi="Arial"/>
                <w:sz w:val="16"/>
                <w:szCs w:val="16"/>
                <w:color w:val="004483"/>
              </w:rPr>
              <w:t>Revenue</w:t>
            </w:r>
          </w:p>
        </w:tc>
        <w:tc>
          <w:tcPr>
            <w:tcW w:w="3740" w:type="dxa"/>
            <w:vAlign w:val="bottom"/>
            <w:tcBorders>
              <w:top w:val="single" w:sz="8" w:color="004483"/>
            </w:tcBorders>
          </w:tcPr>
          <w:p>
            <w:pPr>
              <w:jc w:val="right"/>
              <w:ind w:right="6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004483"/>
            </w:tcBorders>
          </w:tcPr>
          <w:p>
            <w:pPr>
              <w:jc w:val="right"/>
              <w:spacing w:after="0"/>
              <w:rPr>
                <w:sz w:val="20"/>
                <w:szCs w:val="20"/>
                <w:color w:val="auto"/>
              </w:rPr>
            </w:pPr>
            <w:r>
              <w:rPr>
                <w:rFonts w:ascii="Arial" w:cs="Arial" w:eastAsia="Arial" w:hAnsi="Arial"/>
                <w:sz w:val="16"/>
                <w:szCs w:val="16"/>
                <w:color w:val="auto"/>
              </w:rPr>
              <w:t>1,692</w:t>
            </w:r>
          </w:p>
        </w:tc>
        <w:tc>
          <w:tcPr>
            <w:tcW w:w="1000" w:type="dxa"/>
            <w:vAlign w:val="bottom"/>
            <w:tcBorders>
              <w:top w:val="single" w:sz="8" w:color="004483"/>
            </w:tcBorders>
            <w:gridSpan w:val="2"/>
          </w:tcPr>
          <w:p>
            <w:pPr>
              <w:jc w:val="right"/>
              <w:ind w:right="5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004483"/>
            </w:tcBorders>
          </w:tcPr>
          <w:p>
            <w:pPr>
              <w:jc w:val="right"/>
              <w:spacing w:after="0"/>
              <w:rPr>
                <w:sz w:val="20"/>
                <w:szCs w:val="20"/>
                <w:color w:val="auto"/>
              </w:rPr>
            </w:pPr>
            <w:r>
              <w:rPr>
                <w:rFonts w:ascii="Arial" w:cs="Arial" w:eastAsia="Arial" w:hAnsi="Arial"/>
                <w:sz w:val="16"/>
                <w:szCs w:val="16"/>
                <w:color w:val="auto"/>
              </w:rPr>
              <w:t>32,255</w:t>
            </w:r>
          </w:p>
        </w:tc>
      </w:tr>
      <w:tr>
        <w:trPr>
          <w:trHeight w:val="183"/>
        </w:trPr>
        <w:tc>
          <w:tcPr>
            <w:tcW w:w="426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Operating Earnings</w:t>
            </w:r>
          </w:p>
        </w:tc>
        <w:tc>
          <w:tcPr>
            <w:tcW w:w="3740" w:type="dxa"/>
            <w:vAlign w:val="bottom"/>
            <w:tcBorders>
              <w:top w:val="single" w:sz="8" w:color="A6A6A6"/>
              <w:bottom w:val="single" w:sz="8" w:color="A6A6A6"/>
            </w:tcBorders>
          </w:tcPr>
          <w:p>
            <w:pPr>
              <w:jc w:val="right"/>
              <w:ind w:right="6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142</w:t>
            </w:r>
          </w:p>
        </w:tc>
        <w:tc>
          <w:tcPr>
            <w:tcW w:w="80" w:type="dxa"/>
            <w:vAlign w:val="bottom"/>
          </w:tcPr>
          <w:p>
            <w:pPr>
              <w:spacing w:after="0"/>
              <w:rPr>
                <w:sz w:val="15"/>
                <w:szCs w:val="15"/>
                <w:color w:val="auto"/>
              </w:rPr>
            </w:pPr>
          </w:p>
        </w:tc>
        <w:tc>
          <w:tcPr>
            <w:tcW w:w="920" w:type="dxa"/>
            <w:vAlign w:val="bottom"/>
            <w:tcBorders>
              <w:top w:val="single" w:sz="8" w:color="A6A6A6"/>
              <w:bottom w:val="single" w:sz="8" w:color="A6A6A6"/>
            </w:tcBorders>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4,837</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20"/>
          <w:szCs w:val="20"/>
          <w:b w:val="1"/>
          <w:bCs w:val="1"/>
          <w:color w:val="004483"/>
        </w:rPr>
        <w:t>(D) PROPERTY, PLANT, AND EQUIPMENT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Cost by major category and Accumulated Depreciation are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2060" w:type="dxa"/>
            <w:vAlign w:val="bottom"/>
            <w:gridSpan w:val="3"/>
            <w:shd w:val="clear" w:color="auto" w:fill="004483"/>
          </w:tcPr>
          <w:p>
            <w:pPr>
              <w:jc w:val="right"/>
              <w:ind w:right="439"/>
              <w:spacing w:after="0"/>
              <w:rPr>
                <w:sz w:val="20"/>
                <w:szCs w:val="20"/>
                <w:color w:val="auto"/>
              </w:rPr>
            </w:pPr>
            <w:r>
              <w:rPr>
                <w:rFonts w:ascii="Arial" w:cs="Arial" w:eastAsia="Arial" w:hAnsi="Arial"/>
                <w:sz w:val="13"/>
                <w:szCs w:val="13"/>
                <w:b w:val="1"/>
                <w:bCs w:val="1"/>
                <w:color w:val="FFFFFF"/>
              </w:rPr>
              <w:t>March 31,</w:t>
            </w:r>
          </w:p>
        </w:tc>
        <w:tc>
          <w:tcPr>
            <w:tcW w:w="108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jc w:val="right"/>
              <w:ind w:right="44"/>
              <w:spacing w:after="0" w:line="134"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3"/>
          </w:tcPr>
          <w:p>
            <w:pPr>
              <w:jc w:val="right"/>
              <w:ind w:right="179"/>
              <w:spacing w:after="0"/>
              <w:rPr>
                <w:sz w:val="20"/>
                <w:szCs w:val="20"/>
                <w:color w:val="auto"/>
              </w:rPr>
            </w:pPr>
            <w:r>
              <w:rPr>
                <w:rFonts w:ascii="Arial" w:cs="Arial" w:eastAsia="Arial" w:hAnsi="Arial"/>
                <w:sz w:val="13"/>
                <w:szCs w:val="13"/>
                <w:color w:val="auto"/>
              </w:rPr>
              <w:t>(dollars in thousands)</w:t>
            </w:r>
          </w:p>
        </w:tc>
        <w:tc>
          <w:tcPr>
            <w:tcW w:w="108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Land and Quarries</w:t>
            </w:r>
          </w:p>
        </w:tc>
        <w:tc>
          <w:tcPr>
            <w:tcW w:w="500" w:type="dxa"/>
            <w:vAlign w:val="bottom"/>
            <w:tcBorders>
              <w:bottom w:val="single" w:sz="8" w:color="A6A6A6"/>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231,499</w:t>
            </w:r>
          </w:p>
        </w:tc>
        <w:tc>
          <w:tcPr>
            <w:tcW w:w="820" w:type="dxa"/>
            <w:vAlign w:val="bottom"/>
            <w:tcBorders>
              <w:bottom w:val="single" w:sz="8" w:color="A6A6A6"/>
            </w:tcBorders>
            <w:gridSpan w:val="2"/>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217,439</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Plants</w:t>
            </w:r>
          </w:p>
        </w:tc>
        <w:tc>
          <w:tcPr>
            <w:tcW w:w="500" w:type="dxa"/>
            <w:vAlign w:val="bottom"/>
            <w:tcBorders>
              <w:bottom w:val="single" w:sz="8" w:color="A6A6A6"/>
            </w:tcBorders>
          </w:tcPr>
          <w:p>
            <w:pPr>
              <w:spacing w:after="0"/>
              <w:rPr>
                <w:sz w:val="15"/>
                <w:szCs w:val="15"/>
                <w:color w:val="auto"/>
              </w:rPr>
            </w:pPr>
          </w:p>
        </w:tc>
        <w:tc>
          <w:tcPr>
            <w:tcW w:w="12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2,380,926</w:t>
            </w:r>
          </w:p>
        </w:tc>
        <w:tc>
          <w:tcPr>
            <w:tcW w:w="18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2,363,937</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Buildings, Machinery, and Equipment</w:t>
            </w:r>
          </w:p>
        </w:tc>
        <w:tc>
          <w:tcPr>
            <w:tcW w:w="500" w:type="dxa"/>
            <w:vAlign w:val="bottom"/>
            <w:tcBorders>
              <w:bottom w:val="single" w:sz="8" w:color="A6A6A6"/>
            </w:tcBorders>
          </w:tcPr>
          <w:p>
            <w:pPr>
              <w:spacing w:after="0"/>
              <w:rPr>
                <w:sz w:val="15"/>
                <w:szCs w:val="15"/>
                <w:color w:val="auto"/>
              </w:rPr>
            </w:pPr>
          </w:p>
        </w:tc>
        <w:tc>
          <w:tcPr>
            <w:tcW w:w="12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194,753</w:t>
            </w:r>
          </w:p>
        </w:tc>
        <w:tc>
          <w:tcPr>
            <w:tcW w:w="18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180,340</w:t>
            </w:r>
          </w:p>
        </w:tc>
      </w:tr>
      <w:tr>
        <w:trPr>
          <w:trHeight w:val="209"/>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Construction in Progress</w:t>
            </w:r>
          </w:p>
        </w:tc>
        <w:tc>
          <w:tcPr>
            <w:tcW w:w="500" w:type="dxa"/>
            <w:vAlign w:val="bottom"/>
            <w:tcBorders>
              <w:bottom w:val="single" w:sz="8" w:color="004483"/>
            </w:tcBorders>
          </w:tcPr>
          <w:p>
            <w:pPr>
              <w:spacing w:after="0"/>
              <w:rPr>
                <w:sz w:val="18"/>
                <w:szCs w:val="18"/>
                <w:color w:val="auto"/>
              </w:rPr>
            </w:pPr>
          </w:p>
        </w:tc>
        <w:tc>
          <w:tcPr>
            <w:tcW w:w="1240" w:type="dxa"/>
            <w:vAlign w:val="bottom"/>
            <w:tcBorders>
              <w:bottom w:val="single" w:sz="8" w:color="004483"/>
            </w:tcBorders>
          </w:tcPr>
          <w:p>
            <w:pPr>
              <w:jc w:val="right"/>
              <w:ind w:right="44"/>
              <w:spacing w:after="0" w:line="183" w:lineRule="exact"/>
              <w:rPr>
                <w:sz w:val="20"/>
                <w:szCs w:val="20"/>
                <w:color w:val="auto"/>
              </w:rPr>
            </w:pPr>
            <w:r>
              <w:rPr>
                <w:rFonts w:ascii="Arial" w:cs="Arial" w:eastAsia="Arial" w:hAnsi="Arial"/>
                <w:sz w:val="16"/>
                <w:szCs w:val="16"/>
                <w:color w:val="auto"/>
              </w:rPr>
              <w:t>50,270</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23,097</w:t>
            </w:r>
          </w:p>
        </w:tc>
      </w:tr>
      <w:tr>
        <w:trPr>
          <w:trHeight w:val="183"/>
        </w:trPr>
        <w:tc>
          <w:tcPr>
            <w:tcW w:w="760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12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2,857,448</w:t>
            </w:r>
          </w:p>
        </w:tc>
        <w:tc>
          <w:tcPr>
            <w:tcW w:w="18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2,784,813</w:t>
            </w: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Accumulated Depreciation</w:t>
            </w:r>
          </w:p>
        </w:tc>
        <w:tc>
          <w:tcPr>
            <w:tcW w:w="50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(1,240,909 )</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(1,125,713 )</w:t>
            </w:r>
          </w:p>
        </w:tc>
      </w:tr>
      <w:tr>
        <w:trPr>
          <w:trHeight w:val="27"/>
        </w:trPr>
        <w:tc>
          <w:tcPr>
            <w:tcW w:w="760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24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r>
      <w:tr>
        <w:trPr>
          <w:trHeight w:val="183"/>
        </w:trPr>
        <w:tc>
          <w:tcPr>
            <w:tcW w:w="7600" w:type="dxa"/>
            <w:vAlign w:val="bottom"/>
          </w:tcPr>
          <w:p>
            <w:pPr>
              <w:spacing w:after="0"/>
              <w:rPr>
                <w:sz w:val="15"/>
                <w:szCs w:val="15"/>
                <w:color w:val="auto"/>
              </w:rPr>
            </w:pPr>
          </w:p>
        </w:tc>
        <w:tc>
          <w:tcPr>
            <w:tcW w:w="500" w:type="dxa"/>
            <w:vAlign w:val="bottom"/>
            <w:tcBorders>
              <w:bottom w:val="single" w:sz="8" w:color="004483"/>
            </w:tcBorders>
          </w:tcPr>
          <w:p>
            <w:pPr>
              <w:jc w:val="right"/>
              <w:ind w:right="34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004483"/>
            </w:tcBorders>
          </w:tcPr>
          <w:p>
            <w:pPr>
              <w:jc w:val="right"/>
              <w:ind w:right="44"/>
              <w:spacing w:after="0" w:line="183" w:lineRule="exact"/>
              <w:rPr>
                <w:sz w:val="20"/>
                <w:szCs w:val="20"/>
                <w:color w:val="auto"/>
              </w:rPr>
            </w:pPr>
            <w:r>
              <w:rPr>
                <w:rFonts w:ascii="Arial" w:cs="Arial" w:eastAsia="Arial" w:hAnsi="Arial"/>
                <w:sz w:val="16"/>
                <w:szCs w:val="16"/>
                <w:b w:val="1"/>
                <w:bCs w:val="1"/>
                <w:color w:val="auto"/>
              </w:rPr>
              <w:t>1,616,539</w:t>
            </w:r>
          </w:p>
        </w:tc>
        <w:tc>
          <w:tcPr>
            <w:tcW w:w="180" w:type="dxa"/>
            <w:vAlign w:val="bottom"/>
          </w:tcPr>
          <w:p>
            <w:pPr>
              <w:spacing w:after="0"/>
              <w:rPr>
                <w:sz w:val="15"/>
                <w:szCs w:val="15"/>
                <w:color w:val="auto"/>
              </w:rPr>
            </w:pPr>
          </w:p>
        </w:tc>
        <w:tc>
          <w:tcPr>
            <w:tcW w:w="640" w:type="dxa"/>
            <w:vAlign w:val="bottom"/>
            <w:tcBorders>
              <w:bottom w:val="single" w:sz="8" w:color="004483"/>
            </w:tcBorders>
          </w:tcPr>
          <w:p>
            <w:pPr>
              <w:jc w:val="right"/>
              <w:ind w:right="45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1,659,100</w:t>
            </w:r>
          </w:p>
        </w:tc>
      </w:tr>
      <w:tr>
        <w:trPr>
          <w:trHeight w:val="20"/>
        </w:trPr>
        <w:tc>
          <w:tcPr>
            <w:tcW w:w="760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(E) ACCRUED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20" w:type="dxa"/>
            <w:vAlign w:val="bottom"/>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2060" w:type="dxa"/>
            <w:vAlign w:val="bottom"/>
            <w:gridSpan w:val="3"/>
            <w:shd w:val="clear" w:color="auto" w:fill="004483"/>
          </w:tcPr>
          <w:p>
            <w:pPr>
              <w:jc w:val="right"/>
              <w:ind w:right="419"/>
              <w:spacing w:after="0"/>
              <w:rPr>
                <w:sz w:val="20"/>
                <w:szCs w:val="20"/>
                <w:color w:val="auto"/>
              </w:rPr>
            </w:pPr>
            <w:r>
              <w:rPr>
                <w:rFonts w:ascii="Arial" w:cs="Arial" w:eastAsia="Arial" w:hAnsi="Arial"/>
                <w:sz w:val="13"/>
                <w:szCs w:val="13"/>
                <w:b w:val="1"/>
                <w:bCs w:val="1"/>
                <w:color w:val="FFFFFF"/>
              </w:rPr>
              <w:t>As of March 31,</w:t>
            </w:r>
          </w:p>
        </w:tc>
        <w:tc>
          <w:tcPr>
            <w:tcW w:w="920" w:type="dxa"/>
            <w:vAlign w:val="bottom"/>
            <w:shd w:val="clear" w:color="auto" w:fill="004483"/>
          </w:tcPr>
          <w:p>
            <w:pPr>
              <w:spacing w:after="0"/>
              <w:rPr>
                <w:sz w:val="13"/>
                <w:szCs w:val="13"/>
                <w:color w:val="auto"/>
              </w:rPr>
            </w:pPr>
          </w:p>
        </w:tc>
      </w:tr>
      <w:tr>
        <w:trPr>
          <w:trHeight w:val="134"/>
        </w:trPr>
        <w:tc>
          <w:tcPr>
            <w:tcW w:w="7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jc w:val="right"/>
              <w:ind w:right="3"/>
              <w:spacing w:after="0" w:line="134" w:lineRule="exact"/>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jc w:val="right"/>
              <w:ind w:right="21"/>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20" w:type="dxa"/>
            <w:vAlign w:val="bottom"/>
            <w:tcBorders>
              <w:bottom w:val="single" w:sz="8" w:color="004483"/>
            </w:tcBorders>
          </w:tcPr>
          <w:p>
            <w:pPr>
              <w:spacing w:after="0"/>
              <w:rPr>
                <w:sz w:val="15"/>
                <w:szCs w:val="15"/>
                <w:color w:val="auto"/>
              </w:rPr>
            </w:pPr>
          </w:p>
        </w:tc>
        <w:tc>
          <w:tcPr>
            <w:tcW w:w="64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3"/>
          </w:tcPr>
          <w:p>
            <w:pPr>
              <w:jc w:val="right"/>
              <w:ind w:right="299"/>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5"/>
                <w:szCs w:val="15"/>
                <w:color w:val="auto"/>
              </w:rPr>
            </w:pPr>
          </w:p>
        </w:tc>
      </w:tr>
      <w:tr>
        <w:trPr>
          <w:trHeight w:val="189"/>
        </w:trPr>
        <w:tc>
          <w:tcPr>
            <w:tcW w:w="76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Payroll and Incentive Compensation</w:t>
            </w:r>
          </w:p>
        </w:tc>
        <w:tc>
          <w:tcPr>
            <w:tcW w:w="64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3"/>
              <w:spacing w:after="0"/>
              <w:rPr>
                <w:sz w:val="20"/>
                <w:szCs w:val="20"/>
                <w:color w:val="auto"/>
              </w:rPr>
            </w:pPr>
            <w:r>
              <w:rPr>
                <w:rFonts w:ascii="Arial" w:cs="Arial" w:eastAsia="Arial" w:hAnsi="Arial"/>
                <w:sz w:val="16"/>
                <w:szCs w:val="16"/>
                <w:color w:val="auto"/>
              </w:rPr>
              <w:t>37,262</w:t>
            </w:r>
          </w:p>
        </w:tc>
        <w:tc>
          <w:tcPr>
            <w:tcW w:w="980" w:type="dxa"/>
            <w:vAlign w:val="bottom"/>
            <w:tcBorders>
              <w:bottom w:val="single" w:sz="8" w:color="A6A6A6"/>
            </w:tcBorders>
            <w:gridSpan w:val="2"/>
          </w:tcPr>
          <w:p>
            <w:pPr>
              <w:jc w:val="right"/>
              <w:ind w:right="5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ind w:right="21"/>
              <w:spacing w:after="0"/>
              <w:rPr>
                <w:sz w:val="20"/>
                <w:szCs w:val="20"/>
                <w:color w:val="auto"/>
              </w:rPr>
            </w:pPr>
            <w:r>
              <w:rPr>
                <w:rFonts w:ascii="Arial" w:cs="Arial" w:eastAsia="Arial" w:hAnsi="Arial"/>
                <w:sz w:val="16"/>
                <w:szCs w:val="16"/>
                <w:color w:val="auto"/>
              </w:rPr>
              <w:t>32,336</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Benefits</w:t>
            </w: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3"/>
              <w:spacing w:after="0" w:line="183" w:lineRule="exact"/>
              <w:rPr>
                <w:sz w:val="20"/>
                <w:szCs w:val="20"/>
                <w:color w:val="auto"/>
              </w:rPr>
            </w:pPr>
            <w:r>
              <w:rPr>
                <w:rFonts w:ascii="Arial" w:cs="Arial" w:eastAsia="Arial" w:hAnsi="Arial"/>
                <w:sz w:val="16"/>
                <w:szCs w:val="16"/>
                <w:color w:val="auto"/>
              </w:rPr>
              <w:t>14,894</w:t>
            </w: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14,979</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w:t>
            </w: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3"/>
              <w:spacing w:after="0" w:line="183" w:lineRule="exact"/>
              <w:rPr>
                <w:sz w:val="20"/>
                <w:szCs w:val="20"/>
                <w:color w:val="auto"/>
              </w:rPr>
            </w:pPr>
            <w:r>
              <w:rPr>
                <w:rFonts w:ascii="Arial" w:cs="Arial" w:eastAsia="Arial" w:hAnsi="Arial"/>
                <w:sz w:val="16"/>
                <w:szCs w:val="16"/>
                <w:color w:val="auto"/>
              </w:rPr>
              <w:t>5,052</w:t>
            </w: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3,089</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Dividends</w:t>
            </w: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3"/>
              <w:spacing w:after="0" w:line="183" w:lineRule="exact"/>
              <w:rPr>
                <w:sz w:val="20"/>
                <w:szCs w:val="20"/>
                <w:color w:val="auto"/>
              </w:rPr>
            </w:pPr>
            <w:r>
              <w:rPr>
                <w:rFonts w:ascii="Arial" w:cs="Arial" w:eastAsia="Arial" w:hAnsi="Arial"/>
                <w:sz w:val="16"/>
                <w:szCs w:val="16"/>
                <w:color w:val="auto"/>
              </w:rPr>
              <w:t>9,756</w:t>
            </w: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Property Taxes</w:t>
            </w: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3"/>
              <w:spacing w:after="0" w:line="183" w:lineRule="exact"/>
              <w:rPr>
                <w:sz w:val="20"/>
                <w:szCs w:val="20"/>
                <w:color w:val="auto"/>
              </w:rPr>
            </w:pPr>
            <w:r>
              <w:rPr>
                <w:rFonts w:ascii="Arial" w:cs="Arial" w:eastAsia="Arial" w:hAnsi="Arial"/>
                <w:sz w:val="16"/>
                <w:szCs w:val="16"/>
                <w:color w:val="auto"/>
              </w:rPr>
              <w:t>6,514</w:t>
            </w: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6,683</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Power and Fuel</w:t>
            </w: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3"/>
              <w:spacing w:after="0" w:line="183" w:lineRule="exact"/>
              <w:rPr>
                <w:sz w:val="20"/>
                <w:szCs w:val="20"/>
                <w:color w:val="auto"/>
              </w:rPr>
            </w:pPr>
            <w:r>
              <w:rPr>
                <w:rFonts w:ascii="Arial" w:cs="Arial" w:eastAsia="Arial" w:hAnsi="Arial"/>
                <w:sz w:val="16"/>
                <w:szCs w:val="16"/>
                <w:color w:val="auto"/>
              </w:rPr>
              <w:t>2,877</w:t>
            </w: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2,350</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Freight</w:t>
            </w: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3"/>
              <w:spacing w:after="0" w:line="183" w:lineRule="exact"/>
              <w:rPr>
                <w:sz w:val="20"/>
                <w:szCs w:val="20"/>
                <w:color w:val="auto"/>
              </w:rPr>
            </w:pPr>
            <w:r>
              <w:rPr>
                <w:rFonts w:ascii="Arial" w:cs="Arial" w:eastAsia="Arial" w:hAnsi="Arial"/>
                <w:sz w:val="16"/>
                <w:szCs w:val="16"/>
                <w:color w:val="auto"/>
              </w:rPr>
              <w:t>1,172</w:t>
            </w: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1,575</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Legal and Professional</w:t>
            </w: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3"/>
              <w:spacing w:after="0" w:line="183" w:lineRule="exact"/>
              <w:rPr>
                <w:sz w:val="20"/>
                <w:szCs w:val="20"/>
                <w:color w:val="auto"/>
              </w:rPr>
            </w:pPr>
            <w:r>
              <w:rPr>
                <w:rFonts w:ascii="Arial" w:cs="Arial" w:eastAsia="Arial" w:hAnsi="Arial"/>
                <w:sz w:val="16"/>
                <w:szCs w:val="16"/>
                <w:color w:val="auto"/>
              </w:rPr>
              <w:t>989</w:t>
            </w: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9,511</w:t>
            </w:r>
          </w:p>
        </w:tc>
      </w:tr>
      <w:tr>
        <w:trPr>
          <w:trHeight w:val="183"/>
        </w:trPr>
        <w:tc>
          <w:tcPr>
            <w:tcW w:w="7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Sales and Use Tax</w:t>
            </w:r>
          </w:p>
        </w:tc>
        <w:tc>
          <w:tcPr>
            <w:tcW w:w="64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3"/>
              <w:spacing w:after="0" w:line="183" w:lineRule="exact"/>
              <w:rPr>
                <w:sz w:val="20"/>
                <w:szCs w:val="20"/>
                <w:color w:val="auto"/>
              </w:rPr>
            </w:pPr>
            <w:r>
              <w:rPr>
                <w:rFonts w:ascii="Arial" w:cs="Arial" w:eastAsia="Arial" w:hAnsi="Arial"/>
                <w:sz w:val="16"/>
                <w:szCs w:val="16"/>
                <w:color w:val="auto"/>
              </w:rPr>
              <w:t>1,509</w:t>
            </w: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ind w:right="21"/>
              <w:spacing w:after="0" w:line="183" w:lineRule="exact"/>
              <w:rPr>
                <w:sz w:val="20"/>
                <w:szCs w:val="20"/>
                <w:color w:val="auto"/>
              </w:rPr>
            </w:pPr>
            <w:r>
              <w:rPr>
                <w:rFonts w:ascii="Arial" w:cs="Arial" w:eastAsia="Arial" w:hAnsi="Arial"/>
                <w:sz w:val="16"/>
                <w:szCs w:val="16"/>
                <w:color w:val="auto"/>
              </w:rPr>
              <w:t>1,265</w:t>
            </w:r>
          </w:p>
        </w:tc>
      </w:tr>
      <w:tr>
        <w:trPr>
          <w:trHeight w:val="183"/>
        </w:trPr>
        <w:tc>
          <w:tcPr>
            <w:tcW w:w="7620" w:type="dxa"/>
            <w:vAlign w:val="bottom"/>
          </w:tcPr>
          <w:p>
            <w:pPr>
              <w:ind w:left="20"/>
              <w:spacing w:after="0" w:line="183" w:lineRule="exact"/>
              <w:rPr>
                <w:sz w:val="20"/>
                <w:szCs w:val="20"/>
                <w:color w:val="auto"/>
              </w:rPr>
            </w:pPr>
            <w:r>
              <w:rPr>
                <w:rFonts w:ascii="Arial" w:cs="Arial" w:eastAsia="Arial" w:hAnsi="Arial"/>
                <w:sz w:val="16"/>
                <w:szCs w:val="16"/>
                <w:color w:val="004483"/>
              </w:rPr>
              <w:t>Other</w:t>
            </w:r>
          </w:p>
        </w:tc>
        <w:tc>
          <w:tcPr>
            <w:tcW w:w="640" w:type="dxa"/>
            <w:vAlign w:val="bottom"/>
          </w:tcPr>
          <w:p>
            <w:pPr>
              <w:spacing w:after="0"/>
              <w:rPr>
                <w:sz w:val="15"/>
                <w:szCs w:val="15"/>
                <w:color w:val="auto"/>
              </w:rPr>
            </w:pPr>
          </w:p>
        </w:tc>
        <w:tc>
          <w:tcPr>
            <w:tcW w:w="1080" w:type="dxa"/>
            <w:vAlign w:val="bottom"/>
          </w:tcPr>
          <w:p>
            <w:pPr>
              <w:jc w:val="right"/>
              <w:ind w:right="3"/>
              <w:spacing w:after="0" w:line="183" w:lineRule="exact"/>
              <w:rPr>
                <w:sz w:val="20"/>
                <w:szCs w:val="20"/>
                <w:color w:val="auto"/>
              </w:rPr>
            </w:pPr>
            <w:r>
              <w:rPr>
                <w:rFonts w:ascii="Arial" w:cs="Arial" w:eastAsia="Arial" w:hAnsi="Arial"/>
                <w:sz w:val="16"/>
                <w:szCs w:val="16"/>
                <w:color w:val="auto"/>
              </w:rPr>
              <w:t>6,729</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right"/>
              <w:ind w:right="21"/>
              <w:spacing w:after="0" w:line="183" w:lineRule="exact"/>
              <w:rPr>
                <w:sz w:val="20"/>
                <w:szCs w:val="20"/>
                <w:color w:val="auto"/>
              </w:rPr>
            </w:pPr>
            <w:r>
              <w:rPr>
                <w:rFonts w:ascii="Arial" w:cs="Arial" w:eastAsia="Arial" w:hAnsi="Arial"/>
                <w:sz w:val="16"/>
                <w:szCs w:val="16"/>
                <w:color w:val="auto"/>
              </w:rPr>
              <w:t>7,052</w:t>
            </w:r>
          </w:p>
        </w:tc>
      </w:tr>
      <w:tr>
        <w:trPr>
          <w:trHeight w:val="27"/>
        </w:trPr>
        <w:tc>
          <w:tcPr>
            <w:tcW w:w="7620" w:type="dxa"/>
            <w:vAlign w:val="bottom"/>
            <w:tcBorders>
              <w:bottom w:val="single" w:sz="8" w:color="A6A6A6"/>
            </w:tcBorders>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shd w:val="clear" w:color="auto" w:fill="004483"/>
          </w:tcPr>
          <w:p>
            <w:pPr>
              <w:spacing w:after="0"/>
              <w:rPr>
                <w:sz w:val="2"/>
                <w:szCs w:val="2"/>
                <w:color w:val="auto"/>
              </w:rPr>
            </w:pPr>
          </w:p>
        </w:tc>
      </w:tr>
      <w:tr>
        <w:trPr>
          <w:trHeight w:val="183"/>
        </w:trPr>
        <w:tc>
          <w:tcPr>
            <w:tcW w:w="7620" w:type="dxa"/>
            <w:vAlign w:val="bottom"/>
          </w:tcPr>
          <w:p>
            <w:pPr>
              <w:spacing w:after="0"/>
              <w:rPr>
                <w:sz w:val="15"/>
                <w:szCs w:val="15"/>
                <w:color w:val="auto"/>
              </w:rPr>
            </w:pPr>
          </w:p>
        </w:tc>
        <w:tc>
          <w:tcPr>
            <w:tcW w:w="640" w:type="dxa"/>
            <w:vAlign w:val="bottom"/>
            <w:tcBorders>
              <w:bottom w:val="single" w:sz="8" w:color="004483"/>
            </w:tcBorders>
          </w:tcPr>
          <w:p>
            <w:pPr>
              <w:jc w:val="right"/>
              <w:ind w:right="45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3"/>
              <w:spacing w:after="0" w:line="183" w:lineRule="exact"/>
              <w:rPr>
                <w:sz w:val="20"/>
                <w:szCs w:val="20"/>
                <w:color w:val="auto"/>
              </w:rPr>
            </w:pPr>
            <w:r>
              <w:rPr>
                <w:rFonts w:ascii="Arial" w:cs="Arial" w:eastAsia="Arial" w:hAnsi="Arial"/>
                <w:sz w:val="16"/>
                <w:szCs w:val="16"/>
                <w:b w:val="1"/>
                <w:bCs w:val="1"/>
                <w:color w:val="auto"/>
              </w:rPr>
              <w:t>86,754</w:t>
            </w:r>
          </w:p>
        </w:tc>
        <w:tc>
          <w:tcPr>
            <w:tcW w:w="200" w:type="dxa"/>
            <w:vAlign w:val="bottom"/>
          </w:tcPr>
          <w:p>
            <w:pPr>
              <w:spacing w:after="0"/>
              <w:rPr>
                <w:sz w:val="15"/>
                <w:szCs w:val="15"/>
                <w:color w:val="auto"/>
              </w:rPr>
            </w:pPr>
          </w:p>
        </w:tc>
        <w:tc>
          <w:tcPr>
            <w:tcW w:w="780" w:type="dxa"/>
            <w:vAlign w:val="bottom"/>
            <w:tcBorders>
              <w:bottom w:val="single" w:sz="8" w:color="004483"/>
            </w:tcBorders>
          </w:tcPr>
          <w:p>
            <w:pPr>
              <w:jc w:val="right"/>
              <w:ind w:right="599"/>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ind w:right="21"/>
              <w:spacing w:after="0" w:line="183" w:lineRule="exact"/>
              <w:rPr>
                <w:sz w:val="20"/>
                <w:szCs w:val="20"/>
                <w:color w:val="auto"/>
              </w:rPr>
            </w:pPr>
            <w:r>
              <w:rPr>
                <w:rFonts w:ascii="Arial" w:cs="Arial" w:eastAsia="Arial" w:hAnsi="Arial"/>
                <w:sz w:val="16"/>
                <w:szCs w:val="16"/>
                <w:b w:val="1"/>
                <w:bCs w:val="1"/>
                <w:color w:val="auto"/>
              </w:rPr>
              <w:t>78,840</w:t>
            </w: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(F) LEASES</w:t>
      </w:r>
    </w:p>
    <w:p>
      <w:pPr>
        <w:spacing w:after="0" w:line="148" w:lineRule="exact"/>
        <w:rPr>
          <w:sz w:val="20"/>
          <w:szCs w:val="20"/>
          <w:color w:val="auto"/>
        </w:rPr>
      </w:pPr>
    </w:p>
    <w:p>
      <w:pPr>
        <w:ind w:right="260"/>
        <w:spacing w:after="0" w:line="283" w:lineRule="auto"/>
        <w:rPr>
          <w:sz w:val="20"/>
          <w:szCs w:val="20"/>
          <w:color w:val="auto"/>
        </w:rPr>
      </w:pPr>
      <w:r>
        <w:rPr>
          <w:rFonts w:ascii="Arial" w:cs="Arial" w:eastAsia="Arial" w:hAnsi="Arial"/>
          <w:sz w:val="18"/>
          <w:szCs w:val="18"/>
          <w:color w:val="auto"/>
        </w:rPr>
        <w:t>We lease certain real estate, buildings, and equipment, including rail cars and barges.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These short-term equipment leases are not recorded on the balance sheet.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940" w:type="dxa"/>
            <w:vAlign w:val="bottom"/>
            <w:shd w:val="clear" w:color="auto" w:fill="004483"/>
          </w:tcPr>
          <w:p>
            <w:pPr>
              <w:spacing w:after="0"/>
              <w:rPr>
                <w:sz w:val="13"/>
                <w:szCs w:val="13"/>
                <w:color w:val="auto"/>
              </w:rPr>
            </w:pPr>
          </w:p>
        </w:tc>
        <w:tc>
          <w:tcPr>
            <w:tcW w:w="480" w:type="dxa"/>
            <w:vAlign w:val="bottom"/>
            <w:shd w:val="clear" w:color="auto" w:fill="004483"/>
          </w:tcPr>
          <w:p>
            <w:pPr>
              <w:spacing w:after="0"/>
              <w:rPr>
                <w:sz w:val="13"/>
                <w:szCs w:val="13"/>
                <w:color w:val="auto"/>
              </w:rPr>
            </w:pPr>
          </w:p>
        </w:tc>
        <w:tc>
          <w:tcPr>
            <w:tcW w:w="1880" w:type="dxa"/>
            <w:vAlign w:val="bottom"/>
            <w:gridSpan w:val="4"/>
            <w:shd w:val="clear" w:color="auto" w:fill="004483"/>
          </w:tcPr>
          <w:p>
            <w:pPr>
              <w:jc w:val="center"/>
              <w:ind w:right="40"/>
              <w:spacing w:after="0"/>
              <w:rPr>
                <w:sz w:val="20"/>
                <w:szCs w:val="20"/>
                <w:color w:val="auto"/>
              </w:rPr>
            </w:pPr>
            <w:r>
              <w:rPr>
                <w:rFonts w:ascii="Arial" w:cs="Arial" w:eastAsia="Arial" w:hAnsi="Arial"/>
                <w:sz w:val="13"/>
                <w:szCs w:val="13"/>
                <w:b w:val="1"/>
                <w:bCs w:val="1"/>
                <w:color w:val="FFFFFF"/>
                <w:w w:val="88"/>
              </w:rPr>
              <w:t>For the Years Ended March 31,</w:t>
            </w:r>
          </w:p>
        </w:tc>
        <w:tc>
          <w:tcPr>
            <w:tcW w:w="340" w:type="dxa"/>
            <w:vAlign w:val="bottom"/>
            <w:shd w:val="clear" w:color="auto" w:fill="004483"/>
          </w:tcPr>
          <w:p>
            <w:pPr>
              <w:spacing w:after="0"/>
              <w:rPr>
                <w:sz w:val="13"/>
                <w:szCs w:val="13"/>
                <w:color w:val="auto"/>
              </w:rPr>
            </w:pPr>
          </w:p>
        </w:tc>
        <w:tc>
          <w:tcPr>
            <w:tcW w:w="1040" w:type="dxa"/>
            <w:vAlign w:val="bottom"/>
            <w:shd w:val="clear" w:color="auto" w:fill="004483"/>
          </w:tcPr>
          <w:p>
            <w:pPr>
              <w:spacing w:after="0"/>
              <w:rPr>
                <w:sz w:val="13"/>
                <w:szCs w:val="13"/>
                <w:color w:val="auto"/>
              </w:rPr>
            </w:pPr>
          </w:p>
        </w:tc>
        <w:tc>
          <w:tcPr>
            <w:tcW w:w="8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color w:val="auto"/>
              </w:rPr>
              <w:t>2022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486"/>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84"/>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80" w:type="dxa"/>
            <w:vAlign w:val="bottom"/>
            <w:tcBorders>
              <w:bottom w:val="single" w:sz="8" w:color="004483"/>
            </w:tcBorders>
          </w:tcPr>
          <w:p>
            <w:pPr>
              <w:spacing w:after="0"/>
              <w:rPr>
                <w:sz w:val="15"/>
                <w:szCs w:val="15"/>
                <w:color w:val="auto"/>
              </w:rPr>
            </w:pPr>
          </w:p>
        </w:tc>
        <w:tc>
          <w:tcPr>
            <w:tcW w:w="94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340" w:type="dxa"/>
            <w:vAlign w:val="bottom"/>
            <w:tcBorders>
              <w:bottom w:val="single" w:sz="8" w:color="004483"/>
            </w:tcBorders>
          </w:tcPr>
          <w:p>
            <w:pPr>
              <w:spacing w:after="0"/>
              <w:rPr>
                <w:sz w:val="15"/>
                <w:szCs w:val="15"/>
                <w:color w:val="auto"/>
              </w:rPr>
            </w:pPr>
          </w:p>
        </w:tc>
        <w:tc>
          <w:tcPr>
            <w:tcW w:w="1040" w:type="dxa"/>
            <w:vAlign w:val="bottom"/>
            <w:tcBorders>
              <w:bottom w:val="single" w:sz="8" w:color="004483"/>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940" w:type="dxa"/>
            <w:vAlign w:val="bottom"/>
          </w:tcPr>
          <w:p>
            <w:pPr>
              <w:jc w:val="right"/>
              <w:ind w:right="76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6,543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6,757</w:t>
            </w:r>
          </w:p>
        </w:tc>
        <w:tc>
          <w:tcPr>
            <w:tcW w:w="24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7,966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Borders>
              <w:top w:val="single" w:sz="8" w:color="A6A6A6"/>
            </w:tcBorders>
          </w:tcPr>
          <w:p>
            <w:pPr>
              <w:ind w:left="20"/>
              <w:spacing w:after="0" w:line="183" w:lineRule="exact"/>
              <w:rPr>
                <w:sz w:val="20"/>
                <w:szCs w:val="20"/>
                <w:color w:val="auto"/>
              </w:rPr>
            </w:pPr>
            <w:r>
              <w:rPr>
                <w:rFonts w:ascii="Arial" w:cs="Arial" w:eastAsia="Arial" w:hAnsi="Arial"/>
                <w:sz w:val="16"/>
                <w:szCs w:val="16"/>
                <w:color w:val="004483"/>
              </w:rPr>
              <w:t>Short-term Lease Cost</w:t>
            </w:r>
          </w:p>
        </w:tc>
        <w:tc>
          <w:tcPr>
            <w:tcW w:w="940" w:type="dxa"/>
            <w:vAlign w:val="bottom"/>
            <w:tcBorders>
              <w:top w:val="single" w:sz="8" w:color="A6A6A6"/>
            </w:tcBorders>
          </w:tcPr>
          <w:p>
            <w:pPr>
              <w:spacing w:after="0"/>
              <w:rPr>
                <w:sz w:val="15"/>
                <w:szCs w:val="15"/>
                <w:color w:val="auto"/>
              </w:rPr>
            </w:pPr>
          </w:p>
        </w:tc>
        <w:tc>
          <w:tcPr>
            <w:tcW w:w="48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1,261</w:t>
            </w:r>
          </w:p>
        </w:tc>
        <w:tc>
          <w:tcPr>
            <w:tcW w:w="260" w:type="dxa"/>
            <w:vAlign w:val="bottom"/>
          </w:tcPr>
          <w:p>
            <w:pPr>
              <w:spacing w:after="0"/>
              <w:rPr>
                <w:sz w:val="15"/>
                <w:szCs w:val="15"/>
                <w:color w:val="auto"/>
              </w:rPr>
            </w:pPr>
          </w:p>
        </w:tc>
        <w:tc>
          <w:tcPr>
            <w:tcW w:w="100" w:type="dxa"/>
            <w:vAlign w:val="bottom"/>
            <w:tcBorders>
              <w:top w:val="single" w:sz="8" w:color="A6A6A6"/>
            </w:tcBorders>
          </w:tcPr>
          <w:p>
            <w:pPr>
              <w:spacing w:after="0"/>
              <w:rPr>
                <w:sz w:val="15"/>
                <w:szCs w:val="15"/>
                <w:color w:val="auto"/>
              </w:rPr>
            </w:pPr>
          </w:p>
        </w:tc>
        <w:tc>
          <w:tcPr>
            <w:tcW w:w="128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2,562</w:t>
            </w:r>
          </w:p>
        </w:tc>
        <w:tc>
          <w:tcPr>
            <w:tcW w:w="240" w:type="dxa"/>
            <w:vAlign w:val="bottom"/>
          </w:tcPr>
          <w:p>
            <w:pPr>
              <w:spacing w:after="0"/>
              <w:rPr>
                <w:sz w:val="15"/>
                <w:szCs w:val="15"/>
                <w:color w:val="auto"/>
              </w:rPr>
            </w:pPr>
          </w:p>
        </w:tc>
        <w:tc>
          <w:tcPr>
            <w:tcW w:w="340" w:type="dxa"/>
            <w:vAlign w:val="bottom"/>
            <w:tcBorders>
              <w:top w:val="single" w:sz="8" w:color="A6A6A6"/>
            </w:tcBorders>
          </w:tcPr>
          <w:p>
            <w:pPr>
              <w:spacing w:after="0"/>
              <w:rPr>
                <w:sz w:val="15"/>
                <w:szCs w:val="15"/>
                <w:color w:val="auto"/>
              </w:rPr>
            </w:pPr>
          </w:p>
        </w:tc>
        <w:tc>
          <w:tcPr>
            <w:tcW w:w="1040" w:type="dxa"/>
            <w:vAlign w:val="bottom"/>
            <w:tcBorders>
              <w:top w:val="single" w:sz="8" w:color="A6A6A6"/>
            </w:tcBorders>
          </w:tcPr>
          <w:p>
            <w:pPr>
              <w:jc w:val="right"/>
              <w:spacing w:after="0" w:line="183" w:lineRule="exact"/>
              <w:rPr>
                <w:sz w:val="20"/>
                <w:szCs w:val="20"/>
                <w:color w:val="auto"/>
              </w:rPr>
            </w:pPr>
            <w:r>
              <w:rPr>
                <w:rFonts w:ascii="Arial" w:cs="Arial" w:eastAsia="Arial" w:hAnsi="Arial"/>
                <w:sz w:val="16"/>
                <w:szCs w:val="16"/>
                <w:color w:val="auto"/>
              </w:rPr>
              <w:t>1,279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A6A6A6"/>
            </w:tcBorders>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260" w:type="dxa"/>
            <w:vAlign w:val="bottom"/>
            <w:vMerge w:val="restart"/>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280" w:type="dxa"/>
            <w:vAlign w:val="bottom"/>
            <w:tcBorders>
              <w:bottom w:val="single" w:sz="8" w:color="004483"/>
            </w:tcBorders>
            <w:shd w:val="clear" w:color="auto" w:fill="004483"/>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004483"/>
            </w:tcBorders>
            <w:shd w:val="clear" w:color="auto" w:fill="004483"/>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Lease Cost</w:t>
            </w:r>
          </w:p>
        </w:tc>
        <w:tc>
          <w:tcPr>
            <w:tcW w:w="940" w:type="dxa"/>
            <w:vAlign w:val="bottom"/>
            <w:tcBorders>
              <w:bottom w:val="single" w:sz="8" w:color="004483"/>
            </w:tcBorders>
          </w:tcPr>
          <w:p>
            <w:pPr>
              <w:jc w:val="right"/>
              <w:ind w:right="765"/>
              <w:spacing w:after="0" w:line="183" w:lineRule="exact"/>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7,804</w:t>
            </w:r>
          </w:p>
        </w:tc>
        <w:tc>
          <w:tcPr>
            <w:tcW w:w="260" w:type="dxa"/>
            <w:vAlign w:val="bottom"/>
            <w:vMerge w:val="continue"/>
          </w:tcPr>
          <w:p>
            <w:pPr>
              <w:spacing w:after="0"/>
              <w:rPr>
                <w:sz w:val="15"/>
                <w:szCs w:val="15"/>
                <w:color w:val="auto"/>
              </w:rPr>
            </w:pPr>
          </w:p>
        </w:tc>
        <w:tc>
          <w:tcPr>
            <w:tcW w:w="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9,319</w:t>
            </w:r>
          </w:p>
        </w:tc>
        <w:tc>
          <w:tcPr>
            <w:tcW w:w="240" w:type="dxa"/>
            <w:vAlign w:val="bottom"/>
          </w:tcPr>
          <w:p>
            <w:pPr>
              <w:spacing w:after="0"/>
              <w:rPr>
                <w:sz w:val="15"/>
                <w:szCs w:val="15"/>
                <w:color w:val="auto"/>
              </w:rPr>
            </w:pPr>
          </w:p>
        </w:tc>
        <w:tc>
          <w:tcPr>
            <w:tcW w:w="340" w:type="dxa"/>
            <w:vAlign w:val="bottom"/>
            <w:tcBorders>
              <w:bottom w:val="single" w:sz="8" w:color="004483"/>
            </w:tcBorders>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9,245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A6A6A6"/>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181" w:lineRule="exact"/>
        <w:rPr>
          <w:sz w:val="20"/>
          <w:szCs w:val="20"/>
          <w:color w:val="auto"/>
        </w:rPr>
      </w:pPr>
    </w:p>
    <w:p>
      <w:pPr>
        <w:ind w:left="8840"/>
        <w:spacing w:after="0"/>
        <w:rPr>
          <w:sz w:val="20"/>
          <w:szCs w:val="20"/>
          <w:color w:val="auto"/>
        </w:rPr>
      </w:pPr>
      <w:r>
        <w:rPr>
          <w:rFonts w:ascii="Arial" w:cs="Arial" w:eastAsia="Arial" w:hAnsi="Arial"/>
          <w:sz w:val="13"/>
          <w:szCs w:val="13"/>
          <w:b w:val="1"/>
          <w:bCs w:val="1"/>
          <w:color w:val="FFFFFF"/>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-82550</wp:posOffset>
            </wp:positionV>
            <wp:extent cx="2442845"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42845" cy="93980"/>
                    </a:xfrm>
                    <a:prstGeom prst="rect">
                      <a:avLst/>
                    </a:prstGeom>
                    <a:noFill/>
                  </pic:spPr>
                </pic:pic>
              </a:graphicData>
            </a:graphic>
          </wp:anchor>
        </w:drawing>
      </w:r>
    </w:p>
    <w:p>
      <w:pPr>
        <w:jc w:val="both"/>
        <w:ind w:left="8060"/>
        <w:spacing w:after="0"/>
        <w:tabs>
          <w:tab w:leader="none" w:pos="1006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ind w:left="872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6374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600" w:type="dxa"/>
            <w:vAlign w:val="bottom"/>
            <w:tcBorders>
              <w:top w:val="single" w:sz="8" w:color="A6A6A6"/>
              <w:bottom w:val="single" w:sz="8" w:color="004483"/>
            </w:tcBorders>
          </w:tcPr>
          <w:p>
            <w:pPr>
              <w:jc w:val="right"/>
              <w:ind w:right="44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23,856</w:t>
            </w:r>
          </w:p>
        </w:tc>
      </w:tr>
      <w:tr>
        <w:trPr>
          <w:trHeight w:val="20"/>
        </w:trPr>
        <w:tc>
          <w:tcPr>
            <w:tcW w:w="740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69"/>
        </w:trPr>
        <w:tc>
          <w:tcPr>
            <w:tcW w:w="7400" w:type="dxa"/>
            <w:vAlign w:val="bottom"/>
            <w:tcBorders>
              <w:bottom w:val="single" w:sz="8" w:color="A6A6A6"/>
            </w:tcBorders>
          </w:tcPr>
          <w:p>
            <w:pPr>
              <w:spacing w:after="0"/>
              <w:rPr>
                <w:sz w:val="14"/>
                <w:szCs w:val="14"/>
                <w:color w:val="auto"/>
              </w:rPr>
            </w:pPr>
          </w:p>
        </w:tc>
        <w:tc>
          <w:tcPr>
            <w:tcW w:w="600" w:type="dxa"/>
            <w:vAlign w:val="bottom"/>
            <w:tcBorders>
              <w:bottom w:val="single" w:sz="8" w:color="A6A6A6"/>
            </w:tcBorders>
          </w:tcPr>
          <w:p>
            <w:pPr>
              <w:spacing w:after="0"/>
              <w:rPr>
                <w:sz w:val="14"/>
                <w:szCs w:val="14"/>
                <w:color w:val="auto"/>
              </w:rPr>
            </w:pPr>
          </w:p>
        </w:tc>
        <w:tc>
          <w:tcPr>
            <w:tcW w:w="980" w:type="dxa"/>
            <w:vAlign w:val="bottom"/>
            <w:tcBorders>
              <w:bottom w:val="single" w:sz="8" w:color="A6A6A6"/>
            </w:tcBorders>
          </w:tcPr>
          <w:p>
            <w:pPr>
              <w:spacing w:after="0"/>
              <w:rPr>
                <w:sz w:val="14"/>
                <w:szCs w:val="14"/>
                <w:color w:val="auto"/>
              </w:rPr>
            </w:pPr>
          </w:p>
        </w:tc>
      </w:tr>
      <w:tr>
        <w:trPr>
          <w:trHeight w:val="183"/>
        </w:trPr>
        <w:tc>
          <w:tcPr>
            <w:tcW w:w="74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Current Operating Lease Liabilities</w:t>
            </w:r>
          </w:p>
        </w:tc>
        <w:tc>
          <w:tcPr>
            <w:tcW w:w="600" w:type="dxa"/>
            <w:vAlign w:val="bottom"/>
            <w:tcBorders>
              <w:bottom w:val="single" w:sz="8" w:color="A6A6A6"/>
            </w:tcBorders>
          </w:tcPr>
          <w:p>
            <w:pPr>
              <w:jc w:val="right"/>
              <w:ind w:right="4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7,118</w:t>
            </w:r>
          </w:p>
        </w:tc>
      </w:tr>
      <w:tr>
        <w:trPr>
          <w:trHeight w:val="210"/>
        </w:trPr>
        <w:tc>
          <w:tcPr>
            <w:tcW w:w="74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Noncurrent Operating Lease Liabilities</w:t>
            </w:r>
          </w:p>
        </w:tc>
        <w:tc>
          <w:tcPr>
            <w:tcW w:w="60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29,212</w:t>
            </w: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420" w:hanging="1398"/>
        <w:spacing w:after="0"/>
        <w:tabs>
          <w:tab w:leader="none" w:pos="1420"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25,811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11830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19050</wp:posOffset>
            </wp:positionV>
            <wp:extent cx="11830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11830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Borders>
              <w:top w:val="single" w:sz="8" w:color="A6A6A6"/>
              <w:bottom w:val="single" w:sz="8" w:color="A6A6A6"/>
            </w:tcBorders>
          </w:tcPr>
          <w:p>
            <w:pPr>
              <w:jc w:val="right"/>
              <w:ind w:right="5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6,343</w:t>
            </w:r>
          </w:p>
        </w:tc>
      </w:tr>
      <w:tr>
        <w:trPr>
          <w:trHeight w:val="203"/>
        </w:trPr>
        <w:tc>
          <w:tcPr>
            <w:tcW w:w="760" w:type="dxa"/>
            <w:vAlign w:val="bottom"/>
            <w:tcBorders>
              <w:bottom w:val="single" w:sz="8" w:color="004483"/>
            </w:tcBorders>
          </w:tcPr>
          <w:p>
            <w:pPr>
              <w:spacing w:after="0"/>
              <w:rPr>
                <w:sz w:val="17"/>
                <w:szCs w:val="17"/>
                <w:color w:val="auto"/>
              </w:rPr>
            </w:pPr>
          </w:p>
        </w:tc>
        <w:tc>
          <w:tcPr>
            <w:tcW w:w="1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34,444</w:t>
            </w:r>
          </w:p>
        </w:tc>
      </w:tr>
    </w:tbl>
    <w:p>
      <w:pPr>
        <w:spacing w:after="0" w:line="1" w:lineRule="exact"/>
        <w:rPr>
          <w:sz w:val="20"/>
          <w:szCs w:val="20"/>
          <w:color w:val="auto"/>
        </w:rPr>
      </w:pPr>
    </w:p>
    <w:p>
      <w:pPr>
        <w:sectPr>
          <w:pgSz w:w="11900" w:h="16838" w:orient="portrait"/>
          <w:cols w:equalWidth="0" w:num="2">
            <w:col w:w="8980" w:space="280"/>
            <w:col w:w="1980"/>
          </w:cols>
          <w:pgMar w:left="320" w:top="382" w:right="339" w:bottom="1440" w:gutter="0" w:footer="0" w:header="0"/>
          <w:type w:val="continuous"/>
        </w:sectPr>
      </w:pPr>
    </w:p>
    <w:p>
      <w:pPr>
        <w:ind w:left="20"/>
        <w:spacing w:after="0"/>
        <w:tabs>
          <w:tab w:leader="none" w:pos="7380" w:val="left"/>
          <w:tab w:leader="none" w:pos="8500" w:val="left"/>
          <w:tab w:leader="none" w:pos="9260" w:val="left"/>
          <w:tab w:leader="none" w:pos="10660" w:val="left"/>
        </w:tabs>
        <w:rPr>
          <w:sz w:val="20"/>
          <w:szCs w:val="20"/>
          <w:color w:val="auto"/>
        </w:rPr>
      </w:pPr>
      <w:r>
        <w:rPr>
          <w:rFonts w:ascii="Arial" w:cs="Arial" w:eastAsia="Arial" w:hAnsi="Arial"/>
          <w:sz w:val="16"/>
          <w:szCs w:val="16"/>
          <w:b w:val="1"/>
          <w:bCs w:val="1"/>
          <w:color w:val="auto"/>
        </w:rPr>
        <w:t>Total Operating Lease Liabilities</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36,330</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4"/>
          <w:szCs w:val="14"/>
          <w:b w:val="1"/>
          <w:bCs w:val="1"/>
          <w:color w:val="auto"/>
        </w:rPr>
        <w:t>40,787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06374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for operating leases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Fiscal Year</w:t>
            </w:r>
          </w:p>
        </w:tc>
        <w:tc>
          <w:tcPr>
            <w:tcW w:w="280" w:type="dxa"/>
            <w:vAlign w:val="bottom"/>
          </w:tcPr>
          <w:p>
            <w:pPr>
              <w:spacing w:after="0"/>
              <w:rPr>
                <w:sz w:val="13"/>
                <w:szCs w:val="13"/>
                <w:color w:val="auto"/>
              </w:rPr>
            </w:pPr>
          </w:p>
        </w:tc>
        <w:tc>
          <w:tcPr>
            <w:tcW w:w="1940" w:type="dxa"/>
            <w:vAlign w:val="bottom"/>
            <w:gridSpan w:val="2"/>
          </w:tcPr>
          <w:p>
            <w:pPr>
              <w:jc w:val="center"/>
              <w:ind w:right="379"/>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61"/>
        </w:trPr>
        <w:tc>
          <w:tcPr>
            <w:tcW w:w="8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379"/>
              <w:spacing w:after="0"/>
              <w:rPr>
                <w:sz w:val="20"/>
                <w:szCs w:val="20"/>
                <w:color w:val="auto"/>
              </w:rPr>
            </w:pPr>
            <w:r>
              <w:rPr>
                <w:rFonts w:ascii="Arial" w:cs="Arial" w:eastAsia="Arial" w:hAnsi="Arial"/>
                <w:sz w:val="13"/>
                <w:szCs w:val="13"/>
                <w:color w:val="auto"/>
                <w:w w:val="86"/>
              </w:rPr>
              <w:t>(dollars in thousands)</w:t>
            </w:r>
          </w:p>
        </w:tc>
        <w:tc>
          <w:tcPr>
            <w:tcW w:w="0" w:type="dxa"/>
            <w:vAlign w:val="bottom"/>
          </w:tcPr>
          <w:p>
            <w:pPr>
              <w:spacing w:after="0"/>
              <w:rPr>
                <w:sz w:val="1"/>
                <w:szCs w:val="1"/>
                <w:color w:val="auto"/>
              </w:rPr>
            </w:pPr>
          </w:p>
        </w:tc>
      </w:tr>
      <w:tr>
        <w:trPr>
          <w:trHeight w:val="184"/>
        </w:trPr>
        <w:tc>
          <w:tcPr>
            <w:tcW w:w="89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2023</w:t>
            </w:r>
          </w:p>
        </w:tc>
        <w:tc>
          <w:tcPr>
            <w:tcW w:w="280" w:type="dxa"/>
            <w:vAlign w:val="bottom"/>
            <w:tcBorders>
              <w:top w:val="single" w:sz="8" w:color="004483"/>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8,130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2024</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6,250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2025</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2026</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4,269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2027</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3,540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Thereafter</w:t>
            </w:r>
          </w:p>
        </w:tc>
        <w:tc>
          <w:tcPr>
            <w:tcW w:w="280" w:type="dxa"/>
            <w:vAlign w:val="bottom"/>
            <w:tcBorders>
              <w:bottom w:val="single" w:sz="8" w:color="004483"/>
            </w:tcBorders>
          </w:tcPr>
          <w:p>
            <w:pPr>
              <w:spacing w:after="0"/>
              <w:rPr>
                <w:sz w:val="18"/>
                <w:szCs w:val="18"/>
                <w:color w:val="auto"/>
              </w:rPr>
            </w:pPr>
          </w:p>
        </w:tc>
        <w:tc>
          <w:tcPr>
            <w:tcW w:w="1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16,934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Total Lease Payments</w:t>
            </w:r>
          </w:p>
        </w:tc>
        <w:tc>
          <w:tcPr>
            <w:tcW w:w="2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44,926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940" w:type="dxa"/>
            <w:vAlign w:val="bottom"/>
          </w:tcPr>
          <w:p>
            <w:pPr>
              <w:ind w:left="20"/>
              <w:spacing w:after="0" w:line="183" w:lineRule="exact"/>
              <w:rPr>
                <w:sz w:val="20"/>
                <w:szCs w:val="20"/>
                <w:color w:val="auto"/>
              </w:rPr>
            </w:pPr>
            <w:r>
              <w:rPr>
                <w:rFonts w:ascii="Arial" w:cs="Arial" w:eastAsia="Arial" w:hAnsi="Arial"/>
                <w:sz w:val="16"/>
                <w:szCs w:val="16"/>
                <w:color w:val="004483"/>
              </w:rPr>
              <w:t>Less: Imputed Interest</w:t>
            </w:r>
          </w:p>
        </w:tc>
        <w:tc>
          <w:tcPr>
            <w:tcW w:w="280" w:type="dxa"/>
            <w:vAlign w:val="bottom"/>
          </w:tcPr>
          <w:p>
            <w:pPr>
              <w:spacing w:after="0"/>
              <w:rPr>
                <w:sz w:val="15"/>
                <w:szCs w:val="15"/>
                <w:color w:val="auto"/>
              </w:rPr>
            </w:pPr>
          </w:p>
        </w:tc>
        <w:tc>
          <w:tcPr>
            <w:tcW w:w="1760" w:type="dxa"/>
            <w:vAlign w:val="bottom"/>
          </w:tcPr>
          <w:p>
            <w:pPr>
              <w:jc w:val="right"/>
              <w:spacing w:after="0" w:line="183" w:lineRule="exact"/>
              <w:rPr>
                <w:sz w:val="20"/>
                <w:szCs w:val="20"/>
                <w:color w:val="auto"/>
              </w:rPr>
            </w:pPr>
            <w:r>
              <w:rPr>
                <w:rFonts w:ascii="Arial" w:cs="Arial" w:eastAsia="Arial" w:hAnsi="Arial"/>
                <w:sz w:val="16"/>
                <w:szCs w:val="16"/>
                <w:color w:val="auto"/>
              </w:rPr>
              <w:t>(8,596</w:t>
            </w:r>
          </w:p>
        </w:tc>
        <w:tc>
          <w:tcPr>
            <w:tcW w:w="1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94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1760" w:type="dxa"/>
            <w:vAlign w:val="bottom"/>
            <w:tcBorders>
              <w:bottom w:val="single" w:sz="8" w:color="004483"/>
            </w:tcBorders>
            <w:shd w:val="clear" w:color="auto" w:fill="004483"/>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9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Present Value of Lease Liabilities</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36,330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94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76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940" w:type="dxa"/>
            <w:vAlign w:val="bottom"/>
            <w:tcBorders>
              <w:bottom w:val="single" w:sz="8" w:color="A6A6A6"/>
            </w:tcBorders>
          </w:tcPr>
          <w:p>
            <w:pPr>
              <w:spacing w:after="0"/>
              <w:rPr>
                <w:sz w:val="14"/>
                <w:szCs w:val="14"/>
                <w:color w:val="auto"/>
              </w:rPr>
            </w:pPr>
          </w:p>
        </w:tc>
        <w:tc>
          <w:tcPr>
            <w:tcW w:w="280" w:type="dxa"/>
            <w:vAlign w:val="bottom"/>
            <w:tcBorders>
              <w:bottom w:val="single" w:sz="8" w:color="A6A6A6"/>
            </w:tcBorders>
          </w:tcPr>
          <w:p>
            <w:pPr>
              <w:spacing w:after="0"/>
              <w:rPr>
                <w:sz w:val="14"/>
                <w:szCs w:val="14"/>
                <w:color w:val="auto"/>
              </w:rPr>
            </w:pPr>
          </w:p>
        </w:tc>
        <w:tc>
          <w:tcPr>
            <w:tcW w:w="1760" w:type="dxa"/>
            <w:vAlign w:val="bottom"/>
            <w:tcBorders>
              <w:bottom w:val="single" w:sz="8" w:color="A6A6A6"/>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Remaining Lease Term (in years)</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10.1</w:t>
            </w:r>
          </w:p>
        </w:tc>
        <w:tc>
          <w:tcPr>
            <w:tcW w:w="1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Discount Rate</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3.74</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(G) INDEBTEDNESS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March 31, 2022 consists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2020" w:type="dxa"/>
            <w:vAlign w:val="bottom"/>
            <w:gridSpan w:val="3"/>
            <w:shd w:val="clear" w:color="auto" w:fill="004483"/>
          </w:tcPr>
          <w:p>
            <w:pPr>
              <w:jc w:val="right"/>
              <w:ind w:right="324"/>
              <w:spacing w:after="0"/>
              <w:rPr>
                <w:sz w:val="20"/>
                <w:szCs w:val="20"/>
                <w:color w:val="auto"/>
              </w:rPr>
            </w:pPr>
            <w:r>
              <w:rPr>
                <w:rFonts w:ascii="Arial" w:cs="Arial" w:eastAsia="Arial" w:hAnsi="Arial"/>
                <w:sz w:val="13"/>
                <w:szCs w:val="13"/>
                <w:b w:val="1"/>
                <w:bCs w:val="1"/>
                <w:color w:val="FFFFFF"/>
              </w:rPr>
              <w:t>As of March 31,</w:t>
            </w:r>
          </w:p>
        </w:tc>
        <w:tc>
          <w:tcPr>
            <w:tcW w:w="104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jc w:val="right"/>
              <w:ind w:right="44"/>
              <w:spacing w:after="0" w:line="134" w:lineRule="exact"/>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020" w:type="dxa"/>
            <w:vAlign w:val="bottom"/>
            <w:tcBorders>
              <w:bottom w:val="single" w:sz="8" w:color="004483"/>
            </w:tcBorders>
            <w:gridSpan w:val="3"/>
          </w:tcPr>
          <w:p>
            <w:pPr>
              <w:jc w:val="right"/>
              <w:ind w:right="204"/>
              <w:spacing w:after="0"/>
              <w:rPr>
                <w:sz w:val="20"/>
                <w:szCs w:val="20"/>
                <w:color w:val="auto"/>
              </w:rPr>
            </w:pPr>
            <w:r>
              <w:rPr>
                <w:rFonts w:ascii="Arial" w:cs="Arial" w:eastAsia="Arial" w:hAnsi="Arial"/>
                <w:sz w:val="13"/>
                <w:szCs w:val="13"/>
                <w:color w:val="auto"/>
              </w:rPr>
              <w:t>(dollars in thousands)</w:t>
            </w:r>
          </w:p>
        </w:tc>
        <w:tc>
          <w:tcPr>
            <w:tcW w:w="104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Revolving Credit Facility</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200,000</w:t>
            </w:r>
          </w:p>
        </w:tc>
        <w:tc>
          <w:tcPr>
            <w:tcW w:w="880" w:type="dxa"/>
            <w:vAlign w:val="bottom"/>
            <w:tcBorders>
              <w:bottom w:val="single" w:sz="8" w:color="A6A6A6"/>
            </w:tcBorders>
            <w:gridSpan w:val="2"/>
          </w:tcPr>
          <w:p>
            <w:pPr>
              <w:jc w:val="right"/>
              <w:ind w:right="524"/>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ind w:right="41"/>
              <w:spacing w:after="0"/>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2.500% Senior Unsecured Notes Due 2031</w:t>
            </w:r>
          </w:p>
        </w:tc>
        <w:tc>
          <w:tcPr>
            <w:tcW w:w="5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750,000</w:t>
            </w:r>
          </w:p>
        </w:tc>
        <w:tc>
          <w:tcPr>
            <w:tcW w:w="2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4.500% Senior Unsecured Notes Due 2026</w:t>
            </w:r>
          </w:p>
        </w:tc>
        <w:tc>
          <w:tcPr>
            <w:tcW w:w="5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350,000</w:t>
            </w:r>
          </w:p>
        </w:tc>
      </w:tr>
      <w:tr>
        <w:trPr>
          <w:trHeight w:val="210"/>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Term Loan</w:t>
            </w:r>
          </w:p>
        </w:tc>
        <w:tc>
          <w:tcPr>
            <w:tcW w:w="58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ind w:right="44"/>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6A6A6"/>
            </w:tcBorders>
          </w:tcPr>
          <w:p>
            <w:pPr>
              <w:spacing w:after="0"/>
              <w:rPr>
                <w:sz w:val="18"/>
                <w:szCs w:val="18"/>
                <w:color w:val="auto"/>
              </w:rPr>
            </w:pPr>
          </w:p>
        </w:tc>
        <w:tc>
          <w:tcPr>
            <w:tcW w:w="68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665,000</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b w:val="1"/>
                <w:bCs w:val="1"/>
                <w:color w:val="004483"/>
              </w:rPr>
              <w:t>Total Debt</w:t>
            </w:r>
          </w:p>
        </w:tc>
        <w:tc>
          <w:tcPr>
            <w:tcW w:w="58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950,000</w:t>
            </w:r>
          </w:p>
        </w:tc>
        <w:tc>
          <w:tcPr>
            <w:tcW w:w="200" w:type="dxa"/>
            <w:vAlign w:val="bottom"/>
            <w:tcBorders>
              <w:bottom w:val="single" w:sz="8" w:color="A6A6A6"/>
            </w:tcBorders>
          </w:tcPr>
          <w:p>
            <w:pPr>
              <w:spacing w:after="0"/>
              <w:rPr>
                <w:sz w:val="15"/>
                <w:szCs w:val="15"/>
                <w:color w:val="auto"/>
              </w:rPr>
            </w:pPr>
          </w:p>
        </w:tc>
        <w:tc>
          <w:tcPr>
            <w:tcW w:w="680" w:type="dxa"/>
            <w:vAlign w:val="bottom"/>
            <w:tcBorders>
              <w:bottom w:val="single" w:sz="8" w:color="A6A6A6"/>
            </w:tcBorders>
          </w:tcPr>
          <w:p>
            <w:pPr>
              <w:spacing w:after="0"/>
              <w:rPr>
                <w:sz w:val="15"/>
                <w:szCs w:val="15"/>
                <w:color w:val="auto"/>
              </w:rPr>
            </w:pPr>
          </w:p>
        </w:tc>
        <w:tc>
          <w:tcPr>
            <w:tcW w:w="104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1,015,000</w:t>
            </w: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Less: Unamortized Discount and Debt Issuance Costs</w:t>
            </w:r>
          </w:p>
        </w:tc>
        <w:tc>
          <w:tcPr>
            <w:tcW w:w="58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(11,735 )</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(6,384 )</w:t>
            </w:r>
          </w:p>
        </w:tc>
      </w:tr>
      <w:tr>
        <w:trPr>
          <w:trHeight w:val="27"/>
        </w:trPr>
        <w:tc>
          <w:tcPr>
            <w:tcW w:w="760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680" w:type="dxa"/>
            <w:vAlign w:val="bottom"/>
            <w:tcBorders>
              <w:bottom w:val="single" w:sz="8" w:color="004483"/>
            </w:tcBorders>
            <w:shd w:val="clear" w:color="auto" w:fill="004483"/>
          </w:tcPr>
          <w:p>
            <w:pPr>
              <w:spacing w:after="0"/>
              <w:rPr>
                <w:sz w:val="2"/>
                <w:szCs w:val="2"/>
                <w:color w:val="auto"/>
              </w:rPr>
            </w:pPr>
          </w:p>
        </w:tc>
        <w:tc>
          <w:tcPr>
            <w:tcW w:w="1040" w:type="dxa"/>
            <w:vAlign w:val="bottom"/>
            <w:tcBorders>
              <w:bottom w:val="single" w:sz="8" w:color="004483"/>
            </w:tcBorders>
            <w:shd w:val="clear" w:color="auto" w:fill="004483"/>
          </w:tcPr>
          <w:p>
            <w:pPr>
              <w:spacing w:after="0"/>
              <w:rPr>
                <w:sz w:val="2"/>
                <w:szCs w:val="2"/>
                <w:color w:val="auto"/>
              </w:rPr>
            </w:pPr>
          </w:p>
        </w:tc>
      </w:tr>
      <w:tr>
        <w:trPr>
          <w:trHeight w:val="183"/>
        </w:trPr>
        <w:tc>
          <w:tcPr>
            <w:tcW w:w="760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Long-term Debt</w:t>
            </w: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44"/>
              <w:spacing w:after="0" w:line="183" w:lineRule="exact"/>
              <w:rPr>
                <w:sz w:val="20"/>
                <w:szCs w:val="20"/>
                <w:color w:val="auto"/>
              </w:rPr>
            </w:pPr>
            <w:r>
              <w:rPr>
                <w:rFonts w:ascii="Arial" w:cs="Arial" w:eastAsia="Arial" w:hAnsi="Arial"/>
                <w:sz w:val="16"/>
                <w:szCs w:val="16"/>
                <w:b w:val="1"/>
                <w:bCs w:val="1"/>
                <w:color w:val="auto"/>
              </w:rPr>
              <w:t>938,265</w:t>
            </w:r>
          </w:p>
        </w:tc>
        <w:tc>
          <w:tcPr>
            <w:tcW w:w="200" w:type="dxa"/>
            <w:vAlign w:val="bottom"/>
          </w:tcPr>
          <w:p>
            <w:pPr>
              <w:spacing w:after="0"/>
              <w:rPr>
                <w:sz w:val="15"/>
                <w:szCs w:val="15"/>
                <w:color w:val="auto"/>
              </w:rPr>
            </w:pPr>
          </w:p>
        </w:tc>
        <w:tc>
          <w:tcPr>
            <w:tcW w:w="680" w:type="dxa"/>
            <w:vAlign w:val="bottom"/>
            <w:tcBorders>
              <w:bottom w:val="single" w:sz="8" w:color="004483"/>
            </w:tcBorders>
          </w:tcPr>
          <w:p>
            <w:pPr>
              <w:jc w:val="right"/>
              <w:ind w:right="5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1,008,616</w:t>
            </w:r>
          </w:p>
        </w:tc>
      </w:tr>
      <w:tr>
        <w:trPr>
          <w:trHeight w:val="20"/>
        </w:trPr>
        <w:tc>
          <w:tcPr>
            <w:tcW w:w="760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r>
    </w:tbl>
    <w:p>
      <w:pPr>
        <w:spacing w:after="0" w:line="36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weighted-average interest rate of borrowings under our Revolving Credit Facility during fiscal years 2022, 2021, and 2020 was 1.5%, 2.8%, and 3.6%, respectively. The interest rate on the Revolving Credit Facility was 1.7% at March 31, 2022. There was no balance outstanding at March 31, 2021.</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Revolving Credit Facility</w:t>
      </w:r>
    </w:p>
    <w:p>
      <w:pPr>
        <w:spacing w:after="0" w:line="148"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color w:val="auto"/>
        </w:rPr>
        <w:t>On July 1, 2021, we terminated our previous credit facilities and entered into an unsecured $750.0 million revolving credit facility (the Revolving Credit Facility). The Revolving Credit Facility also provides the Company the option to increase the borrowing capacity by up to $375.0 million (for a total borrowing capacity of $1,125 million), provided that the existing lenders, or new lenders, agree to such increase. The Revolving Credit Facility includes a $40.0 million letter of credit facility and a swingline loan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75" w:name="page76"/>
    <w:bookmarkEnd w:id="75"/>
    <w:p>
      <w:pPr>
        <w:ind w:right="700"/>
        <w:spacing w:after="0" w:line="293" w:lineRule="auto"/>
        <w:rPr>
          <w:sz w:val="20"/>
          <w:szCs w:val="20"/>
          <w:color w:val="auto"/>
        </w:rPr>
      </w:pPr>
      <w:r>
        <w:rPr>
          <w:rFonts w:ascii="Arial" w:cs="Arial" w:eastAsia="Arial" w:hAnsi="Arial"/>
          <w:sz w:val="18"/>
          <w:szCs w:val="18"/>
          <w:color w:val="auto"/>
        </w:rPr>
        <w:t>sub-facility of $25.0 million. On May 5, 2022 the Revolving Credit Facility was amended, as discussed below in the Subsequent Debt Amendments and Activity section.</w:t>
      </w:r>
    </w:p>
    <w:p>
      <w:pPr>
        <w:spacing w:after="0" w:line="89"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(subject to certain exceptions) and an Interest Coverage Ratio (both ratios, as defined in the Revolving Credit Facility) equal to or greater than 2.50 to 1.00 (collectively, the Financial Covenants). We were in compliance with all covenants at March 31, 2022.</w:t>
      </w:r>
    </w:p>
    <w:p>
      <w:pPr>
        <w:spacing w:after="0" w:line="96"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At the Company’s option, principal amounts outstanding under the Revolving Credit Facility bear interest at a variable rate equal to either (i) the Adjusted LIBO Rate (as defined in the Revolving Credit Facility) plus an agreed spread (ranging from 100 to 162.5 basis points, which is established based on the Company's credit rating); or (ii)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LIBO Rate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98"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u w:val="single" w:color="auto"/>
          <w:color w:val="004483"/>
        </w:rPr>
        <w:t>2.500% Senior Unsecured Notes Due 2031</w:t>
      </w:r>
    </w:p>
    <w:p>
      <w:pPr>
        <w:spacing w:after="0" w:line="14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ten-year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Retirement of Debt</w:t>
      </w:r>
    </w:p>
    <w:p>
      <w:pPr>
        <w:spacing w:after="0" w:line="148"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In connection with the issuance of the 2.500% Senior Unsecured notes, on July 1, 2021 we repaid all outstanding amounts under and terminated our $665.0 million term loan credit agreement (the Term Loan Facility). The Term Loan Facility was used to pay a portion of the purchase price for the Kosmos Acquisition and fees and expenses incurred in connection with the Kosmos Acquisition in March 2020. Additionally, on July 19, 2021, (the first business day following the redemption date), we redeemed and paid in full all outstanding amounts due under the $350.0 million aggregate principal amount of 4.500% senior notes (4.500% Senior Unsecured Notes) due August 2026, using proceeds from the 2.500% Senior Unsecured Notes, the Revolving Credit Facility and cash on hand. The 4.500% Senior Unsecured Notes redemption price included all of the outstanding principal and accrued interest through the redemption date of July 17, 2021, as well as an early termination premium of approximately $8.4 million. In connection with the termination and repayment of the Term Loan Facility and the redemption of the 4.500% Senior Unsecured Notes, we expensed approximately $6.1 million of related debt issuance costs in July 2021.</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Subsequent Debt Amendment and Activity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ConAgg Acquisition on April 22, 2022, we borrowed an additional $120 million from our Revolving Credit Facility.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Amended Revolving Credit Facility</w:t>
      </w:r>
    </w:p>
    <w:p>
      <w:pPr>
        <w:spacing w:after="0" w:line="14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On May 5, 2022, we amended the Revolving Credit Facility (such facility, as amended, the Amended Credit Facility) to, among other things, include a $200.0 million term loan facility (all proceeds borrowed thereunder, the New Term Loan), and establish the maturity date of the Amended Credit Facility (including with respect to the Revolving Credit Facility (which was continued in the Amended Credit</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11" w:right="439" w:bottom="1440" w:gutter="0" w:footer="0" w:header="0"/>
        </w:sectPr>
      </w:pPr>
    </w:p>
    <w:bookmarkStart w:id="77" w:name="page78"/>
    <w:bookmarkEnd w:id="77"/>
    <w:p>
      <w:pPr>
        <w:spacing w:after="0" w:line="282" w:lineRule="auto"/>
        <w:rPr>
          <w:sz w:val="20"/>
          <w:szCs w:val="20"/>
          <w:color w:val="auto"/>
        </w:rPr>
      </w:pPr>
      <w:r>
        <w:rPr>
          <w:rFonts w:ascii="Arial" w:cs="Arial" w:eastAsia="Arial" w:hAnsi="Arial"/>
          <w:sz w:val="18"/>
          <w:szCs w:val="18"/>
          <w:color w:val="auto"/>
        </w:rPr>
        <w:t>Facility with an extended maturity date) and the New Term Loan) as May 5, 2027. The Amended Credit Facility also replaced the LIBOR-based reference rate for any borrowings thereunder to a SOFR (secured overnight financing rate)-based rate such that outstanding loans under the Amended Credit Facility bear interest, at a variable rate equal to either (i) the adjusted term SOFR rate, plus 10 bps, plus an agreed spread (ranging from 100 to 162.5 basis points, which is established based on the Company's credit rating); (ii) in respect of any Revolving Loans (until such time as the then-existing Benchmark (as defined in the Amended Credit Facility) is replaced in accordance with the Amended Credit Facility), the adjusted daily simple SOFR rate, plus 10 bps, plus an agreed spread (ranging from 100 to 162.5 basis points, which is established based on the Company's credit rating) or (iii) an Alternate Base Rate (as defined in the Amended Credit Facility), which is the highest of (a) the Prime Rate (as defined in the Amended Credit Facility) in effect on any applicable day, (b) the NYFRB Rate (as defined in the Amended Credit Facility) in effect on any applicable day, plus ½ of 1%, and (c) the Adjusted Term SOFR (as defined in the Amended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w:t>
      </w:r>
    </w:p>
    <w:p>
      <w:pPr>
        <w:spacing w:after="0" w:line="106"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Additionally, the Amended Credit Facility contemplates additional uncommitted incremental capacity (which may take the form of term loans and/or revolving loans) in an amount not to exceed $375.0 million.</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New Term Loan</w:t>
      </w:r>
    </w:p>
    <w:p>
      <w:pPr>
        <w:spacing w:after="0" w:line="14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On May 5, 2022, we borrowed the $200.0 million New Term Loan under the Amended Credit Facility, and used these proceeds to, among other things, pay down a portion of the Existing Revolving Loans (such paydown, the RCF Paydown). The New Term Loan requires quarterly principle payments of $2.5 million, with any unpaid amounts due upon maturity on May 5, 2027. At the Company’s option, principal amounts outstanding under the New Term Loan bear interest as set forth in the Amended Credit Facility (but not, for the avoidance of doubt, at a daily simple SOFR rate unless and until such time as the then-existing Benchmark (as defined in the Amended Credit Facility) is replaced in accordance with the Amended Credit Facility).</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004483"/>
        </w:rPr>
        <w:t>Outstanding Amounts Under Amended Credit Facility</w:t>
      </w:r>
    </w:p>
    <w:p>
      <w:pPr>
        <w:spacing w:after="0" w:line="144"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color w:val="auto"/>
        </w:rPr>
        <w:t>As of the amendment date, in addition to the $200.0 million New Term Loan, and after giving effect to the RCF Paydown, there was approximately $156.0 million of Revolving Loans outstanding under the Amended Credit Facility, plus $5.0 million outstanding letters of credit, leaving us with $589.0 million of available revolving borrowings under the Amended Credit Facility. We are in compliance with all Financial Covenants at this time, therefore all $589.0 million is available for future borrowings.</w:t>
      </w:r>
    </w:p>
    <w:p>
      <w:pPr>
        <w:spacing w:after="0" w:line="97"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Including the additional borrowings for the ConAgg Acquisition and the New Term Loan, our maturities of long-term debt during the next five fiscal years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8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Fiscal Year</w:t>
            </w:r>
          </w:p>
        </w:tc>
        <w:tc>
          <w:tcPr>
            <w:tcW w:w="700" w:type="dxa"/>
            <w:vAlign w:val="bottom"/>
            <w:tcBorders>
              <w:bottom w:val="single" w:sz="8" w:color="004483"/>
            </w:tcBorders>
          </w:tcPr>
          <w:p>
            <w:pPr>
              <w:spacing w:after="0"/>
              <w:rPr>
                <w:sz w:val="16"/>
                <w:szCs w:val="16"/>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Amount</w:t>
            </w:r>
          </w:p>
        </w:tc>
      </w:tr>
      <w:tr>
        <w:trPr>
          <w:trHeight w:val="189"/>
        </w:trPr>
        <w:tc>
          <w:tcPr>
            <w:tcW w:w="91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2023</w:t>
            </w:r>
          </w:p>
        </w:tc>
        <w:tc>
          <w:tcPr>
            <w:tcW w:w="700" w:type="dxa"/>
            <w:vAlign w:val="bottom"/>
            <w:tcBorders>
              <w:bottom w:val="single" w:sz="8" w:color="A6A6A6"/>
            </w:tcBorders>
          </w:tcPr>
          <w:p>
            <w:pPr>
              <w:jc w:val="right"/>
              <w:ind w:right="5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w:t>
            </w:r>
          </w:p>
        </w:tc>
      </w:tr>
      <w:tr>
        <w:trPr>
          <w:trHeight w:val="183"/>
        </w:trPr>
        <w:tc>
          <w:tcPr>
            <w:tcW w:w="9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2024</w:t>
            </w:r>
          </w:p>
        </w:tc>
        <w:tc>
          <w:tcPr>
            <w:tcW w:w="70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10,000</w:t>
            </w:r>
          </w:p>
        </w:tc>
      </w:tr>
      <w:tr>
        <w:trPr>
          <w:trHeight w:val="183"/>
        </w:trPr>
        <w:tc>
          <w:tcPr>
            <w:tcW w:w="9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2025</w:t>
            </w:r>
          </w:p>
        </w:tc>
        <w:tc>
          <w:tcPr>
            <w:tcW w:w="70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10,000</w:t>
            </w:r>
          </w:p>
        </w:tc>
      </w:tr>
      <w:tr>
        <w:trPr>
          <w:trHeight w:val="183"/>
        </w:trPr>
        <w:tc>
          <w:tcPr>
            <w:tcW w:w="9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2026</w:t>
            </w:r>
          </w:p>
        </w:tc>
        <w:tc>
          <w:tcPr>
            <w:tcW w:w="70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10,000</w:t>
            </w:r>
          </w:p>
        </w:tc>
      </w:tr>
      <w:tr>
        <w:trPr>
          <w:trHeight w:val="183"/>
        </w:trPr>
        <w:tc>
          <w:tcPr>
            <w:tcW w:w="91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2027</w:t>
            </w:r>
          </w:p>
        </w:tc>
        <w:tc>
          <w:tcPr>
            <w:tcW w:w="700" w:type="dxa"/>
            <w:vAlign w:val="bottom"/>
            <w:tcBorders>
              <w:bottom w:val="single" w:sz="8" w:color="A6A6A6"/>
            </w:tcBorders>
          </w:tcPr>
          <w:p>
            <w:pPr>
              <w:spacing w:after="0"/>
              <w:rPr>
                <w:sz w:val="15"/>
                <w:szCs w:val="15"/>
                <w:color w:val="auto"/>
              </w:rPr>
            </w:pPr>
          </w:p>
        </w:tc>
        <w:tc>
          <w:tcPr>
            <w:tcW w:w="12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10,000</w:t>
            </w:r>
          </w:p>
        </w:tc>
      </w:tr>
      <w:tr>
        <w:trPr>
          <w:trHeight w:val="183"/>
        </w:trPr>
        <w:tc>
          <w:tcPr>
            <w:tcW w:w="91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Thereafter</w:t>
            </w:r>
          </w:p>
        </w:tc>
        <w:tc>
          <w:tcPr>
            <w:tcW w:w="70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1,058,500</w:t>
            </w:r>
          </w:p>
        </w:tc>
      </w:tr>
      <w:tr>
        <w:trPr>
          <w:trHeight w:val="27"/>
        </w:trPr>
        <w:tc>
          <w:tcPr>
            <w:tcW w:w="9180" w:type="dxa"/>
            <w:vAlign w:val="bottom"/>
            <w:tcBorders>
              <w:bottom w:val="single" w:sz="8" w:color="A6A6A6"/>
            </w:tcBorders>
          </w:tcPr>
          <w:p>
            <w:pPr>
              <w:spacing w:after="0"/>
              <w:rPr>
                <w:sz w:val="2"/>
                <w:szCs w:val="2"/>
                <w:color w:val="auto"/>
              </w:rPr>
            </w:pPr>
          </w:p>
        </w:tc>
        <w:tc>
          <w:tcPr>
            <w:tcW w:w="700" w:type="dxa"/>
            <w:vAlign w:val="bottom"/>
            <w:tcBorders>
              <w:bottom w:val="single" w:sz="8" w:color="17385E"/>
            </w:tcBorders>
            <w:shd w:val="clear" w:color="auto" w:fill="17385E"/>
          </w:tcPr>
          <w:p>
            <w:pPr>
              <w:spacing w:after="0"/>
              <w:rPr>
                <w:sz w:val="2"/>
                <w:szCs w:val="2"/>
                <w:color w:val="auto"/>
              </w:rPr>
            </w:pPr>
          </w:p>
        </w:tc>
        <w:tc>
          <w:tcPr>
            <w:tcW w:w="1280" w:type="dxa"/>
            <w:vAlign w:val="bottom"/>
            <w:tcBorders>
              <w:bottom w:val="single" w:sz="8" w:color="17385E"/>
            </w:tcBorders>
            <w:shd w:val="clear" w:color="auto" w:fill="17385E"/>
          </w:tcPr>
          <w:p>
            <w:pPr>
              <w:spacing w:after="0"/>
              <w:rPr>
                <w:sz w:val="2"/>
                <w:szCs w:val="2"/>
                <w:color w:val="auto"/>
              </w:rPr>
            </w:pPr>
          </w:p>
        </w:tc>
      </w:tr>
      <w:tr>
        <w:trPr>
          <w:trHeight w:val="183"/>
        </w:trPr>
        <w:tc>
          <w:tcPr>
            <w:tcW w:w="91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1,106,000</w:t>
            </w:r>
          </w:p>
        </w:tc>
      </w:tr>
      <w:tr>
        <w:trPr>
          <w:trHeight w:val="20"/>
        </w:trPr>
        <w:tc>
          <w:tcPr>
            <w:tcW w:w="9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78" w:name="page79"/>
    <w:bookmarkEnd w:id="78"/>
    <w:p>
      <w:pPr>
        <w:spacing w:after="0"/>
        <w:rPr>
          <w:sz w:val="20"/>
          <w:szCs w:val="20"/>
          <w:color w:val="auto"/>
        </w:rPr>
      </w:pPr>
      <w:r>
        <w:rPr>
          <w:rFonts w:ascii="Arial" w:cs="Arial" w:eastAsia="Arial" w:hAnsi="Arial"/>
          <w:sz w:val="20"/>
          <w:szCs w:val="20"/>
          <w:b w:val="1"/>
          <w:bCs w:val="1"/>
          <w:color w:val="004483"/>
        </w:rPr>
        <w:t>(H) FAIR VALUE OF FINANCIAL INSTRUMENTS</w:t>
      </w:r>
    </w:p>
    <w:p>
      <w:pPr>
        <w:spacing w:after="0" w:line="148"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The fair value of our senior notes has been estimated based upon our current incremental borrowing rates for similar types of borrowing arrangements. The fair value of our Senior Unsecured Notes at March 31, 2022 is as follows:</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3"/>
          <w:szCs w:val="13"/>
          <w:b w:val="1"/>
          <w:bCs w:val="1"/>
          <w:color w:val="auto"/>
        </w:rPr>
        <w:t>Fair Value</w:t>
      </w:r>
    </w:p>
    <w:p>
      <w:pPr>
        <w:spacing w:after="0" w:line="8" w:lineRule="exact"/>
        <w:rPr>
          <w:sz w:val="20"/>
          <w:szCs w:val="20"/>
          <w:color w:val="auto"/>
        </w:rPr>
      </w:pPr>
    </w:p>
    <w:p>
      <w:pPr>
        <w:jc w:val="right"/>
        <w:ind w:right="12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9080" w:val="left"/>
          <w:tab w:leader="none" w:pos="10580" w:val="left"/>
        </w:tabs>
        <w:rPr>
          <w:sz w:val="20"/>
          <w:szCs w:val="20"/>
          <w:color w:val="auto"/>
        </w:rPr>
      </w:pPr>
      <w:r>
        <w:rPr>
          <w:rFonts w:ascii="Arial" w:cs="Arial" w:eastAsia="Arial" w:hAnsi="Arial"/>
          <w:sz w:val="16"/>
          <w:szCs w:val="16"/>
          <w:b w:val="1"/>
          <w:bCs w:val="1"/>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664,000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The estimated fair value of our long-term debt was based on publicly quoted prices of these debt instruments (level 1 input). The carrying values of cash and cash equivalents, accounts and notes receivable, accounts payable, and accrued liabilities approximate their fair values at March 31, 2022, due to the short-term maturities of these assets and liabilities. The fair value of our Revolving Credit Facility also approximates its carrying values at March 31, 2022.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(I) BUSINESS SEGMENTS</w:t>
      </w:r>
    </w:p>
    <w:p>
      <w:pPr>
        <w:spacing w:after="0" w:line="14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 On September 18, 2020, we sold our Oil and Gas Proppants business, which had been reported as an operating segment. The Oil and Gas Proppants business was determined to meet the discontinued operations accounting criteria; therefore, this segment is no longer separately reported in our reportable segment footnote for any of the periods presented. Certain expenses of the Oil and Gas Proppants business that related to assets not included in the sale, namely real property and equipment in south Texas, real property in Illinois, and certain other assets, are included in Other when reconciling segment operating earnings to consolidated operating earnings. See Footnote (C) for more information about the sale of the Oil and Gas Proppants business.</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9"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29 cement distribution terminals. Our cement companies focus on the U.S. heartland and operate as an integrated network selling product primarily in California, Colorado, Illinois, Indiana, Iowa, Kentucky, Missouri, Nebraska, Nevada, Ohio, Oklahoma, and Texas. We operate 26 readymix concrete batch plants and three aggregates processing plants in markets that are complementary to our cement network. On April 17, 2020, we sold our Concrete and Aggregates companies in northern California. See Footnote (C) for more information about the sale.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ind w:right="740"/>
        <w:spacing w:after="0" w:line="293"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The following tables below set forth certain financial information relating to our operations by segment. We do not allocate interest or taxes at the segment level, only at the consolidated company level.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Borders>
              <w:right w:val="single" w:sz="8" w:color="004483"/>
            </w:tcBorders>
          </w:tcPr>
          <w:p>
            <w:pPr>
              <w:spacing w:after="0"/>
              <w:rPr>
                <w:sz w:val="13"/>
                <w:szCs w:val="13"/>
                <w:color w:val="auto"/>
              </w:rPr>
            </w:pPr>
          </w:p>
        </w:tc>
        <w:tc>
          <w:tcPr>
            <w:tcW w:w="400" w:type="dxa"/>
            <w:vAlign w:val="bottom"/>
            <w:shd w:val="clear" w:color="auto" w:fill="004483"/>
          </w:tcPr>
          <w:p>
            <w:pPr>
              <w:spacing w:after="0"/>
              <w:rPr>
                <w:sz w:val="13"/>
                <w:szCs w:val="13"/>
                <w:color w:val="auto"/>
              </w:rPr>
            </w:pPr>
          </w:p>
        </w:tc>
        <w:tc>
          <w:tcPr>
            <w:tcW w:w="1100" w:type="dxa"/>
            <w:vAlign w:val="bottom"/>
            <w:tcBorders>
              <w:right w:val="single" w:sz="8" w:color="004483"/>
            </w:tcBorders>
            <w:shd w:val="clear" w:color="auto" w:fill="004483"/>
          </w:tcPr>
          <w:p>
            <w:pPr>
              <w:spacing w:after="0"/>
              <w:rPr>
                <w:sz w:val="13"/>
                <w:szCs w:val="13"/>
                <w:color w:val="auto"/>
              </w:rPr>
            </w:pPr>
          </w:p>
        </w:tc>
        <w:tc>
          <w:tcPr>
            <w:tcW w:w="1780" w:type="dxa"/>
            <w:vAlign w:val="bottom"/>
            <w:tcBorders>
              <w:left w:val="single" w:sz="8" w:color="004483"/>
            </w:tcBorders>
            <w:gridSpan w:val="4"/>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7"/>
              </w:rPr>
              <w:t>For the Years Ended March 31,</w:t>
            </w:r>
          </w:p>
        </w:tc>
        <w:tc>
          <w:tcPr>
            <w:tcW w:w="400" w:type="dxa"/>
            <w:vAlign w:val="bottom"/>
            <w:shd w:val="clear" w:color="auto" w:fill="004483"/>
          </w:tcPr>
          <w:p>
            <w:pPr>
              <w:spacing w:after="0"/>
              <w:rPr>
                <w:sz w:val="13"/>
                <w:szCs w:val="13"/>
                <w:color w:val="auto"/>
              </w:rPr>
            </w:pPr>
          </w:p>
        </w:tc>
        <w:tc>
          <w:tcPr>
            <w:tcW w:w="108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jc w:val="right"/>
              <w:ind w:right="61"/>
              <w:spacing w:after="0" w:line="134"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3"/>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400" w:type="dxa"/>
            <w:vAlign w:val="bottom"/>
            <w:tcBorders>
              <w:bottom w:val="single" w:sz="8" w:color="004483"/>
            </w:tcBorders>
          </w:tcPr>
          <w:p>
            <w:pPr>
              <w:spacing w:after="0"/>
              <w:rPr>
                <w:sz w:val="15"/>
                <w:szCs w:val="15"/>
                <w:color w:val="auto"/>
              </w:rPr>
            </w:pPr>
          </w:p>
        </w:tc>
        <w:tc>
          <w:tcPr>
            <w:tcW w:w="108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40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36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108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3983C5"/>
              </w:rPr>
              <w:t>Cement</w:t>
            </w:r>
          </w:p>
        </w:tc>
        <w:tc>
          <w:tcPr>
            <w:tcW w:w="400" w:type="dxa"/>
            <w:vAlign w:val="bottom"/>
            <w:tcBorders>
              <w:bottom w:val="single" w:sz="8" w:color="A6A6A6"/>
            </w:tcBorders>
          </w:tcPr>
          <w:p>
            <w:pPr>
              <w:jc w:val="right"/>
              <w:ind w:right="2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6A6A6"/>
            </w:tcBorders>
          </w:tcPr>
          <w:p>
            <w:pPr>
              <w:jc w:val="right"/>
              <w:ind w:right="61"/>
              <w:spacing w:after="0" w:line="183" w:lineRule="exact"/>
              <w:rPr>
                <w:sz w:val="20"/>
                <w:szCs w:val="20"/>
                <w:color w:val="auto"/>
              </w:rPr>
            </w:pPr>
            <w:r>
              <w:rPr>
                <w:rFonts w:ascii="Arial" w:cs="Arial" w:eastAsia="Arial" w:hAnsi="Arial"/>
                <w:sz w:val="16"/>
                <w:szCs w:val="16"/>
                <w:color w:val="auto"/>
              </w:rPr>
              <w:t>1,007,094</w:t>
            </w:r>
          </w:p>
        </w:tc>
        <w:tc>
          <w:tcPr>
            <w:tcW w:w="2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944,556</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752,002</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Concrete and Aggregates</w:t>
            </w:r>
          </w:p>
        </w:tc>
        <w:tc>
          <w:tcPr>
            <w:tcW w:w="40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1"/>
              <w:spacing w:after="0" w:line="183" w:lineRule="exact"/>
              <w:rPr>
                <w:sz w:val="20"/>
                <w:szCs w:val="20"/>
                <w:color w:val="auto"/>
              </w:rPr>
            </w:pPr>
            <w:r>
              <w:rPr>
                <w:rFonts w:ascii="Arial" w:cs="Arial" w:eastAsia="Arial" w:hAnsi="Arial"/>
                <w:sz w:val="16"/>
                <w:szCs w:val="16"/>
                <w:color w:val="auto"/>
              </w:rPr>
              <w:t>177,122</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168,829</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182,775</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77943C"/>
              </w:rPr>
              <w:t>Gypsum Wallboard</w:t>
            </w:r>
          </w:p>
        </w:tc>
        <w:tc>
          <w:tcPr>
            <w:tcW w:w="40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1"/>
              <w:spacing w:after="0" w:line="183" w:lineRule="exact"/>
              <w:rPr>
                <w:sz w:val="20"/>
                <w:szCs w:val="20"/>
                <w:color w:val="auto"/>
              </w:rPr>
            </w:pPr>
            <w:r>
              <w:rPr>
                <w:rFonts w:ascii="Arial" w:cs="Arial" w:eastAsia="Arial" w:hAnsi="Arial"/>
                <w:sz w:val="16"/>
                <w:szCs w:val="16"/>
                <w:color w:val="auto"/>
              </w:rPr>
              <w:t>692,152</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539,009</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508,145</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AEB949"/>
              </w:rPr>
              <w:t>Paperboard</w:t>
            </w:r>
          </w:p>
        </w:tc>
        <w:tc>
          <w:tcPr>
            <w:tcW w:w="40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ind w:right="61"/>
              <w:spacing w:after="0" w:line="183" w:lineRule="exact"/>
              <w:rPr>
                <w:sz w:val="20"/>
                <w:szCs w:val="20"/>
                <w:color w:val="auto"/>
              </w:rPr>
            </w:pPr>
            <w:r>
              <w:rPr>
                <w:rFonts w:ascii="Arial" w:cs="Arial" w:eastAsia="Arial" w:hAnsi="Arial"/>
                <w:sz w:val="16"/>
                <w:szCs w:val="16"/>
                <w:color w:val="auto"/>
              </w:rPr>
              <w:t>194,054</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color w:val="auto"/>
              </w:rPr>
              <w:t>163,507</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159,963</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1"/>
              <w:spacing w:after="0" w:line="183" w:lineRule="exact"/>
              <w:rPr>
                <w:sz w:val="20"/>
                <w:szCs w:val="20"/>
                <w:color w:val="auto"/>
              </w:rPr>
            </w:pPr>
            <w:r>
              <w:rPr>
                <w:rFonts w:ascii="Arial" w:cs="Arial" w:eastAsia="Arial" w:hAnsi="Arial"/>
                <w:sz w:val="16"/>
                <w:szCs w:val="16"/>
                <w:color w:val="auto"/>
              </w:rPr>
              <w:t>2,070,422</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1,815,901</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1,602,885</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Less: Intersegment Revenue</w:t>
            </w:r>
          </w:p>
        </w:tc>
        <w:tc>
          <w:tcPr>
            <w:tcW w:w="40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(105,001 )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(88,068 )</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(85,316 )</w:t>
            </w:r>
          </w:p>
        </w:tc>
        <w:tc>
          <w:tcPr>
            <w:tcW w:w="0" w:type="dxa"/>
            <w:vAlign w:val="bottom"/>
          </w:tcPr>
          <w:p>
            <w:pPr>
              <w:spacing w:after="0"/>
              <w:rPr>
                <w:sz w:val="1"/>
                <w:szCs w:val="1"/>
                <w:color w:val="auto"/>
              </w:rPr>
            </w:pPr>
          </w:p>
        </w:tc>
      </w:tr>
      <w:tr>
        <w:trPr>
          <w:trHeight w:val="183"/>
        </w:trPr>
        <w:tc>
          <w:tcPr>
            <w:tcW w:w="6480" w:type="dxa"/>
            <w:vAlign w:val="bottom"/>
          </w:tcPr>
          <w:p>
            <w:pPr>
              <w:ind w:left="200"/>
              <w:spacing w:after="0" w:line="183" w:lineRule="exact"/>
              <w:rPr>
                <w:sz w:val="20"/>
                <w:szCs w:val="20"/>
                <w:color w:val="auto"/>
              </w:rPr>
            </w:pPr>
            <w:r>
              <w:rPr>
                <w:rFonts w:ascii="Arial" w:cs="Arial" w:eastAsia="Arial" w:hAnsi="Arial"/>
                <w:sz w:val="16"/>
                <w:szCs w:val="16"/>
                <w:color w:val="004483"/>
              </w:rPr>
              <w:t>Less: Joint Venture Revenue</w:t>
            </w:r>
          </w:p>
        </w:tc>
        <w:tc>
          <w:tcPr>
            <w:tcW w:w="40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(103,899 )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(105,191 )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(113,536 )</w:t>
            </w:r>
          </w:p>
        </w:tc>
        <w:tc>
          <w:tcPr>
            <w:tcW w:w="0" w:type="dxa"/>
            <w:vAlign w:val="bottom"/>
          </w:tcPr>
          <w:p>
            <w:pPr>
              <w:spacing w:after="0"/>
              <w:rPr>
                <w:sz w:val="1"/>
                <w:szCs w:val="1"/>
                <w:color w:val="auto"/>
              </w:rPr>
            </w:pPr>
          </w:p>
        </w:tc>
      </w:tr>
      <w:tr>
        <w:trPr>
          <w:trHeight w:val="27"/>
        </w:trPr>
        <w:tc>
          <w:tcPr>
            <w:tcW w:w="6480" w:type="dxa"/>
            <w:vAlign w:val="bottom"/>
            <w:tcBorders>
              <w:bottom w:val="single" w:sz="8" w:color="A6A6A6"/>
              <w:right w:val="single" w:sz="8" w:color="004483"/>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400" w:type="dxa"/>
            <w:vAlign w:val="bottom"/>
            <w:tcBorders>
              <w:bottom w:val="single" w:sz="8" w:color="004483"/>
            </w:tcBorders>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ind w:right="61"/>
              <w:spacing w:after="0" w:line="183" w:lineRule="exact"/>
              <w:rPr>
                <w:sz w:val="20"/>
                <w:szCs w:val="20"/>
                <w:color w:val="auto"/>
              </w:rPr>
            </w:pPr>
            <w:r>
              <w:rPr>
                <w:rFonts w:ascii="Arial" w:cs="Arial" w:eastAsia="Arial" w:hAnsi="Arial"/>
                <w:sz w:val="16"/>
                <w:szCs w:val="16"/>
                <w:b w:val="1"/>
                <w:bCs w:val="1"/>
                <w:color w:val="auto"/>
              </w:rPr>
              <w:t>1,861,522</w:t>
            </w:r>
          </w:p>
        </w:tc>
        <w:tc>
          <w:tcPr>
            <w:tcW w:w="160" w:type="dxa"/>
            <w:vAlign w:val="bottom"/>
            <w:vMerge w:val="continue"/>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b w:val="1"/>
                <w:bCs w:val="1"/>
                <w:color w:val="auto"/>
              </w:rPr>
              <w:t>1,622,642</w:t>
            </w:r>
          </w:p>
        </w:tc>
        <w:tc>
          <w:tcPr>
            <w:tcW w:w="160" w:type="dxa"/>
            <w:vAlign w:val="bottom"/>
          </w:tcPr>
          <w:p>
            <w:pPr>
              <w:spacing w:after="0"/>
              <w:rPr>
                <w:sz w:val="15"/>
                <w:szCs w:val="15"/>
                <w:color w:val="auto"/>
              </w:rPr>
            </w:pP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1,404,033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004483"/>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gridSpan w:val="4"/>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400" w:type="dxa"/>
            <w:vAlign w:val="bottom"/>
            <w:shd w:val="clear" w:color="auto" w:fill="004483"/>
          </w:tcPr>
          <w:p>
            <w:pPr>
              <w:spacing w:after="0"/>
              <w:rPr>
                <w:sz w:val="12"/>
                <w:szCs w:val="12"/>
                <w:color w:val="auto"/>
              </w:rPr>
            </w:pPr>
          </w:p>
        </w:tc>
        <w:tc>
          <w:tcPr>
            <w:tcW w:w="1100" w:type="dxa"/>
            <w:vAlign w:val="bottom"/>
            <w:tcBorders>
              <w:right w:val="single" w:sz="8" w:color="004483"/>
            </w:tcBorders>
            <w:shd w:val="clear" w:color="auto" w:fill="004483"/>
          </w:tcPr>
          <w:p>
            <w:pPr>
              <w:spacing w:after="0"/>
              <w:rPr>
                <w:sz w:val="12"/>
                <w:szCs w:val="12"/>
                <w:color w:val="auto"/>
              </w:rPr>
            </w:pPr>
          </w:p>
        </w:tc>
        <w:tc>
          <w:tcPr>
            <w:tcW w:w="1780" w:type="dxa"/>
            <w:vAlign w:val="bottom"/>
            <w:tcBorders>
              <w:left w:val="single" w:sz="8" w:color="004483"/>
            </w:tcBorders>
            <w:gridSpan w:val="4"/>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7"/>
              </w:rPr>
              <w:t>For the Years Ended March 31,</w:t>
            </w:r>
          </w:p>
        </w:tc>
        <w:tc>
          <w:tcPr>
            <w:tcW w:w="400" w:type="dxa"/>
            <w:vAlign w:val="bottom"/>
            <w:shd w:val="clear" w:color="auto" w:fill="004483"/>
          </w:tcPr>
          <w:p>
            <w:pPr>
              <w:spacing w:after="0"/>
              <w:rPr>
                <w:sz w:val="12"/>
                <w:szCs w:val="12"/>
                <w:color w:val="auto"/>
              </w:rPr>
            </w:pPr>
          </w:p>
        </w:tc>
        <w:tc>
          <w:tcPr>
            <w:tcW w:w="1080" w:type="dxa"/>
            <w:vAlign w:val="bottom"/>
            <w:shd w:val="clear" w:color="auto" w:fill="004483"/>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3"/>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004483"/>
            </w:tcBorders>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400" w:type="dxa"/>
            <w:vAlign w:val="bottom"/>
            <w:tcBorders>
              <w:bottom w:val="single" w:sz="8" w:color="004483"/>
            </w:tcBorders>
          </w:tcPr>
          <w:p>
            <w:pPr>
              <w:spacing w:after="0"/>
              <w:rPr>
                <w:sz w:val="15"/>
                <w:szCs w:val="15"/>
                <w:color w:val="auto"/>
              </w:rPr>
            </w:pPr>
          </w:p>
        </w:tc>
        <w:tc>
          <w:tcPr>
            <w:tcW w:w="108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Intersegment Revenue</w:t>
            </w:r>
          </w:p>
        </w:tc>
        <w:tc>
          <w:tcPr>
            <w:tcW w:w="40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36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108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3983C5"/>
              </w:rPr>
              <w:t>Cement</w:t>
            </w:r>
          </w:p>
        </w:tc>
        <w:tc>
          <w:tcPr>
            <w:tcW w:w="400" w:type="dxa"/>
            <w:vAlign w:val="bottom"/>
            <w:tcBorders>
              <w:bottom w:val="single" w:sz="8" w:color="A6A6A6"/>
            </w:tcBorders>
          </w:tcPr>
          <w:p>
            <w:pPr>
              <w:jc w:val="right"/>
              <w:ind w:right="2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22,915</w:t>
            </w:r>
          </w:p>
        </w:tc>
        <w:tc>
          <w:tcPr>
            <w:tcW w:w="2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20,862</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21,499</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Concrete and Aggregates</w:t>
            </w:r>
          </w:p>
        </w:tc>
        <w:tc>
          <w:tcPr>
            <w:tcW w:w="40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106</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183"/>
        </w:trPr>
        <w:tc>
          <w:tcPr>
            <w:tcW w:w="6480" w:type="dxa"/>
            <w:vAlign w:val="bottom"/>
          </w:tcPr>
          <w:p>
            <w:pPr>
              <w:ind w:left="200"/>
              <w:spacing w:after="0" w:line="183" w:lineRule="exact"/>
              <w:rPr>
                <w:sz w:val="20"/>
                <w:szCs w:val="20"/>
                <w:color w:val="auto"/>
              </w:rPr>
            </w:pPr>
            <w:r>
              <w:rPr>
                <w:rFonts w:ascii="Arial" w:cs="Arial" w:eastAsia="Arial" w:hAnsi="Arial"/>
                <w:sz w:val="16"/>
                <w:szCs w:val="16"/>
                <w:color w:val="AEB949"/>
              </w:rPr>
              <w:t>Paperboard</w:t>
            </w:r>
          </w:p>
        </w:tc>
        <w:tc>
          <w:tcPr>
            <w:tcW w:w="400" w:type="dxa"/>
            <w:vAlign w:val="bottom"/>
          </w:tcPr>
          <w:p>
            <w:pPr>
              <w:spacing w:after="0"/>
              <w:rPr>
                <w:sz w:val="15"/>
                <w:szCs w:val="15"/>
                <w:color w:val="auto"/>
              </w:rPr>
            </w:pPr>
          </w:p>
        </w:tc>
        <w:tc>
          <w:tcPr>
            <w:tcW w:w="1100" w:type="dxa"/>
            <w:vAlign w:val="bottom"/>
          </w:tcPr>
          <w:p>
            <w:pPr>
              <w:jc w:val="right"/>
              <w:ind w:right="41"/>
              <w:spacing w:after="0" w:line="183" w:lineRule="exact"/>
              <w:rPr>
                <w:sz w:val="20"/>
                <w:szCs w:val="20"/>
                <w:color w:val="auto"/>
              </w:rPr>
            </w:pPr>
            <w:r>
              <w:rPr>
                <w:rFonts w:ascii="Arial" w:cs="Arial" w:eastAsia="Arial" w:hAnsi="Arial"/>
                <w:sz w:val="16"/>
                <w:szCs w:val="16"/>
                <w:color w:val="auto"/>
              </w:rPr>
              <w:t>82,086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3"/>
              <w:spacing w:after="0" w:line="183" w:lineRule="exact"/>
              <w:rPr>
                <w:sz w:val="20"/>
                <w:szCs w:val="20"/>
                <w:color w:val="auto"/>
              </w:rPr>
            </w:pPr>
            <w:r>
              <w:rPr>
                <w:rFonts w:ascii="Arial" w:cs="Arial" w:eastAsia="Arial" w:hAnsi="Arial"/>
                <w:sz w:val="16"/>
                <w:szCs w:val="16"/>
                <w:color w:val="auto"/>
              </w:rPr>
              <w:t>67,100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62,315</w:t>
            </w:r>
          </w:p>
        </w:tc>
        <w:tc>
          <w:tcPr>
            <w:tcW w:w="0" w:type="dxa"/>
            <w:vAlign w:val="bottom"/>
          </w:tcPr>
          <w:p>
            <w:pPr>
              <w:spacing w:after="0"/>
              <w:rPr>
                <w:sz w:val="1"/>
                <w:szCs w:val="1"/>
                <w:color w:val="auto"/>
              </w:rPr>
            </w:pPr>
          </w:p>
        </w:tc>
      </w:tr>
      <w:tr>
        <w:trPr>
          <w:trHeight w:val="27"/>
        </w:trPr>
        <w:tc>
          <w:tcPr>
            <w:tcW w:w="648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tcBorders>
              <w:left w:val="single" w:sz="8" w:color="004483"/>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480" w:type="dxa"/>
            <w:vAlign w:val="bottom"/>
          </w:tcPr>
          <w:p>
            <w:pPr>
              <w:spacing w:after="0"/>
              <w:rPr>
                <w:sz w:val="15"/>
                <w:szCs w:val="15"/>
                <w:color w:val="auto"/>
              </w:rPr>
            </w:pPr>
          </w:p>
        </w:tc>
        <w:tc>
          <w:tcPr>
            <w:tcW w:w="400" w:type="dxa"/>
            <w:vAlign w:val="bottom"/>
            <w:tcBorders>
              <w:bottom w:val="single" w:sz="8" w:color="004483"/>
            </w:tcBorders>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105,001</w:t>
            </w: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b w:val="1"/>
                <w:bCs w:val="1"/>
                <w:color w:val="auto"/>
              </w:rPr>
              <w:t>88,068</w:t>
            </w:r>
          </w:p>
        </w:tc>
        <w:tc>
          <w:tcPr>
            <w:tcW w:w="160" w:type="dxa"/>
            <w:vAlign w:val="bottom"/>
          </w:tcPr>
          <w:p>
            <w:pPr>
              <w:spacing w:after="0"/>
              <w:rPr>
                <w:sz w:val="15"/>
                <w:szCs w:val="15"/>
                <w:color w:val="auto"/>
              </w:rPr>
            </w:pP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85,316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8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004483"/>
              </w:rPr>
              <w:t>Cement Sales Volume (M tons)</w:t>
            </w:r>
          </w:p>
        </w:tc>
        <w:tc>
          <w:tcPr>
            <w:tcW w:w="400" w:type="dxa"/>
            <w:vAlign w:val="bottom"/>
            <w:tcBorders>
              <w:bottom w:val="single" w:sz="8" w:color="A6A6A6"/>
            </w:tcBorders>
          </w:tcPr>
          <w:p>
            <w:pPr>
              <w:spacing w:after="0"/>
              <w:rPr>
                <w:sz w:val="14"/>
                <w:szCs w:val="14"/>
                <w:color w:val="auto"/>
              </w:rPr>
            </w:pPr>
          </w:p>
        </w:tc>
        <w:tc>
          <w:tcPr>
            <w:tcW w:w="110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400" w:type="dxa"/>
            <w:vAlign w:val="bottom"/>
            <w:tcBorders>
              <w:bottom w:val="single" w:sz="8" w:color="A6A6A6"/>
            </w:tcBorders>
          </w:tcPr>
          <w:p>
            <w:pPr>
              <w:spacing w:after="0"/>
              <w:rPr>
                <w:sz w:val="14"/>
                <w:szCs w:val="14"/>
                <w:color w:val="auto"/>
              </w:rPr>
            </w:pPr>
          </w:p>
        </w:tc>
        <w:tc>
          <w:tcPr>
            <w:tcW w:w="1080" w:type="dxa"/>
            <w:vAlign w:val="bottom"/>
            <w:tcBorders>
              <w:bottom w:val="single" w:sz="8" w:color="A6A6A6"/>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Wholly Owned</w:t>
            </w:r>
          </w:p>
        </w:tc>
        <w:tc>
          <w:tcPr>
            <w:tcW w:w="40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6,711</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6,576</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4,975</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Joint Venture</w:t>
            </w:r>
          </w:p>
        </w:tc>
        <w:tc>
          <w:tcPr>
            <w:tcW w:w="40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823</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color w:val="auto"/>
              </w:rPr>
              <w:t>890</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7,534</w:t>
            </w:r>
          </w:p>
        </w:tc>
        <w:tc>
          <w:tcPr>
            <w:tcW w:w="160" w:type="dxa"/>
            <w:vAlign w:val="bottom"/>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36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b w:val="1"/>
                <w:bCs w:val="1"/>
                <w:color w:val="auto"/>
              </w:rPr>
              <w:t>7,466</w:t>
            </w:r>
          </w:p>
        </w:tc>
        <w:tc>
          <w:tcPr>
            <w:tcW w:w="160" w:type="dxa"/>
            <w:vAlign w:val="bottom"/>
          </w:tcPr>
          <w:p>
            <w:pPr>
              <w:spacing w:after="0"/>
              <w:rPr>
                <w:sz w:val="15"/>
                <w:szCs w:val="15"/>
                <w:color w:val="auto"/>
              </w:rPr>
            </w:pPr>
          </w:p>
        </w:tc>
        <w:tc>
          <w:tcPr>
            <w:tcW w:w="400" w:type="dxa"/>
            <w:vAlign w:val="bottom"/>
            <w:tcBorders>
              <w:bottom w:val="single" w:sz="8" w:color="004483"/>
            </w:tcBorders>
          </w:tcPr>
          <w:p>
            <w:pPr>
              <w:spacing w:after="0"/>
              <w:rPr>
                <w:sz w:val="15"/>
                <w:szCs w:val="15"/>
                <w:color w:val="auto"/>
              </w:rPr>
            </w:pPr>
          </w:p>
        </w:tc>
        <w:tc>
          <w:tcPr>
            <w:tcW w:w="108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5,931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53"/>
        </w:trPr>
        <w:tc>
          <w:tcPr>
            <w:tcW w:w="6460" w:type="dxa"/>
            <w:vAlign w:val="bottom"/>
          </w:tcPr>
          <w:p>
            <w:pPr>
              <w:spacing w:after="0"/>
              <w:rPr>
                <w:sz w:val="13"/>
                <w:szCs w:val="13"/>
                <w:color w:val="auto"/>
              </w:rPr>
            </w:pPr>
          </w:p>
        </w:tc>
        <w:tc>
          <w:tcPr>
            <w:tcW w:w="420" w:type="dxa"/>
            <w:vAlign w:val="bottom"/>
            <w:shd w:val="clear" w:color="auto" w:fill="004483"/>
          </w:tcPr>
          <w:p>
            <w:pPr>
              <w:spacing w:after="0"/>
              <w:rPr>
                <w:sz w:val="13"/>
                <w:szCs w:val="13"/>
                <w:color w:val="auto"/>
              </w:rPr>
            </w:pPr>
          </w:p>
        </w:tc>
        <w:tc>
          <w:tcPr>
            <w:tcW w:w="1100" w:type="dxa"/>
            <w:vAlign w:val="bottom"/>
            <w:tcBorders>
              <w:right w:val="single" w:sz="8" w:color="004483"/>
            </w:tcBorders>
            <w:shd w:val="clear" w:color="auto" w:fill="004483"/>
          </w:tcPr>
          <w:p>
            <w:pPr>
              <w:spacing w:after="0"/>
              <w:rPr>
                <w:sz w:val="13"/>
                <w:szCs w:val="13"/>
                <w:color w:val="auto"/>
              </w:rPr>
            </w:pPr>
          </w:p>
        </w:tc>
        <w:tc>
          <w:tcPr>
            <w:tcW w:w="1780" w:type="dxa"/>
            <w:vAlign w:val="bottom"/>
            <w:gridSpan w:val="4"/>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7"/>
              </w:rPr>
              <w:t>For the Years Ended March 31,</w:t>
            </w:r>
          </w:p>
        </w:tc>
        <w:tc>
          <w:tcPr>
            <w:tcW w:w="400" w:type="dxa"/>
            <w:vAlign w:val="bottom"/>
            <w:shd w:val="clear" w:color="auto" w:fill="004483"/>
          </w:tcPr>
          <w:p>
            <w:pPr>
              <w:spacing w:after="0"/>
              <w:rPr>
                <w:sz w:val="13"/>
                <w:szCs w:val="13"/>
                <w:color w:val="auto"/>
              </w:rPr>
            </w:pPr>
          </w:p>
        </w:tc>
        <w:tc>
          <w:tcPr>
            <w:tcW w:w="1080" w:type="dxa"/>
            <w:vAlign w:val="bottom"/>
            <w:shd w:val="clear" w:color="auto" w:fill="004483"/>
          </w:tcPr>
          <w:p>
            <w:pPr>
              <w:spacing w:after="0"/>
              <w:rPr>
                <w:sz w:val="13"/>
                <w:szCs w:val="13"/>
                <w:color w:val="auto"/>
              </w:rPr>
            </w:pPr>
          </w:p>
        </w:tc>
      </w:tr>
      <w:tr>
        <w:trPr>
          <w:trHeight w:val="134"/>
        </w:trPr>
        <w:tc>
          <w:tcPr>
            <w:tcW w:w="6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jc w:val="right"/>
              <w:ind w:right="60"/>
              <w:spacing w:after="0" w:line="134"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2020</w:t>
            </w:r>
          </w:p>
        </w:tc>
      </w:tr>
      <w:tr>
        <w:trPr>
          <w:trHeight w:val="183"/>
        </w:trPr>
        <w:tc>
          <w:tcPr>
            <w:tcW w:w="646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ind w:left="80"/>
              <w:spacing w:after="0"/>
              <w:rPr>
                <w:sz w:val="20"/>
                <w:szCs w:val="20"/>
                <w:color w:val="auto"/>
              </w:rPr>
            </w:pPr>
            <w:r>
              <w:rPr>
                <w:rFonts w:ascii="Arial" w:cs="Arial" w:eastAsia="Arial" w:hAnsi="Arial"/>
                <w:sz w:val="13"/>
                <w:szCs w:val="13"/>
                <w:color w:val="auto"/>
              </w:rPr>
              <w:t>(dollars in thousands)</w:t>
            </w:r>
          </w:p>
        </w:tc>
        <w:tc>
          <w:tcPr>
            <w:tcW w:w="400" w:type="dxa"/>
            <w:vAlign w:val="bottom"/>
            <w:tcBorders>
              <w:bottom w:val="single" w:sz="8" w:color="004483"/>
            </w:tcBorders>
          </w:tcPr>
          <w:p>
            <w:pPr>
              <w:spacing w:after="0"/>
              <w:rPr>
                <w:sz w:val="15"/>
                <w:szCs w:val="15"/>
                <w:color w:val="auto"/>
              </w:rPr>
            </w:pPr>
          </w:p>
        </w:tc>
        <w:tc>
          <w:tcPr>
            <w:tcW w:w="1080" w:type="dxa"/>
            <w:vAlign w:val="bottom"/>
            <w:tcBorders>
              <w:bottom w:val="single" w:sz="8" w:color="004483"/>
            </w:tcBorders>
          </w:tcPr>
          <w:p>
            <w:pPr>
              <w:spacing w:after="0"/>
              <w:rPr>
                <w:sz w:val="15"/>
                <w:szCs w:val="15"/>
                <w:color w:val="auto"/>
              </w:rPr>
            </w:pPr>
          </w:p>
        </w:tc>
      </w:tr>
      <w:tr>
        <w:trPr>
          <w:trHeight w:val="189"/>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Operating Earnings</w:t>
            </w:r>
          </w:p>
        </w:tc>
        <w:tc>
          <w:tcPr>
            <w:tcW w:w="42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36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1080" w:type="dxa"/>
            <w:vAlign w:val="bottom"/>
            <w:tcBorders>
              <w:bottom w:val="single" w:sz="8" w:color="A6A6A6"/>
            </w:tcBorders>
          </w:tcPr>
          <w:p>
            <w:pPr>
              <w:spacing w:after="0"/>
              <w:rPr>
                <w:sz w:val="16"/>
                <w:szCs w:val="16"/>
                <w:color w:val="auto"/>
              </w:rPr>
            </w:pP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3983C5"/>
              </w:rPr>
              <w:t>Cement</w:t>
            </w:r>
          </w:p>
        </w:tc>
        <w:tc>
          <w:tcPr>
            <w:tcW w:w="420" w:type="dxa"/>
            <w:vAlign w:val="bottom"/>
            <w:tcBorders>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259,556</w:t>
            </w:r>
          </w:p>
        </w:tc>
        <w:tc>
          <w:tcPr>
            <w:tcW w:w="2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233,957</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181,330</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Concrete and Aggregates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18,467</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19,054</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17,558</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77943C"/>
              </w:rPr>
              <w:t>Gypsum Wallboard</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261,476</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167,336</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154,614</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AEB949"/>
              </w:rPr>
              <w:t>Paperboard</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12,603</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25,449</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34,979</w:t>
            </w:r>
          </w:p>
        </w:tc>
      </w:tr>
      <w:tr>
        <w:trPr>
          <w:trHeight w:val="209"/>
        </w:trPr>
        <w:tc>
          <w:tcPr>
            <w:tcW w:w="6460" w:type="dxa"/>
            <w:vAlign w:val="bottom"/>
          </w:tcPr>
          <w:p>
            <w:pPr>
              <w:ind w:left="200"/>
              <w:spacing w:after="0" w:line="183" w:lineRule="exact"/>
              <w:rPr>
                <w:sz w:val="20"/>
                <w:szCs w:val="20"/>
                <w:color w:val="auto"/>
              </w:rPr>
            </w:pPr>
            <w:r>
              <w:rPr>
                <w:rFonts w:ascii="Arial" w:cs="Arial" w:eastAsia="Arial" w:hAnsi="Arial"/>
                <w:sz w:val="16"/>
                <w:szCs w:val="16"/>
                <w:color w:val="004483"/>
              </w:rPr>
              <w:t>Other</w:t>
            </w:r>
          </w:p>
        </w:tc>
        <w:tc>
          <w:tcPr>
            <w:tcW w:w="420" w:type="dxa"/>
            <w:vAlign w:val="bottom"/>
          </w:tcPr>
          <w:p>
            <w:pPr>
              <w:spacing w:after="0"/>
              <w:rPr>
                <w:sz w:val="18"/>
                <w:szCs w:val="18"/>
                <w:color w:val="auto"/>
              </w:rPr>
            </w:pPr>
          </w:p>
        </w:tc>
        <w:tc>
          <w:tcPr>
            <w:tcW w:w="11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(3,230 )</w:t>
            </w:r>
          </w:p>
        </w:tc>
      </w:tr>
      <w:tr>
        <w:trPr>
          <w:trHeight w:val="183"/>
        </w:trPr>
        <w:tc>
          <w:tcPr>
            <w:tcW w:w="6460" w:type="dxa"/>
            <w:vAlign w:val="bottom"/>
            <w:tcBorders>
              <w:top w:val="single" w:sz="8" w:color="A6A6A6"/>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Sub-Total</w:t>
            </w:r>
          </w:p>
        </w:tc>
        <w:tc>
          <w:tcPr>
            <w:tcW w:w="420" w:type="dxa"/>
            <w:vAlign w:val="bottom"/>
            <w:tcBorders>
              <w:top w:val="single" w:sz="8" w:color="004483"/>
              <w:bottom w:val="single" w:sz="8" w:color="A6A6A6"/>
            </w:tcBorders>
          </w:tcPr>
          <w:p>
            <w:pPr>
              <w:spacing w:after="0"/>
              <w:rPr>
                <w:sz w:val="15"/>
                <w:szCs w:val="15"/>
                <w:color w:val="auto"/>
              </w:rPr>
            </w:pPr>
          </w:p>
        </w:tc>
        <w:tc>
          <w:tcPr>
            <w:tcW w:w="1100" w:type="dxa"/>
            <w:vAlign w:val="bottom"/>
            <w:tcBorders>
              <w:top w:val="single" w:sz="8" w:color="004483"/>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552,102</w:t>
            </w:r>
          </w:p>
        </w:tc>
        <w:tc>
          <w:tcPr>
            <w:tcW w:w="160" w:type="dxa"/>
            <w:vAlign w:val="bottom"/>
            <w:tcBorders>
              <w:top w:val="single" w:sz="8" w:color="A6A6A6"/>
              <w:bottom w:val="single" w:sz="8" w:color="A6A6A6"/>
            </w:tcBorders>
          </w:tcPr>
          <w:p>
            <w:pPr>
              <w:spacing w:after="0"/>
              <w:rPr>
                <w:sz w:val="15"/>
                <w:szCs w:val="15"/>
                <w:color w:val="auto"/>
              </w:rPr>
            </w:pPr>
          </w:p>
        </w:tc>
        <w:tc>
          <w:tcPr>
            <w:tcW w:w="100" w:type="dxa"/>
            <w:vAlign w:val="bottom"/>
            <w:tcBorders>
              <w:top w:val="single" w:sz="8" w:color="004483"/>
              <w:bottom w:val="single" w:sz="8" w:color="A6A6A6"/>
            </w:tcBorders>
          </w:tcPr>
          <w:p>
            <w:pPr>
              <w:spacing w:after="0"/>
              <w:rPr>
                <w:sz w:val="15"/>
                <w:szCs w:val="15"/>
                <w:color w:val="auto"/>
              </w:rPr>
            </w:pPr>
          </w:p>
        </w:tc>
        <w:tc>
          <w:tcPr>
            <w:tcW w:w="1360" w:type="dxa"/>
            <w:vAlign w:val="bottom"/>
            <w:tcBorders>
              <w:top w:val="single" w:sz="8" w:color="004483"/>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445,796</w:t>
            </w:r>
          </w:p>
        </w:tc>
        <w:tc>
          <w:tcPr>
            <w:tcW w:w="160" w:type="dxa"/>
            <w:vAlign w:val="bottom"/>
            <w:tcBorders>
              <w:top w:val="single" w:sz="8" w:color="A6A6A6"/>
              <w:bottom w:val="single" w:sz="8" w:color="A6A6A6"/>
            </w:tcBorders>
          </w:tcPr>
          <w:p>
            <w:pPr>
              <w:spacing w:after="0"/>
              <w:rPr>
                <w:sz w:val="15"/>
                <w:szCs w:val="15"/>
                <w:color w:val="auto"/>
              </w:rPr>
            </w:pPr>
          </w:p>
        </w:tc>
        <w:tc>
          <w:tcPr>
            <w:tcW w:w="400" w:type="dxa"/>
            <w:vAlign w:val="bottom"/>
            <w:tcBorders>
              <w:top w:val="single" w:sz="8" w:color="004483"/>
              <w:bottom w:val="single" w:sz="8" w:color="A6A6A6"/>
            </w:tcBorders>
          </w:tcPr>
          <w:p>
            <w:pPr>
              <w:spacing w:after="0"/>
              <w:rPr>
                <w:sz w:val="15"/>
                <w:szCs w:val="15"/>
                <w:color w:val="auto"/>
              </w:rPr>
            </w:pPr>
          </w:p>
        </w:tc>
        <w:tc>
          <w:tcPr>
            <w:tcW w:w="1080" w:type="dxa"/>
            <w:vAlign w:val="bottom"/>
            <w:tcBorders>
              <w:top w:val="single" w:sz="8" w:color="004483"/>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385,251</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Corporate General and Administrative Expense</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(46,801 )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(49,511 )</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(65,410 )</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Loss on Early Retirement of Senior Notes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(8,407 )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20" w:type="dxa"/>
            <w:vAlign w:val="bottom"/>
            <w:tcBorders>
              <w:bottom w:val="single" w:sz="8" w:color="A6A6A6"/>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Gain on Sale of Businesses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51,973</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Impairment Losses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20" w:type="dxa"/>
            <w:vAlign w:val="bottom"/>
            <w:tcBorders>
              <w:bottom w:val="single" w:sz="8" w:color="A6A6A6"/>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(25,131 )</w:t>
            </w:r>
          </w:p>
        </w:tc>
      </w:tr>
      <w:tr>
        <w:trPr>
          <w:trHeight w:val="210"/>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Non-Operating Income (Loss)</w:t>
            </w:r>
          </w:p>
        </w:tc>
        <w:tc>
          <w:tcPr>
            <w:tcW w:w="42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color w:val="auto"/>
              </w:rPr>
              <w:t>9,073</w:t>
            </w: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20,274</w:t>
            </w:r>
          </w:p>
        </w:tc>
        <w:tc>
          <w:tcPr>
            <w:tcW w:w="16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(594 )</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Earnings Before Interest and Income Taxes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505,967</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468,532</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294,116</w:t>
            </w:r>
          </w:p>
        </w:tc>
      </w:tr>
      <w:tr>
        <w:trPr>
          <w:trHeight w:val="183"/>
        </w:trPr>
        <w:tc>
          <w:tcPr>
            <w:tcW w:w="6460" w:type="dxa"/>
            <w:vAlign w:val="bottom"/>
          </w:tcPr>
          <w:p>
            <w:pPr>
              <w:ind w:left="200"/>
              <w:spacing w:after="0" w:line="183" w:lineRule="exact"/>
              <w:rPr>
                <w:sz w:val="20"/>
                <w:szCs w:val="20"/>
                <w:color w:val="auto"/>
              </w:rPr>
            </w:pPr>
            <w:r>
              <w:rPr>
                <w:rFonts w:ascii="Arial" w:cs="Arial" w:eastAsia="Arial" w:hAnsi="Arial"/>
                <w:sz w:val="16"/>
                <w:szCs w:val="16"/>
                <w:color w:val="004483"/>
              </w:rPr>
              <w:t>Interest Expense, net</w:t>
            </w:r>
          </w:p>
        </w:tc>
        <w:tc>
          <w:tcPr>
            <w:tcW w:w="4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(30,873 )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(44,420 )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(38,421 )</w:t>
            </w:r>
          </w:p>
        </w:tc>
      </w:tr>
      <w:tr>
        <w:trPr>
          <w:trHeight w:val="27"/>
        </w:trPr>
        <w:tc>
          <w:tcPr>
            <w:tcW w:w="646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r>
      <w:tr>
        <w:trPr>
          <w:trHeight w:val="183"/>
        </w:trPr>
        <w:tc>
          <w:tcPr>
            <w:tcW w:w="6460" w:type="dxa"/>
            <w:vAlign w:val="bottom"/>
          </w:tcPr>
          <w:p>
            <w:pPr>
              <w:ind w:left="200"/>
              <w:spacing w:after="0" w:line="183" w:lineRule="exact"/>
              <w:rPr>
                <w:sz w:val="20"/>
                <w:szCs w:val="20"/>
                <w:color w:val="auto"/>
              </w:rPr>
            </w:pPr>
            <w:r>
              <w:rPr>
                <w:rFonts w:ascii="Arial" w:cs="Arial" w:eastAsia="Arial" w:hAnsi="Arial"/>
                <w:sz w:val="16"/>
                <w:szCs w:val="16"/>
                <w:b w:val="1"/>
                <w:bCs w:val="1"/>
                <w:color w:val="004483"/>
              </w:rPr>
              <w:t>Earnings Before Income Taxes</w:t>
            </w: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475,094</w:t>
            </w: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424,112</w:t>
            </w:r>
          </w:p>
        </w:tc>
        <w:tc>
          <w:tcPr>
            <w:tcW w:w="160" w:type="dxa"/>
            <w:vAlign w:val="bottom"/>
          </w:tcPr>
          <w:p>
            <w:pPr>
              <w:spacing w:after="0"/>
              <w:rPr>
                <w:sz w:val="15"/>
                <w:szCs w:val="15"/>
                <w:color w:val="auto"/>
              </w:rPr>
            </w:pP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255,695</w:t>
            </w:r>
          </w:p>
        </w:tc>
      </w:tr>
      <w:tr>
        <w:trPr>
          <w:trHeight w:val="20"/>
        </w:trPr>
        <w:tc>
          <w:tcPr>
            <w:tcW w:w="646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69"/>
        </w:trPr>
        <w:tc>
          <w:tcPr>
            <w:tcW w:w="646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color w:val="004483"/>
              </w:rPr>
              <w:t>Cement Operating Earnings</w:t>
            </w:r>
          </w:p>
        </w:tc>
        <w:tc>
          <w:tcPr>
            <w:tcW w:w="420" w:type="dxa"/>
            <w:vAlign w:val="bottom"/>
            <w:tcBorders>
              <w:bottom w:val="single" w:sz="8" w:color="A6A6A6"/>
            </w:tcBorders>
          </w:tcPr>
          <w:p>
            <w:pPr>
              <w:spacing w:after="0"/>
              <w:rPr>
                <w:sz w:val="14"/>
                <w:szCs w:val="14"/>
                <w:color w:val="auto"/>
              </w:rPr>
            </w:pPr>
          </w:p>
        </w:tc>
        <w:tc>
          <w:tcPr>
            <w:tcW w:w="110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400" w:type="dxa"/>
            <w:vAlign w:val="bottom"/>
            <w:tcBorders>
              <w:bottom w:val="single" w:sz="8" w:color="A6A6A6"/>
            </w:tcBorders>
          </w:tcPr>
          <w:p>
            <w:pPr>
              <w:spacing w:after="0"/>
              <w:rPr>
                <w:sz w:val="14"/>
                <w:szCs w:val="14"/>
                <w:color w:val="auto"/>
              </w:rPr>
            </w:pPr>
          </w:p>
        </w:tc>
        <w:tc>
          <w:tcPr>
            <w:tcW w:w="1080" w:type="dxa"/>
            <w:vAlign w:val="bottom"/>
            <w:tcBorders>
              <w:bottom w:val="single" w:sz="8" w:color="A6A6A6"/>
            </w:tcBorders>
          </w:tcPr>
          <w:p>
            <w:pPr>
              <w:spacing w:after="0"/>
              <w:rPr>
                <w:sz w:val="14"/>
                <w:szCs w:val="14"/>
                <w:color w:val="auto"/>
              </w:rPr>
            </w:pP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Wholly Owned</w:t>
            </w:r>
          </w:p>
        </w:tc>
        <w:tc>
          <w:tcPr>
            <w:tcW w:w="420" w:type="dxa"/>
            <w:vAlign w:val="bottom"/>
            <w:tcBorders>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227,068</w:t>
            </w:r>
          </w:p>
        </w:tc>
        <w:tc>
          <w:tcPr>
            <w:tcW w:w="2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196,516</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138,745</w:t>
            </w:r>
          </w:p>
        </w:tc>
      </w:tr>
      <w:tr>
        <w:trPr>
          <w:trHeight w:val="183"/>
        </w:trPr>
        <w:tc>
          <w:tcPr>
            <w:tcW w:w="6460" w:type="dxa"/>
            <w:vAlign w:val="bottom"/>
          </w:tcPr>
          <w:p>
            <w:pPr>
              <w:ind w:left="200"/>
              <w:spacing w:after="0" w:line="183" w:lineRule="exact"/>
              <w:rPr>
                <w:sz w:val="20"/>
                <w:szCs w:val="20"/>
                <w:color w:val="auto"/>
              </w:rPr>
            </w:pPr>
            <w:r>
              <w:rPr>
                <w:rFonts w:ascii="Arial" w:cs="Arial" w:eastAsia="Arial" w:hAnsi="Arial"/>
                <w:sz w:val="16"/>
                <w:szCs w:val="16"/>
                <w:color w:val="004483"/>
              </w:rPr>
              <w:t>Joint Venture</w:t>
            </w:r>
          </w:p>
        </w:tc>
        <w:tc>
          <w:tcPr>
            <w:tcW w:w="420" w:type="dxa"/>
            <w:vAlign w:val="bottom"/>
          </w:tcPr>
          <w:p>
            <w:pPr>
              <w:spacing w:after="0"/>
              <w:rPr>
                <w:sz w:val="15"/>
                <w:szCs w:val="15"/>
                <w:color w:val="auto"/>
              </w:rPr>
            </w:pPr>
          </w:p>
        </w:tc>
        <w:tc>
          <w:tcPr>
            <w:tcW w:w="11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32,488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1"/>
              <w:spacing w:after="0" w:line="183" w:lineRule="exact"/>
              <w:rPr>
                <w:sz w:val="20"/>
                <w:szCs w:val="20"/>
                <w:color w:val="auto"/>
              </w:rPr>
            </w:pPr>
            <w:r>
              <w:rPr>
                <w:rFonts w:ascii="Arial" w:cs="Arial" w:eastAsia="Arial" w:hAnsi="Arial"/>
                <w:sz w:val="16"/>
                <w:szCs w:val="16"/>
                <w:color w:val="auto"/>
              </w:rPr>
              <w:t>37,441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42,585</w:t>
            </w:r>
          </w:p>
        </w:tc>
      </w:tr>
      <w:tr>
        <w:trPr>
          <w:trHeight w:val="27"/>
        </w:trPr>
        <w:tc>
          <w:tcPr>
            <w:tcW w:w="646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r>
      <w:tr>
        <w:trPr>
          <w:trHeight w:val="183"/>
        </w:trPr>
        <w:tc>
          <w:tcPr>
            <w:tcW w:w="646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259,556</w:t>
            </w: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233,957</w:t>
            </w:r>
          </w:p>
        </w:tc>
        <w:tc>
          <w:tcPr>
            <w:tcW w:w="160" w:type="dxa"/>
            <w:vAlign w:val="bottom"/>
          </w:tcPr>
          <w:p>
            <w:pPr>
              <w:spacing w:after="0"/>
              <w:rPr>
                <w:sz w:val="15"/>
                <w:szCs w:val="15"/>
                <w:color w:val="auto"/>
              </w:rPr>
            </w:pP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181,330</w:t>
            </w:r>
          </w:p>
        </w:tc>
      </w:tr>
      <w:tr>
        <w:trPr>
          <w:trHeight w:val="20"/>
        </w:trPr>
        <w:tc>
          <w:tcPr>
            <w:tcW w:w="646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69"/>
        </w:trPr>
        <w:tc>
          <w:tcPr>
            <w:tcW w:w="646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Capital Expenditures</w:t>
            </w:r>
          </w:p>
        </w:tc>
        <w:tc>
          <w:tcPr>
            <w:tcW w:w="420" w:type="dxa"/>
            <w:vAlign w:val="bottom"/>
            <w:tcBorders>
              <w:bottom w:val="single" w:sz="8" w:color="A6A6A6"/>
            </w:tcBorders>
          </w:tcPr>
          <w:p>
            <w:pPr>
              <w:spacing w:after="0"/>
              <w:rPr>
                <w:sz w:val="14"/>
                <w:szCs w:val="14"/>
                <w:color w:val="auto"/>
              </w:rPr>
            </w:pPr>
          </w:p>
        </w:tc>
        <w:tc>
          <w:tcPr>
            <w:tcW w:w="110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400" w:type="dxa"/>
            <w:vAlign w:val="bottom"/>
            <w:tcBorders>
              <w:bottom w:val="single" w:sz="8" w:color="A6A6A6"/>
            </w:tcBorders>
          </w:tcPr>
          <w:p>
            <w:pPr>
              <w:spacing w:after="0"/>
              <w:rPr>
                <w:sz w:val="14"/>
                <w:szCs w:val="14"/>
                <w:color w:val="auto"/>
              </w:rPr>
            </w:pPr>
          </w:p>
        </w:tc>
        <w:tc>
          <w:tcPr>
            <w:tcW w:w="1080" w:type="dxa"/>
            <w:vAlign w:val="bottom"/>
            <w:tcBorders>
              <w:bottom w:val="single" w:sz="8" w:color="A6A6A6"/>
            </w:tcBorders>
          </w:tcPr>
          <w:p>
            <w:pPr>
              <w:spacing w:after="0"/>
              <w:rPr>
                <w:sz w:val="14"/>
                <w:szCs w:val="14"/>
                <w:color w:val="auto"/>
              </w:rPr>
            </w:pP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3983C5"/>
              </w:rPr>
              <w:t>Cement</w:t>
            </w:r>
          </w:p>
        </w:tc>
        <w:tc>
          <w:tcPr>
            <w:tcW w:w="420" w:type="dxa"/>
            <w:vAlign w:val="bottom"/>
            <w:tcBorders>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31,535</w:t>
            </w:r>
          </w:p>
        </w:tc>
        <w:tc>
          <w:tcPr>
            <w:tcW w:w="2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26,708</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44,776</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Concrete and Aggregates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5,239</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3,114</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11,898</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77943C"/>
              </w:rPr>
              <w:t>Gypsum Wallboard</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32,405</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12,889</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12,771</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AEB949"/>
              </w:rPr>
              <w:t>Paperboard</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2,579</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11,222</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62,528</w:t>
            </w:r>
          </w:p>
        </w:tc>
      </w:tr>
      <w:tr>
        <w:trPr>
          <w:trHeight w:val="183"/>
        </w:trPr>
        <w:tc>
          <w:tcPr>
            <w:tcW w:w="6460" w:type="dxa"/>
            <w:vAlign w:val="bottom"/>
          </w:tcPr>
          <w:p>
            <w:pPr>
              <w:ind w:left="200"/>
              <w:spacing w:after="0" w:line="183" w:lineRule="exact"/>
              <w:rPr>
                <w:sz w:val="20"/>
                <w:szCs w:val="20"/>
                <w:color w:val="auto"/>
              </w:rPr>
            </w:pPr>
            <w:r>
              <w:rPr>
                <w:rFonts w:ascii="Arial" w:cs="Arial" w:eastAsia="Arial" w:hAnsi="Arial"/>
                <w:sz w:val="16"/>
                <w:szCs w:val="16"/>
                <w:color w:val="004483"/>
              </w:rPr>
              <w:t>Corporate and Other</w:t>
            </w:r>
          </w:p>
        </w:tc>
        <w:tc>
          <w:tcPr>
            <w:tcW w:w="420" w:type="dxa"/>
            <w:vAlign w:val="bottom"/>
          </w:tcPr>
          <w:p>
            <w:pPr>
              <w:spacing w:after="0"/>
              <w:rPr>
                <w:sz w:val="15"/>
                <w:szCs w:val="15"/>
                <w:color w:val="auto"/>
              </w:rPr>
            </w:pPr>
          </w:p>
        </w:tc>
        <w:tc>
          <w:tcPr>
            <w:tcW w:w="11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2,363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c>
          <w:tcPr>
            <w:tcW w:w="10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27"/>
        </w:trPr>
        <w:tc>
          <w:tcPr>
            <w:tcW w:w="646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r>
      <w:tr>
        <w:trPr>
          <w:trHeight w:val="183"/>
        </w:trPr>
        <w:tc>
          <w:tcPr>
            <w:tcW w:w="646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74,121</w:t>
            </w: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53,933</w:t>
            </w:r>
          </w:p>
        </w:tc>
        <w:tc>
          <w:tcPr>
            <w:tcW w:w="160" w:type="dxa"/>
            <w:vAlign w:val="bottom"/>
          </w:tcPr>
          <w:p>
            <w:pPr>
              <w:spacing w:after="0"/>
              <w:rPr>
                <w:sz w:val="15"/>
                <w:szCs w:val="15"/>
                <w:color w:val="auto"/>
              </w:rPr>
            </w:pP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131,973</w:t>
            </w:r>
          </w:p>
        </w:tc>
      </w:tr>
      <w:tr>
        <w:trPr>
          <w:trHeight w:val="20"/>
        </w:trPr>
        <w:tc>
          <w:tcPr>
            <w:tcW w:w="646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70"/>
        </w:trPr>
        <w:tc>
          <w:tcPr>
            <w:tcW w:w="646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Depreciation, Depletion, and Amortization</w:t>
            </w:r>
          </w:p>
        </w:tc>
        <w:tc>
          <w:tcPr>
            <w:tcW w:w="420" w:type="dxa"/>
            <w:vAlign w:val="bottom"/>
            <w:tcBorders>
              <w:bottom w:val="single" w:sz="8" w:color="A6A6A6"/>
            </w:tcBorders>
          </w:tcPr>
          <w:p>
            <w:pPr>
              <w:spacing w:after="0"/>
              <w:rPr>
                <w:sz w:val="14"/>
                <w:szCs w:val="14"/>
                <w:color w:val="auto"/>
              </w:rPr>
            </w:pPr>
          </w:p>
        </w:tc>
        <w:tc>
          <w:tcPr>
            <w:tcW w:w="110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spacing w:after="0"/>
              <w:rPr>
                <w:sz w:val="14"/>
                <w:szCs w:val="14"/>
                <w:color w:val="auto"/>
              </w:rPr>
            </w:pPr>
          </w:p>
        </w:tc>
        <w:tc>
          <w:tcPr>
            <w:tcW w:w="1360" w:type="dxa"/>
            <w:vAlign w:val="bottom"/>
            <w:tcBorders>
              <w:bottom w:val="single" w:sz="8" w:color="A6A6A6"/>
            </w:tcBorders>
          </w:tcPr>
          <w:p>
            <w:pPr>
              <w:spacing w:after="0"/>
              <w:rPr>
                <w:sz w:val="14"/>
                <w:szCs w:val="14"/>
                <w:color w:val="auto"/>
              </w:rPr>
            </w:pPr>
          </w:p>
        </w:tc>
        <w:tc>
          <w:tcPr>
            <w:tcW w:w="160" w:type="dxa"/>
            <w:vAlign w:val="bottom"/>
            <w:tcBorders>
              <w:bottom w:val="single" w:sz="8" w:color="A6A6A6"/>
            </w:tcBorders>
          </w:tcPr>
          <w:p>
            <w:pPr>
              <w:spacing w:after="0"/>
              <w:rPr>
                <w:sz w:val="14"/>
                <w:szCs w:val="14"/>
                <w:color w:val="auto"/>
              </w:rPr>
            </w:pPr>
          </w:p>
        </w:tc>
        <w:tc>
          <w:tcPr>
            <w:tcW w:w="400" w:type="dxa"/>
            <w:vAlign w:val="bottom"/>
            <w:tcBorders>
              <w:bottom w:val="single" w:sz="8" w:color="A6A6A6"/>
            </w:tcBorders>
          </w:tcPr>
          <w:p>
            <w:pPr>
              <w:spacing w:after="0"/>
              <w:rPr>
                <w:sz w:val="14"/>
                <w:szCs w:val="14"/>
                <w:color w:val="auto"/>
              </w:rPr>
            </w:pPr>
          </w:p>
        </w:tc>
        <w:tc>
          <w:tcPr>
            <w:tcW w:w="1080" w:type="dxa"/>
            <w:vAlign w:val="bottom"/>
            <w:tcBorders>
              <w:bottom w:val="single" w:sz="8" w:color="A6A6A6"/>
            </w:tcBorders>
          </w:tcPr>
          <w:p>
            <w:pPr>
              <w:spacing w:after="0"/>
              <w:rPr>
                <w:sz w:val="14"/>
                <w:szCs w:val="14"/>
                <w:color w:val="auto"/>
              </w:rPr>
            </w:pP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3983C5"/>
              </w:rPr>
              <w:t>Cement</w:t>
            </w:r>
          </w:p>
        </w:tc>
        <w:tc>
          <w:tcPr>
            <w:tcW w:w="420" w:type="dxa"/>
            <w:vAlign w:val="bottom"/>
            <w:tcBorders>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79,560</w:t>
            </w:r>
          </w:p>
        </w:tc>
        <w:tc>
          <w:tcPr>
            <w:tcW w:w="2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77,524</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59,081</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Concrete and Aggregates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9,656</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10,807</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11,142</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77943C"/>
              </w:rPr>
              <w:t>Gypsum Wallboard</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22,024</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21,646</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20,320</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AEB949"/>
              </w:rPr>
              <w:t>Paperboard</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14,721</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13,913</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8,945</w:t>
            </w:r>
          </w:p>
        </w:tc>
      </w:tr>
      <w:tr>
        <w:trPr>
          <w:trHeight w:val="183"/>
        </w:trPr>
        <w:tc>
          <w:tcPr>
            <w:tcW w:w="6460" w:type="dxa"/>
            <w:vAlign w:val="bottom"/>
          </w:tcPr>
          <w:p>
            <w:pPr>
              <w:ind w:left="200"/>
              <w:spacing w:after="0" w:line="183" w:lineRule="exact"/>
              <w:rPr>
                <w:sz w:val="20"/>
                <w:szCs w:val="20"/>
                <w:color w:val="auto"/>
              </w:rPr>
            </w:pPr>
            <w:r>
              <w:rPr>
                <w:rFonts w:ascii="Arial" w:cs="Arial" w:eastAsia="Arial" w:hAnsi="Arial"/>
                <w:sz w:val="16"/>
                <w:szCs w:val="16"/>
                <w:color w:val="004483"/>
              </w:rPr>
              <w:t>Corporate and Other</w:t>
            </w:r>
          </w:p>
        </w:tc>
        <w:tc>
          <w:tcPr>
            <w:tcW w:w="420" w:type="dxa"/>
            <w:vAlign w:val="bottom"/>
          </w:tcPr>
          <w:p>
            <w:pPr>
              <w:spacing w:after="0"/>
              <w:rPr>
                <w:sz w:val="15"/>
                <w:szCs w:val="15"/>
                <w:color w:val="auto"/>
              </w:rPr>
            </w:pPr>
          </w:p>
        </w:tc>
        <w:tc>
          <w:tcPr>
            <w:tcW w:w="11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2,850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1"/>
              <w:spacing w:after="0" w:line="183" w:lineRule="exact"/>
              <w:rPr>
                <w:sz w:val="20"/>
                <w:szCs w:val="20"/>
                <w:color w:val="auto"/>
              </w:rPr>
            </w:pPr>
            <w:r>
              <w:rPr>
                <w:rFonts w:ascii="Arial" w:cs="Arial" w:eastAsia="Arial" w:hAnsi="Arial"/>
                <w:sz w:val="16"/>
                <w:szCs w:val="16"/>
                <w:color w:val="auto"/>
              </w:rPr>
              <w:t>4,976</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2,720</w:t>
            </w:r>
          </w:p>
        </w:tc>
      </w:tr>
      <w:tr>
        <w:trPr>
          <w:trHeight w:val="27"/>
        </w:trPr>
        <w:tc>
          <w:tcPr>
            <w:tcW w:w="646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r>
      <w:tr>
        <w:trPr>
          <w:trHeight w:val="183"/>
        </w:trPr>
        <w:tc>
          <w:tcPr>
            <w:tcW w:w="646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128,811</w:t>
            </w: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128,866</w:t>
            </w:r>
          </w:p>
        </w:tc>
        <w:tc>
          <w:tcPr>
            <w:tcW w:w="160" w:type="dxa"/>
            <w:vAlign w:val="bottom"/>
          </w:tcPr>
          <w:p>
            <w:pPr>
              <w:spacing w:after="0"/>
              <w:rPr>
                <w:sz w:val="15"/>
                <w:szCs w:val="15"/>
                <w:color w:val="auto"/>
              </w:rPr>
            </w:pP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102,208</w:t>
            </w:r>
          </w:p>
        </w:tc>
      </w:tr>
      <w:tr>
        <w:trPr>
          <w:trHeight w:val="20"/>
        </w:trPr>
        <w:tc>
          <w:tcPr>
            <w:tcW w:w="646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183"/>
        </w:trPr>
        <w:tc>
          <w:tcPr>
            <w:tcW w:w="6460" w:type="dxa"/>
            <w:vAlign w:val="bottom"/>
            <w:tcBorders>
              <w:bottom w:val="single" w:sz="8" w:color="A6A6A6"/>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spacing w:after="0"/>
              <w:rPr>
                <w:sz w:val="15"/>
                <w:szCs w:val="15"/>
                <w:color w:val="auto"/>
              </w:rPr>
            </w:pPr>
          </w:p>
        </w:tc>
      </w:tr>
      <w:tr>
        <w:trPr>
          <w:trHeight w:val="183"/>
        </w:trPr>
        <w:tc>
          <w:tcPr>
            <w:tcW w:w="6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Discontinued Operations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spacing w:after="0"/>
              <w:rPr>
                <w:sz w:val="15"/>
                <w:szCs w:val="15"/>
                <w:color w:val="auto"/>
              </w:rPr>
            </w:pPr>
          </w:p>
        </w:tc>
      </w:tr>
      <w:tr>
        <w:trPr>
          <w:trHeight w:val="183"/>
        </w:trPr>
        <w:tc>
          <w:tcPr>
            <w:tcW w:w="6460" w:type="dxa"/>
            <w:vAlign w:val="bottom"/>
          </w:tcPr>
          <w:p>
            <w:pPr>
              <w:ind w:left="200"/>
              <w:spacing w:after="0" w:line="183" w:lineRule="exact"/>
              <w:rPr>
                <w:sz w:val="20"/>
                <w:szCs w:val="20"/>
                <w:color w:val="auto"/>
              </w:rPr>
            </w:pPr>
            <w:r>
              <w:rPr>
                <w:rFonts w:ascii="Arial" w:cs="Arial" w:eastAsia="Arial" w:hAnsi="Arial"/>
                <w:sz w:val="16"/>
                <w:szCs w:val="16"/>
                <w:color w:val="004483"/>
              </w:rPr>
              <w:t>Capital Expenditures</w:t>
            </w:r>
          </w:p>
        </w:tc>
        <w:tc>
          <w:tcPr>
            <w:tcW w:w="420" w:type="dxa"/>
            <w:vAlign w:val="bottom"/>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gridSpan w:val="2"/>
          </w:tcPr>
          <w:p>
            <w:pPr>
              <w:jc w:val="right"/>
              <w:ind w:right="280"/>
              <w:spacing w:after="0" w:line="183" w:lineRule="exact"/>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0"/>
              <w:spacing w:after="0" w:line="183" w:lineRule="exact"/>
              <w:rPr>
                <w:sz w:val="20"/>
                <w:szCs w:val="20"/>
                <w:color w:val="auto"/>
              </w:rPr>
            </w:pPr>
            <w:r>
              <w:rPr>
                <w:rFonts w:ascii="Arial" w:cs="Arial" w:eastAsia="Arial" w:hAnsi="Arial"/>
                <w:sz w:val="16"/>
                <w:szCs w:val="16"/>
                <w:b w:val="1"/>
                <w:bCs w:val="1"/>
                <w:color w:val="auto"/>
              </w:rPr>
              <w:t>146</w:t>
            </w:r>
          </w:p>
        </w:tc>
      </w:tr>
      <w:tr>
        <w:trPr>
          <w:trHeight w:val="20"/>
        </w:trPr>
        <w:tc>
          <w:tcPr>
            <w:tcW w:w="6460" w:type="dxa"/>
            <w:vAlign w:val="bottom"/>
            <w:tcBorders>
              <w:bottom w:val="single" w:sz="8" w:color="A6A6A6"/>
            </w:tcBorders>
          </w:tcPr>
          <w:p>
            <w:pPr>
              <w:spacing w:after="0" w:line="20" w:lineRule="exact"/>
              <w:rPr>
                <w:sz w:val="1"/>
                <w:szCs w:val="1"/>
                <w:color w:val="auto"/>
              </w:rPr>
            </w:pPr>
          </w:p>
        </w:tc>
        <w:tc>
          <w:tcPr>
            <w:tcW w:w="420" w:type="dxa"/>
            <w:vAlign w:val="bottom"/>
            <w:tcBorders>
              <w:top w:val="single" w:sz="8" w:color="004483"/>
              <w:bottom w:val="single" w:sz="8" w:color="004483"/>
            </w:tcBorders>
          </w:tcPr>
          <w:p>
            <w:pPr>
              <w:spacing w:after="0" w:line="20" w:lineRule="exact"/>
              <w:rPr>
                <w:sz w:val="1"/>
                <w:szCs w:val="1"/>
                <w:color w:val="auto"/>
              </w:rPr>
            </w:pPr>
          </w:p>
        </w:tc>
        <w:tc>
          <w:tcPr>
            <w:tcW w:w="1100" w:type="dxa"/>
            <w:vAlign w:val="bottom"/>
            <w:tcBorders>
              <w:top w:val="single" w:sz="8" w:color="004483"/>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top w:val="single" w:sz="8" w:color="004483"/>
              <w:bottom w:val="single" w:sz="8" w:color="004483"/>
            </w:tcBorders>
          </w:tcPr>
          <w:p>
            <w:pPr>
              <w:spacing w:after="0" w:line="20" w:lineRule="exact"/>
              <w:rPr>
                <w:sz w:val="1"/>
                <w:szCs w:val="1"/>
                <w:color w:val="auto"/>
              </w:rPr>
            </w:pPr>
          </w:p>
        </w:tc>
        <w:tc>
          <w:tcPr>
            <w:tcW w:w="1360" w:type="dxa"/>
            <w:vAlign w:val="bottom"/>
            <w:tcBorders>
              <w:top w:val="single" w:sz="8" w:color="004483"/>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00" w:type="dxa"/>
            <w:vAlign w:val="bottom"/>
            <w:tcBorders>
              <w:top w:val="single" w:sz="8" w:color="004483"/>
              <w:bottom w:val="single" w:sz="8" w:color="004483"/>
            </w:tcBorders>
          </w:tcPr>
          <w:p>
            <w:pPr>
              <w:spacing w:after="0" w:line="20" w:lineRule="exact"/>
              <w:rPr>
                <w:sz w:val="1"/>
                <w:szCs w:val="1"/>
                <w:color w:val="auto"/>
              </w:rPr>
            </w:pPr>
          </w:p>
        </w:tc>
        <w:tc>
          <w:tcPr>
            <w:tcW w:w="1080" w:type="dxa"/>
            <w:vAlign w:val="bottom"/>
            <w:tcBorders>
              <w:top w:val="single" w:sz="8" w:color="004483"/>
              <w:bottom w:val="single" w:sz="8" w:color="004483"/>
            </w:tcBorders>
          </w:tcPr>
          <w:p>
            <w:pPr>
              <w:spacing w:after="0" w:line="20" w:lineRule="exact"/>
              <w:rPr>
                <w:sz w:val="1"/>
                <w:szCs w:val="1"/>
                <w:color w:val="auto"/>
              </w:rPr>
            </w:pPr>
          </w:p>
        </w:tc>
      </w:tr>
      <w:tr>
        <w:trPr>
          <w:trHeight w:val="170"/>
        </w:trPr>
        <w:tc>
          <w:tcPr>
            <w:tcW w:w="6460" w:type="dxa"/>
            <w:vAlign w:val="bottom"/>
          </w:tcPr>
          <w:p>
            <w:pPr>
              <w:ind w:left="200"/>
              <w:spacing w:after="0" w:line="170" w:lineRule="exact"/>
              <w:rPr>
                <w:sz w:val="20"/>
                <w:szCs w:val="20"/>
                <w:color w:val="auto"/>
              </w:rPr>
            </w:pPr>
            <w:r>
              <w:rPr>
                <w:rFonts w:ascii="Arial" w:cs="Arial" w:eastAsia="Arial" w:hAnsi="Arial"/>
                <w:sz w:val="16"/>
                <w:szCs w:val="16"/>
                <w:color w:val="004483"/>
              </w:rPr>
              <w:t>Depreciation, Depletion, and Amortization</w:t>
            </w:r>
          </w:p>
        </w:tc>
        <w:tc>
          <w:tcPr>
            <w:tcW w:w="420" w:type="dxa"/>
            <w:vAlign w:val="bottom"/>
            <w:tcBorders>
              <w:bottom w:val="single" w:sz="8" w:color="004483"/>
            </w:tcBorders>
          </w:tcPr>
          <w:p>
            <w:pPr>
              <w:jc w:val="right"/>
              <w:ind w:right="239"/>
              <w:spacing w:after="0" w:line="170"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0"/>
              <w:spacing w:after="0" w:line="170"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100" w:type="dxa"/>
            <w:vAlign w:val="bottom"/>
            <w:tcBorders>
              <w:bottom w:val="single" w:sz="8" w:color="004483"/>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1"/>
              <w:spacing w:after="0" w:line="170" w:lineRule="exact"/>
              <w:rPr>
                <w:sz w:val="20"/>
                <w:szCs w:val="20"/>
                <w:color w:val="auto"/>
              </w:rPr>
            </w:pPr>
            <w:r>
              <w:rPr>
                <w:rFonts w:ascii="Arial" w:cs="Arial" w:eastAsia="Arial" w:hAnsi="Arial"/>
                <w:sz w:val="16"/>
                <w:szCs w:val="16"/>
                <w:b w:val="1"/>
                <w:bCs w:val="1"/>
                <w:color w:val="auto"/>
              </w:rPr>
              <w:t>221</w:t>
            </w:r>
          </w:p>
        </w:tc>
        <w:tc>
          <w:tcPr>
            <w:tcW w:w="160" w:type="dxa"/>
            <w:vAlign w:val="bottom"/>
          </w:tcPr>
          <w:p>
            <w:pPr>
              <w:spacing w:after="0"/>
              <w:rPr>
                <w:sz w:val="14"/>
                <w:szCs w:val="14"/>
                <w:color w:val="auto"/>
              </w:rPr>
            </w:pPr>
          </w:p>
        </w:tc>
        <w:tc>
          <w:tcPr>
            <w:tcW w:w="400" w:type="dxa"/>
            <w:vAlign w:val="bottom"/>
            <w:tcBorders>
              <w:bottom w:val="single" w:sz="8" w:color="004483"/>
            </w:tcBorders>
          </w:tcPr>
          <w:p>
            <w:pPr>
              <w:jc w:val="right"/>
              <w:ind w:right="219"/>
              <w:spacing w:after="0" w:line="170"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line="170" w:lineRule="exact"/>
              <w:rPr>
                <w:sz w:val="20"/>
                <w:szCs w:val="20"/>
                <w:color w:val="auto"/>
              </w:rPr>
            </w:pPr>
            <w:r>
              <w:rPr>
                <w:rFonts w:ascii="Arial" w:cs="Arial" w:eastAsia="Arial" w:hAnsi="Arial"/>
                <w:sz w:val="16"/>
                <w:szCs w:val="16"/>
                <w:b w:val="1"/>
                <w:bCs w:val="1"/>
                <w:color w:val="auto"/>
              </w:rPr>
              <w:t>11,310</w:t>
            </w:r>
          </w:p>
        </w:tc>
      </w:tr>
      <w:tr>
        <w:trPr>
          <w:trHeight w:val="20"/>
        </w:trPr>
        <w:tc>
          <w:tcPr>
            <w:tcW w:w="646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r>
        <w:trPr>
          <w:trHeight w:val="278"/>
        </w:trPr>
        <w:tc>
          <w:tcPr>
            <w:tcW w:w="6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48"/>
        </w:trPr>
        <w:tc>
          <w:tcPr>
            <w:tcW w:w="6460" w:type="dxa"/>
            <w:vAlign w:val="bottom"/>
          </w:tcPr>
          <w:p>
            <w:pPr>
              <w:spacing w:after="0"/>
              <w:rPr>
                <w:sz w:val="12"/>
                <w:szCs w:val="12"/>
                <w:color w:val="auto"/>
              </w:rPr>
            </w:pPr>
          </w:p>
        </w:tc>
        <w:tc>
          <w:tcPr>
            <w:tcW w:w="420" w:type="dxa"/>
            <w:vAlign w:val="bottom"/>
            <w:shd w:val="clear" w:color="auto" w:fill="004483"/>
          </w:tcPr>
          <w:p>
            <w:pPr>
              <w:spacing w:after="0"/>
              <w:rPr>
                <w:sz w:val="12"/>
                <w:szCs w:val="12"/>
                <w:color w:val="auto"/>
              </w:rPr>
            </w:pPr>
          </w:p>
        </w:tc>
        <w:tc>
          <w:tcPr>
            <w:tcW w:w="1100" w:type="dxa"/>
            <w:vAlign w:val="bottom"/>
            <w:tcBorders>
              <w:right w:val="single" w:sz="8" w:color="004483"/>
            </w:tcBorders>
            <w:shd w:val="clear" w:color="auto" w:fill="004483"/>
          </w:tcPr>
          <w:p>
            <w:pPr>
              <w:spacing w:after="0"/>
              <w:rPr>
                <w:sz w:val="12"/>
                <w:szCs w:val="12"/>
                <w:color w:val="auto"/>
              </w:rPr>
            </w:pPr>
          </w:p>
        </w:tc>
        <w:tc>
          <w:tcPr>
            <w:tcW w:w="16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1520" w:type="dxa"/>
            <w:vAlign w:val="bottom"/>
            <w:gridSpan w:val="2"/>
            <w:shd w:val="clear" w:color="auto" w:fill="004483"/>
          </w:tcPr>
          <w:p>
            <w:pPr>
              <w:jc w:val="center"/>
              <w:ind w:right="420"/>
              <w:spacing w:after="0"/>
              <w:rPr>
                <w:sz w:val="20"/>
                <w:szCs w:val="20"/>
                <w:color w:val="auto"/>
              </w:rPr>
            </w:pPr>
            <w:r>
              <w:rPr>
                <w:rFonts w:ascii="Arial" w:cs="Arial" w:eastAsia="Arial" w:hAnsi="Arial"/>
                <w:sz w:val="13"/>
                <w:szCs w:val="13"/>
                <w:b w:val="1"/>
                <w:bCs w:val="1"/>
                <w:color w:val="FFFFFF"/>
                <w:w w:val="89"/>
              </w:rPr>
              <w:t>As of March 31,</w:t>
            </w:r>
          </w:p>
        </w:tc>
        <w:tc>
          <w:tcPr>
            <w:tcW w:w="400" w:type="dxa"/>
            <w:vAlign w:val="bottom"/>
            <w:shd w:val="clear" w:color="auto" w:fill="004483"/>
          </w:tcPr>
          <w:p>
            <w:pPr>
              <w:spacing w:after="0"/>
              <w:rPr>
                <w:sz w:val="12"/>
                <w:szCs w:val="12"/>
                <w:color w:val="auto"/>
              </w:rPr>
            </w:pPr>
          </w:p>
        </w:tc>
        <w:tc>
          <w:tcPr>
            <w:tcW w:w="1080" w:type="dxa"/>
            <w:vAlign w:val="bottom"/>
            <w:shd w:val="clear" w:color="auto" w:fill="004483"/>
          </w:tcPr>
          <w:p>
            <w:pPr>
              <w:spacing w:after="0"/>
              <w:rPr>
                <w:sz w:val="12"/>
                <w:szCs w:val="12"/>
                <w:color w:val="auto"/>
              </w:rPr>
            </w:pPr>
          </w:p>
        </w:tc>
      </w:tr>
      <w:tr>
        <w:trPr>
          <w:trHeight w:val="134"/>
        </w:trPr>
        <w:tc>
          <w:tcPr>
            <w:tcW w:w="6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jc w:val="right"/>
              <w:ind w:right="60"/>
              <w:spacing w:after="0" w:line="134"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2020</w:t>
            </w:r>
          </w:p>
        </w:tc>
      </w:tr>
      <w:tr>
        <w:trPr>
          <w:trHeight w:val="183"/>
        </w:trPr>
        <w:tc>
          <w:tcPr>
            <w:tcW w:w="646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400" w:type="dxa"/>
            <w:vAlign w:val="bottom"/>
            <w:tcBorders>
              <w:bottom w:val="single" w:sz="8" w:color="004483"/>
            </w:tcBorders>
          </w:tcPr>
          <w:p>
            <w:pPr>
              <w:spacing w:after="0"/>
              <w:rPr>
                <w:sz w:val="15"/>
                <w:szCs w:val="15"/>
                <w:color w:val="auto"/>
              </w:rPr>
            </w:pPr>
          </w:p>
        </w:tc>
        <w:tc>
          <w:tcPr>
            <w:tcW w:w="1080" w:type="dxa"/>
            <w:vAlign w:val="bottom"/>
            <w:tcBorders>
              <w:bottom w:val="single" w:sz="8" w:color="004483"/>
            </w:tcBorders>
          </w:tcPr>
          <w:p>
            <w:pPr>
              <w:spacing w:after="0"/>
              <w:rPr>
                <w:sz w:val="15"/>
                <w:szCs w:val="15"/>
                <w:color w:val="auto"/>
              </w:rPr>
            </w:pPr>
          </w:p>
        </w:tc>
      </w:tr>
      <w:tr>
        <w:trPr>
          <w:trHeight w:val="189"/>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Identifiable Assets</w:t>
            </w:r>
          </w:p>
        </w:tc>
        <w:tc>
          <w:tcPr>
            <w:tcW w:w="42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36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400" w:type="dxa"/>
            <w:vAlign w:val="bottom"/>
            <w:tcBorders>
              <w:bottom w:val="single" w:sz="8" w:color="A6A6A6"/>
            </w:tcBorders>
          </w:tcPr>
          <w:p>
            <w:pPr>
              <w:spacing w:after="0"/>
              <w:rPr>
                <w:sz w:val="16"/>
                <w:szCs w:val="16"/>
                <w:color w:val="auto"/>
              </w:rPr>
            </w:pPr>
          </w:p>
        </w:tc>
        <w:tc>
          <w:tcPr>
            <w:tcW w:w="1080" w:type="dxa"/>
            <w:vAlign w:val="bottom"/>
            <w:tcBorders>
              <w:bottom w:val="single" w:sz="8" w:color="A6A6A6"/>
            </w:tcBorders>
          </w:tcPr>
          <w:p>
            <w:pPr>
              <w:spacing w:after="0"/>
              <w:rPr>
                <w:sz w:val="16"/>
                <w:szCs w:val="16"/>
                <w:color w:val="auto"/>
              </w:rPr>
            </w:pP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3983C5"/>
              </w:rPr>
              <w:t>Cement</w:t>
            </w:r>
          </w:p>
        </w:tc>
        <w:tc>
          <w:tcPr>
            <w:tcW w:w="420" w:type="dxa"/>
            <w:vAlign w:val="bottom"/>
            <w:tcBorders>
              <w:bottom w:val="single" w:sz="8" w:color="A6A6A6"/>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1,860,649</w:t>
            </w:r>
          </w:p>
        </w:tc>
        <w:tc>
          <w:tcPr>
            <w:tcW w:w="2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1,898,930</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1,980,306</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AAC6"/>
              </w:rPr>
              <w:t>Concrete and Aggregates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89,405</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88,410</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136,041</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77943C"/>
              </w:rPr>
              <w:t>Gypsum Wallboard</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397,486</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366,352</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375,946</w:t>
            </w: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AEB949"/>
              </w:rPr>
              <w:t>Paperboard</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180,025</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186,156</w:t>
            </w:r>
          </w:p>
        </w:tc>
        <w:tc>
          <w:tcPr>
            <w:tcW w:w="160" w:type="dxa"/>
            <w:vAlign w:val="bottom"/>
            <w:tcBorders>
              <w:bottom w:val="single" w:sz="8" w:color="A6A6A6"/>
            </w:tcBorders>
          </w:tcPr>
          <w:p>
            <w:pPr>
              <w:spacing w:after="0"/>
              <w:rPr>
                <w:sz w:val="15"/>
                <w:szCs w:val="15"/>
                <w:color w:val="auto"/>
              </w:rPr>
            </w:pP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183,288</w:t>
            </w:r>
          </w:p>
        </w:tc>
      </w:tr>
      <w:tr>
        <w:trPr>
          <w:trHeight w:val="182"/>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B88736"/>
              </w:rPr>
              <w:t>Assets of Discontinued Operations</w:t>
            </w:r>
          </w:p>
        </w:tc>
        <w:tc>
          <w:tcPr>
            <w:tcW w:w="4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520" w:type="dxa"/>
            <w:vAlign w:val="bottom"/>
            <w:tcBorders>
              <w:bottom w:val="single" w:sz="8" w:color="A6A6A6"/>
            </w:tcBorders>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13,831</w:t>
            </w:r>
          </w:p>
        </w:tc>
      </w:tr>
      <w:tr>
        <w:trPr>
          <w:trHeight w:val="183"/>
        </w:trPr>
        <w:tc>
          <w:tcPr>
            <w:tcW w:w="6460" w:type="dxa"/>
            <w:vAlign w:val="bottom"/>
          </w:tcPr>
          <w:p>
            <w:pPr>
              <w:ind w:left="200"/>
              <w:spacing w:after="0" w:line="183" w:lineRule="exact"/>
              <w:rPr>
                <w:sz w:val="20"/>
                <w:szCs w:val="20"/>
                <w:color w:val="auto"/>
              </w:rPr>
            </w:pPr>
            <w:r>
              <w:rPr>
                <w:rFonts w:ascii="Arial" w:cs="Arial" w:eastAsia="Arial" w:hAnsi="Arial"/>
                <w:sz w:val="16"/>
                <w:szCs w:val="16"/>
                <w:color w:val="004483"/>
              </w:rPr>
              <w:t>Corporate and Other, net</w:t>
            </w:r>
          </w:p>
        </w:tc>
        <w:tc>
          <w:tcPr>
            <w:tcW w:w="420" w:type="dxa"/>
            <w:vAlign w:val="bottom"/>
          </w:tcPr>
          <w:p>
            <w:pPr>
              <w:spacing w:after="0"/>
              <w:rPr>
                <w:sz w:val="15"/>
                <w:szCs w:val="15"/>
                <w:color w:val="auto"/>
              </w:rPr>
            </w:pPr>
          </w:p>
        </w:tc>
        <w:tc>
          <w:tcPr>
            <w:tcW w:w="11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52,087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1"/>
              <w:spacing w:after="0" w:line="183" w:lineRule="exact"/>
              <w:rPr>
                <w:sz w:val="20"/>
                <w:szCs w:val="20"/>
                <w:color w:val="auto"/>
              </w:rPr>
            </w:pPr>
            <w:r>
              <w:rPr>
                <w:rFonts w:ascii="Arial" w:cs="Arial" w:eastAsia="Arial" w:hAnsi="Arial"/>
                <w:sz w:val="16"/>
                <w:szCs w:val="16"/>
                <w:color w:val="auto"/>
              </w:rPr>
              <w:t>298,833</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271,608</w:t>
            </w:r>
          </w:p>
        </w:tc>
      </w:tr>
      <w:tr>
        <w:trPr>
          <w:trHeight w:val="27"/>
        </w:trPr>
        <w:tc>
          <w:tcPr>
            <w:tcW w:w="6460" w:type="dxa"/>
            <w:vAlign w:val="bottom"/>
            <w:tcBorders>
              <w:bottom w:val="single" w:sz="8" w:color="A6A6A6"/>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r>
      <w:tr>
        <w:trPr>
          <w:trHeight w:val="183"/>
        </w:trPr>
        <w:tc>
          <w:tcPr>
            <w:tcW w:w="646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2,579,652</w:t>
            </w: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2,838,681</w:t>
            </w:r>
          </w:p>
        </w:tc>
        <w:tc>
          <w:tcPr>
            <w:tcW w:w="160" w:type="dxa"/>
            <w:vAlign w:val="bottom"/>
          </w:tcPr>
          <w:p>
            <w:pPr>
              <w:spacing w:after="0"/>
              <w:rPr>
                <w:sz w:val="15"/>
                <w:szCs w:val="15"/>
                <w:color w:val="auto"/>
              </w:rPr>
            </w:pPr>
          </w:p>
        </w:tc>
        <w:tc>
          <w:tcPr>
            <w:tcW w:w="400" w:type="dxa"/>
            <w:vAlign w:val="bottom"/>
            <w:tcBorders>
              <w:bottom w:val="single" w:sz="8" w:color="004483"/>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2,961,020</w:t>
            </w:r>
          </w:p>
        </w:tc>
      </w:tr>
      <w:tr>
        <w:trPr>
          <w:trHeight w:val="20"/>
        </w:trPr>
        <w:tc>
          <w:tcPr>
            <w:tcW w:w="646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81" w:name="page82"/>
    <w:bookmarkEnd w:id="81"/>
    <w:p>
      <w:pPr>
        <w:ind w:right="440"/>
        <w:spacing w:after="0" w:line="284"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Segment Operating Earnings don’t include certain nonrecurring losses, such as impairment and legal settlements. We account for intersegment sales at market prices. Corporate assets consist primarily of cash and cash equivalents, general office assets, and miscellaneous other assets.</w:t>
      </w:r>
    </w:p>
    <w:p>
      <w:pPr>
        <w:spacing w:after="0" w:line="98"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Consolidated Balance Sheets and Consolidated Statements of Earnings.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at March 31, 2022 and 2021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2300" w:type="dxa"/>
            <w:vAlign w:val="bottom"/>
            <w:gridSpan w:val="3"/>
            <w:shd w:val="clear" w:color="auto" w:fill="004483"/>
          </w:tcPr>
          <w:p>
            <w:pPr>
              <w:jc w:val="right"/>
              <w:ind w:right="119"/>
              <w:spacing w:after="0"/>
              <w:rPr>
                <w:sz w:val="20"/>
                <w:szCs w:val="20"/>
                <w:color w:val="auto"/>
              </w:rPr>
            </w:pPr>
            <w:r>
              <w:rPr>
                <w:rFonts w:ascii="Arial" w:cs="Arial" w:eastAsia="Arial" w:hAnsi="Arial"/>
                <w:sz w:val="13"/>
                <w:szCs w:val="13"/>
                <w:b w:val="1"/>
                <w:bCs w:val="1"/>
                <w:color w:val="FFFFFF"/>
              </w:rPr>
              <w:t>For the Years Ended March 31,</w:t>
            </w:r>
          </w:p>
        </w:tc>
        <w:tc>
          <w:tcPr>
            <w:tcW w:w="84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jc w:val="right"/>
              <w:ind w:right="46"/>
              <w:spacing w:after="0" w:line="134"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jc w:val="right"/>
              <w:ind w:right="42"/>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2300" w:type="dxa"/>
            <w:vAlign w:val="bottom"/>
            <w:tcBorders>
              <w:bottom w:val="single" w:sz="8" w:color="004483"/>
            </w:tcBorders>
            <w:gridSpan w:val="3"/>
          </w:tcPr>
          <w:p>
            <w:pPr>
              <w:jc w:val="right"/>
              <w:ind w:right="419"/>
              <w:spacing w:after="0"/>
              <w:rPr>
                <w:sz w:val="20"/>
                <w:szCs w:val="20"/>
                <w:color w:val="auto"/>
              </w:rPr>
            </w:pPr>
            <w:r>
              <w:rPr>
                <w:rFonts w:ascii="Arial" w:cs="Arial" w:eastAsia="Arial" w:hAnsi="Arial"/>
                <w:sz w:val="13"/>
                <w:szCs w:val="13"/>
                <w:color w:val="auto"/>
              </w:rPr>
              <w:t>(dollars in thousands)</w:t>
            </w:r>
          </w:p>
        </w:tc>
        <w:tc>
          <w:tcPr>
            <w:tcW w:w="84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3983C5"/>
              </w:rPr>
              <w:t>Cement</w:t>
            </w:r>
          </w:p>
        </w:tc>
        <w:tc>
          <w:tcPr>
            <w:tcW w:w="500" w:type="dxa"/>
            <w:vAlign w:val="bottom"/>
            <w:tcBorders>
              <w:bottom w:val="single" w:sz="8" w:color="A6A6A6"/>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203,342</w:t>
            </w:r>
          </w:p>
        </w:tc>
        <w:tc>
          <w:tcPr>
            <w:tcW w:w="1060" w:type="dxa"/>
            <w:vAlign w:val="bottom"/>
            <w:tcBorders>
              <w:bottom w:val="single" w:sz="8" w:color="A6A6A6"/>
            </w:tcBorders>
            <w:gridSpan w:val="2"/>
          </w:tcPr>
          <w:p>
            <w:pPr>
              <w:jc w:val="right"/>
              <w:ind w:right="6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203,342</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AAC6"/>
              </w:rPr>
              <w:t>Concrete and Aggregates</w:t>
            </w:r>
          </w:p>
        </w:tc>
        <w:tc>
          <w:tcPr>
            <w:tcW w:w="500" w:type="dxa"/>
            <w:vAlign w:val="bottom"/>
            <w:tcBorders>
              <w:bottom w:val="single" w:sz="8" w:color="A6A6A6"/>
            </w:tcBorders>
          </w:tcPr>
          <w:p>
            <w:pPr>
              <w:spacing w:after="0"/>
              <w:rPr>
                <w:sz w:val="15"/>
                <w:szCs w:val="15"/>
                <w:color w:val="auto"/>
              </w:rPr>
            </w:pPr>
          </w:p>
        </w:tc>
        <w:tc>
          <w:tcPr>
            <w:tcW w:w="1240" w:type="dxa"/>
            <w:vAlign w:val="bottom"/>
            <w:tcBorders>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1,639</w:t>
            </w:r>
          </w:p>
        </w:tc>
        <w:tc>
          <w:tcPr>
            <w:tcW w:w="1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1,639</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77943C"/>
              </w:rPr>
              <w:t>Gypsum Wallboard</w:t>
            </w:r>
          </w:p>
        </w:tc>
        <w:tc>
          <w:tcPr>
            <w:tcW w:w="500" w:type="dxa"/>
            <w:vAlign w:val="bottom"/>
            <w:tcBorders>
              <w:bottom w:val="single" w:sz="8" w:color="A6A6A6"/>
            </w:tcBorders>
          </w:tcPr>
          <w:p>
            <w:pPr>
              <w:spacing w:after="0"/>
              <w:rPr>
                <w:sz w:val="15"/>
                <w:szCs w:val="15"/>
                <w:color w:val="auto"/>
              </w:rPr>
            </w:pPr>
          </w:p>
        </w:tc>
        <w:tc>
          <w:tcPr>
            <w:tcW w:w="1240" w:type="dxa"/>
            <w:vAlign w:val="bottom"/>
            <w:tcBorders>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116,618</w:t>
            </w:r>
          </w:p>
        </w:tc>
        <w:tc>
          <w:tcPr>
            <w:tcW w:w="1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116,618</w:t>
            </w: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color w:val="AEB949"/>
              </w:rPr>
              <w:t>Paperboard</w:t>
            </w:r>
          </w:p>
        </w:tc>
        <w:tc>
          <w:tcPr>
            <w:tcW w:w="500" w:type="dxa"/>
            <w:vAlign w:val="bottom"/>
          </w:tcPr>
          <w:p>
            <w:pPr>
              <w:spacing w:after="0"/>
              <w:rPr>
                <w:sz w:val="15"/>
                <w:szCs w:val="15"/>
                <w:color w:val="auto"/>
              </w:rPr>
            </w:pPr>
          </w:p>
        </w:tc>
        <w:tc>
          <w:tcPr>
            <w:tcW w:w="1240" w:type="dxa"/>
            <w:vAlign w:val="bottom"/>
          </w:tcPr>
          <w:p>
            <w:pPr>
              <w:jc w:val="right"/>
              <w:ind w:right="46"/>
              <w:spacing w:after="0" w:line="183" w:lineRule="exact"/>
              <w:rPr>
                <w:sz w:val="20"/>
                <w:szCs w:val="20"/>
                <w:color w:val="auto"/>
              </w:rPr>
            </w:pPr>
            <w:r>
              <w:rPr>
                <w:rFonts w:ascii="Arial" w:cs="Arial" w:eastAsia="Arial" w:hAnsi="Arial"/>
                <w:sz w:val="16"/>
                <w:szCs w:val="16"/>
                <w:color w:val="auto"/>
              </w:rPr>
              <w:t>7,538</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jc w:val="right"/>
              <w:ind w:right="42"/>
              <w:spacing w:after="0" w:line="183" w:lineRule="exact"/>
              <w:rPr>
                <w:sz w:val="20"/>
                <w:szCs w:val="20"/>
                <w:color w:val="auto"/>
              </w:rPr>
            </w:pPr>
            <w:r>
              <w:rPr>
                <w:rFonts w:ascii="Arial" w:cs="Arial" w:eastAsia="Arial" w:hAnsi="Arial"/>
                <w:sz w:val="16"/>
                <w:szCs w:val="16"/>
                <w:color w:val="auto"/>
              </w:rPr>
              <w:t>7,538</w:t>
            </w:r>
          </w:p>
        </w:tc>
      </w:tr>
      <w:tr>
        <w:trPr>
          <w:trHeight w:val="27"/>
        </w:trPr>
        <w:tc>
          <w:tcPr>
            <w:tcW w:w="760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24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840" w:type="dxa"/>
            <w:vAlign w:val="bottom"/>
            <w:tcBorders>
              <w:bottom w:val="single" w:sz="8" w:color="004483"/>
            </w:tcBorders>
            <w:shd w:val="clear" w:color="auto" w:fill="004483"/>
          </w:tcPr>
          <w:p>
            <w:pPr>
              <w:spacing w:after="0"/>
              <w:rPr>
                <w:sz w:val="2"/>
                <w:szCs w:val="2"/>
                <w:color w:val="auto"/>
              </w:rPr>
            </w:pPr>
          </w:p>
        </w:tc>
      </w:tr>
      <w:tr>
        <w:trPr>
          <w:trHeight w:val="183"/>
        </w:trPr>
        <w:tc>
          <w:tcPr>
            <w:tcW w:w="7600" w:type="dxa"/>
            <w:vAlign w:val="bottom"/>
          </w:tcPr>
          <w:p>
            <w:pPr>
              <w:spacing w:after="0"/>
              <w:rPr>
                <w:sz w:val="15"/>
                <w:szCs w:val="15"/>
                <w:color w:val="auto"/>
              </w:rPr>
            </w:pPr>
          </w:p>
        </w:tc>
        <w:tc>
          <w:tcPr>
            <w:tcW w:w="500" w:type="dxa"/>
            <w:vAlign w:val="bottom"/>
            <w:tcBorders>
              <w:bottom w:val="single" w:sz="8" w:color="004483"/>
            </w:tcBorders>
          </w:tcPr>
          <w:p>
            <w:pPr>
              <w:jc w:val="right"/>
              <w:ind w:right="34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004483"/>
            </w:tcBorders>
          </w:tcPr>
          <w:p>
            <w:pPr>
              <w:jc w:val="right"/>
              <w:ind w:right="46"/>
              <w:spacing w:after="0" w:line="183" w:lineRule="exact"/>
              <w:rPr>
                <w:sz w:val="20"/>
                <w:szCs w:val="20"/>
                <w:color w:val="auto"/>
              </w:rPr>
            </w:pPr>
            <w:r>
              <w:rPr>
                <w:rFonts w:ascii="Arial" w:cs="Arial" w:eastAsia="Arial" w:hAnsi="Arial"/>
                <w:sz w:val="16"/>
                <w:szCs w:val="16"/>
                <w:b w:val="1"/>
                <w:bCs w:val="1"/>
                <w:color w:val="auto"/>
              </w:rPr>
              <w:t>329,137</w:t>
            </w:r>
          </w:p>
        </w:tc>
        <w:tc>
          <w:tcPr>
            <w:tcW w:w="180" w:type="dxa"/>
            <w:vAlign w:val="bottom"/>
          </w:tcPr>
          <w:p>
            <w:pPr>
              <w:spacing w:after="0"/>
              <w:rPr>
                <w:sz w:val="15"/>
                <w:szCs w:val="15"/>
                <w:color w:val="auto"/>
              </w:rPr>
            </w:pPr>
          </w:p>
        </w:tc>
        <w:tc>
          <w:tcPr>
            <w:tcW w:w="880" w:type="dxa"/>
            <w:vAlign w:val="bottom"/>
            <w:tcBorders>
              <w:bottom w:val="single" w:sz="8" w:color="004483"/>
            </w:tcBorders>
          </w:tcPr>
          <w:p>
            <w:pPr>
              <w:jc w:val="right"/>
              <w:ind w:right="699"/>
              <w:spacing w:after="0" w:line="183"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329,137</w:t>
            </w:r>
          </w:p>
        </w:tc>
      </w:tr>
      <w:tr>
        <w:trPr>
          <w:trHeight w:val="20"/>
        </w:trPr>
        <w:tc>
          <w:tcPr>
            <w:tcW w:w="760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(J)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from continuing operations includes the following components: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60" w:type="dxa"/>
            <w:vAlign w:val="bottom"/>
          </w:tcPr>
          <w:p>
            <w:pPr>
              <w:spacing w:after="0"/>
              <w:rPr>
                <w:sz w:val="13"/>
                <w:szCs w:val="13"/>
                <w:color w:val="auto"/>
              </w:rPr>
            </w:pPr>
          </w:p>
        </w:tc>
        <w:tc>
          <w:tcPr>
            <w:tcW w:w="480" w:type="dxa"/>
            <w:vAlign w:val="bottom"/>
            <w:shd w:val="clear" w:color="auto" w:fill="004483"/>
          </w:tcPr>
          <w:p>
            <w:pPr>
              <w:spacing w:after="0"/>
              <w:rPr>
                <w:sz w:val="13"/>
                <w:szCs w:val="13"/>
                <w:color w:val="auto"/>
              </w:rPr>
            </w:pPr>
          </w:p>
        </w:tc>
        <w:tc>
          <w:tcPr>
            <w:tcW w:w="960" w:type="dxa"/>
            <w:vAlign w:val="bottom"/>
            <w:shd w:val="clear" w:color="auto" w:fill="004483"/>
          </w:tcPr>
          <w:p>
            <w:pPr>
              <w:spacing w:after="0"/>
              <w:rPr>
                <w:sz w:val="13"/>
                <w:szCs w:val="13"/>
                <w:color w:val="auto"/>
              </w:rPr>
            </w:pPr>
          </w:p>
        </w:tc>
        <w:tc>
          <w:tcPr>
            <w:tcW w:w="1860" w:type="dxa"/>
            <w:vAlign w:val="bottom"/>
            <w:gridSpan w:val="5"/>
            <w:shd w:val="clear" w:color="auto" w:fill="004483"/>
          </w:tcPr>
          <w:p>
            <w:pPr>
              <w:jc w:val="center"/>
              <w:ind w:right="60"/>
              <w:spacing w:after="0"/>
              <w:rPr>
                <w:sz w:val="20"/>
                <w:szCs w:val="20"/>
                <w:color w:val="auto"/>
              </w:rPr>
            </w:pPr>
            <w:r>
              <w:rPr>
                <w:rFonts w:ascii="Arial" w:cs="Arial" w:eastAsia="Arial" w:hAnsi="Arial"/>
                <w:sz w:val="13"/>
                <w:szCs w:val="13"/>
                <w:b w:val="1"/>
                <w:bCs w:val="1"/>
                <w:color w:val="FFFFFF"/>
                <w:w w:val="88"/>
              </w:rPr>
              <w:t>For the Years Ended March 31,</w:t>
            </w:r>
          </w:p>
        </w:tc>
        <w:tc>
          <w:tcPr>
            <w:tcW w:w="460" w:type="dxa"/>
            <w:vAlign w:val="bottom"/>
            <w:shd w:val="clear" w:color="auto" w:fill="004483"/>
          </w:tcPr>
          <w:p>
            <w:pPr>
              <w:spacing w:after="0"/>
              <w:rPr>
                <w:sz w:val="13"/>
                <w:szCs w:val="13"/>
                <w:color w:val="auto"/>
              </w:rPr>
            </w:pPr>
          </w:p>
        </w:tc>
        <w:tc>
          <w:tcPr>
            <w:tcW w:w="1020" w:type="dxa"/>
            <w:vAlign w:val="bottom"/>
            <w:shd w:val="clear" w:color="auto" w:fill="004483"/>
          </w:tcPr>
          <w:p>
            <w:pPr>
              <w:spacing w:after="0"/>
              <w:rPr>
                <w:sz w:val="13"/>
                <w:szCs w:val="13"/>
                <w:color w:val="auto"/>
              </w:rPr>
            </w:pPr>
          </w:p>
        </w:tc>
      </w:tr>
      <w:tr>
        <w:trPr>
          <w:trHeight w:val="134"/>
        </w:trPr>
        <w:tc>
          <w:tcPr>
            <w:tcW w:w="6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3"/>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2020</w:t>
            </w:r>
          </w:p>
        </w:tc>
      </w:tr>
      <w:tr>
        <w:trPr>
          <w:trHeight w:val="183"/>
        </w:trPr>
        <w:tc>
          <w:tcPr>
            <w:tcW w:w="6460" w:type="dxa"/>
            <w:vAlign w:val="bottom"/>
            <w:tcBorders>
              <w:bottom w:val="single" w:sz="8" w:color="004483"/>
            </w:tcBorders>
          </w:tcPr>
          <w:p>
            <w:pPr>
              <w:spacing w:after="0"/>
              <w:rPr>
                <w:sz w:val="15"/>
                <w:szCs w:val="15"/>
                <w:color w:val="auto"/>
              </w:rPr>
            </w:pPr>
          </w:p>
        </w:tc>
        <w:tc>
          <w:tcPr>
            <w:tcW w:w="48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46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spacing w:after="0"/>
              <w:rPr>
                <w:sz w:val="15"/>
                <w:szCs w:val="15"/>
                <w:color w:val="auto"/>
              </w:rPr>
            </w:pPr>
          </w:p>
        </w:tc>
      </w:tr>
      <w:tr>
        <w:trPr>
          <w:trHeight w:val="189"/>
        </w:trPr>
        <w:tc>
          <w:tcPr>
            <w:tcW w:w="64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Current Provision (Benefit)</w:t>
            </w:r>
          </w:p>
        </w:tc>
        <w:tc>
          <w:tcPr>
            <w:tcW w:w="480" w:type="dxa"/>
            <w:vAlign w:val="bottom"/>
            <w:tcBorders>
              <w:bottom w:val="single" w:sz="8" w:color="A6A6A6"/>
            </w:tcBorders>
          </w:tcPr>
          <w:p>
            <w:pPr>
              <w:spacing w:after="0"/>
              <w:rPr>
                <w:sz w:val="16"/>
                <w:szCs w:val="16"/>
                <w:color w:val="auto"/>
              </w:rPr>
            </w:pPr>
          </w:p>
        </w:tc>
        <w:tc>
          <w:tcPr>
            <w:tcW w:w="960" w:type="dxa"/>
            <w:vAlign w:val="bottom"/>
            <w:tcBorders>
              <w:bottom w:val="single" w:sz="8" w:color="A6A6A6"/>
            </w:tcBorders>
          </w:tcPr>
          <w:p>
            <w:pPr>
              <w:spacing w:after="0"/>
              <w:rPr>
                <w:sz w:val="16"/>
                <w:szCs w:val="16"/>
                <w:color w:val="auto"/>
              </w:rPr>
            </w:pPr>
          </w:p>
        </w:tc>
        <w:tc>
          <w:tcPr>
            <w:tcW w:w="8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36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460" w:type="dxa"/>
            <w:vAlign w:val="bottom"/>
            <w:tcBorders>
              <w:bottom w:val="single" w:sz="8" w:color="A6A6A6"/>
            </w:tcBorders>
          </w:tcPr>
          <w:p>
            <w:pPr>
              <w:spacing w:after="0"/>
              <w:rPr>
                <w:sz w:val="16"/>
                <w:szCs w:val="16"/>
                <w:color w:val="auto"/>
              </w:rPr>
            </w:pPr>
          </w:p>
        </w:tc>
        <w:tc>
          <w:tcPr>
            <w:tcW w:w="1020" w:type="dxa"/>
            <w:vAlign w:val="bottom"/>
            <w:tcBorders>
              <w:bottom w:val="single" w:sz="8" w:color="A6A6A6"/>
            </w:tcBorders>
          </w:tcPr>
          <w:p>
            <w:pPr>
              <w:spacing w:after="0"/>
              <w:rPr>
                <w:sz w:val="16"/>
                <w:szCs w:val="16"/>
                <w:color w:val="auto"/>
              </w:rPr>
            </w:pP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Federal</w:t>
            </w:r>
          </w:p>
        </w:tc>
        <w:tc>
          <w:tcPr>
            <w:tcW w:w="480" w:type="dxa"/>
            <w:vAlign w:val="bottom"/>
            <w:tcBorders>
              <w:bottom w:val="single" w:sz="8" w:color="A6A6A6"/>
            </w:tcBorders>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87,626</w:t>
            </w:r>
          </w:p>
        </w:tc>
        <w:tc>
          <w:tcPr>
            <w:tcW w:w="340" w:type="dxa"/>
            <w:vAlign w:val="bottom"/>
            <w:tcBorders>
              <w:bottom w:val="single" w:sz="8" w:color="A6A6A6"/>
            </w:tcBorders>
            <w:gridSpan w:val="3"/>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67,913</w:t>
            </w:r>
          </w:p>
        </w:tc>
        <w:tc>
          <w:tcPr>
            <w:tcW w:w="16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(91,304 )</w:t>
            </w:r>
          </w:p>
        </w:tc>
      </w:tr>
      <w:tr>
        <w:trPr>
          <w:trHeight w:val="210"/>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State</w:t>
            </w:r>
          </w:p>
        </w:tc>
        <w:tc>
          <w:tcPr>
            <w:tcW w:w="48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6,924</w:t>
            </w:r>
          </w:p>
        </w:tc>
        <w:tc>
          <w:tcPr>
            <w:tcW w:w="80" w:type="dxa"/>
            <w:vAlign w:val="bottom"/>
            <w:tcBorders>
              <w:bottom w:val="single" w:sz="8" w:color="004483"/>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color w:val="auto"/>
              </w:rPr>
              <w:t>9,587</w:t>
            </w:r>
          </w:p>
        </w:tc>
        <w:tc>
          <w:tcPr>
            <w:tcW w:w="16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3,004</w:t>
            </w:r>
          </w:p>
        </w:tc>
      </w:tr>
      <w:tr>
        <w:trPr>
          <w:trHeight w:val="182"/>
        </w:trPr>
        <w:tc>
          <w:tcPr>
            <w:tcW w:w="6460" w:type="dxa"/>
            <w:vAlign w:val="bottom"/>
            <w:tcBorders>
              <w:bottom w:val="single" w:sz="8" w:color="A6A6A6"/>
            </w:tcBorders>
          </w:tcPr>
          <w:p>
            <w:pPr>
              <w:spacing w:after="0"/>
              <w:rPr>
                <w:sz w:val="15"/>
                <w:szCs w:val="15"/>
                <w:color w:val="auto"/>
              </w:rPr>
            </w:pPr>
          </w:p>
        </w:tc>
        <w:tc>
          <w:tcPr>
            <w:tcW w:w="48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94,550</w:t>
            </w:r>
          </w:p>
        </w:tc>
        <w:tc>
          <w:tcPr>
            <w:tcW w:w="8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77,500</w:t>
            </w:r>
          </w:p>
        </w:tc>
        <w:tc>
          <w:tcPr>
            <w:tcW w:w="16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(88,300 )</w:t>
            </w:r>
          </w:p>
        </w:tc>
      </w:tr>
      <w:tr>
        <w:trPr>
          <w:trHeight w:val="183"/>
        </w:trPr>
        <w:tc>
          <w:tcPr>
            <w:tcW w:w="64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Deferred Provision (Benefit)</w:t>
            </w:r>
          </w:p>
        </w:tc>
        <w:tc>
          <w:tcPr>
            <w:tcW w:w="48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spacing w:after="0"/>
              <w:rPr>
                <w:sz w:val="15"/>
                <w:szCs w:val="15"/>
                <w:color w:val="auto"/>
              </w:rPr>
            </w:pPr>
          </w:p>
        </w:tc>
        <w:tc>
          <w:tcPr>
            <w:tcW w:w="8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spacing w:after="0"/>
              <w:rPr>
                <w:sz w:val="15"/>
                <w:szCs w:val="15"/>
                <w:color w:val="auto"/>
              </w:rPr>
            </w:pPr>
          </w:p>
        </w:tc>
      </w:tr>
      <w:tr>
        <w:trPr>
          <w:trHeight w:val="183"/>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Federal</w:t>
            </w:r>
          </w:p>
        </w:tc>
        <w:tc>
          <w:tcPr>
            <w:tcW w:w="48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3,491</w:t>
            </w:r>
          </w:p>
        </w:tc>
        <w:tc>
          <w:tcPr>
            <w:tcW w:w="8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7,207</w:t>
            </w:r>
          </w:p>
        </w:tc>
        <w:tc>
          <w:tcPr>
            <w:tcW w:w="16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108,467</w:t>
            </w:r>
          </w:p>
        </w:tc>
      </w:tr>
      <w:tr>
        <w:trPr>
          <w:trHeight w:val="210"/>
        </w:trPr>
        <w:tc>
          <w:tcPr>
            <w:tcW w:w="64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State</w:t>
            </w:r>
          </w:p>
        </w:tc>
        <w:tc>
          <w:tcPr>
            <w:tcW w:w="48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2,806</w:t>
            </w:r>
          </w:p>
        </w:tc>
        <w:tc>
          <w:tcPr>
            <w:tcW w:w="80" w:type="dxa"/>
            <w:vAlign w:val="bottom"/>
            <w:tcBorders>
              <w:bottom w:val="single" w:sz="8" w:color="004483"/>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36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color w:val="auto"/>
              </w:rPr>
              <w:t>5,239</w:t>
            </w:r>
          </w:p>
        </w:tc>
        <w:tc>
          <w:tcPr>
            <w:tcW w:w="16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4,337</w:t>
            </w:r>
          </w:p>
        </w:tc>
      </w:tr>
      <w:tr>
        <w:trPr>
          <w:trHeight w:val="183"/>
        </w:trPr>
        <w:tc>
          <w:tcPr>
            <w:tcW w:w="6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6,297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3"/>
              <w:spacing w:after="0" w:line="183" w:lineRule="exact"/>
              <w:rPr>
                <w:sz w:val="20"/>
                <w:szCs w:val="20"/>
                <w:color w:val="auto"/>
              </w:rPr>
            </w:pPr>
            <w:r>
              <w:rPr>
                <w:rFonts w:ascii="Arial" w:cs="Arial" w:eastAsia="Arial" w:hAnsi="Arial"/>
                <w:sz w:val="16"/>
                <w:szCs w:val="16"/>
                <w:color w:val="auto"/>
              </w:rPr>
              <w:t>12,446</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112,804</w:t>
            </w:r>
          </w:p>
        </w:tc>
      </w:tr>
      <w:tr>
        <w:trPr>
          <w:trHeight w:val="27"/>
        </w:trPr>
        <w:tc>
          <w:tcPr>
            <w:tcW w:w="6460" w:type="dxa"/>
            <w:vAlign w:val="bottom"/>
            <w:tcBorders>
              <w:bottom w:val="single" w:sz="8" w:color="A6A6A6"/>
            </w:tcBorders>
          </w:tcPr>
          <w:p>
            <w:pPr>
              <w:spacing w:after="0"/>
              <w:rPr>
                <w:sz w:val="2"/>
                <w:szCs w:val="2"/>
                <w:color w:val="auto"/>
              </w:rPr>
            </w:pPr>
          </w:p>
        </w:tc>
        <w:tc>
          <w:tcPr>
            <w:tcW w:w="480" w:type="dxa"/>
            <w:vAlign w:val="bottom"/>
            <w:tcBorders>
              <w:bottom w:val="single" w:sz="8" w:color="004483"/>
            </w:tcBorders>
            <w:shd w:val="clear" w:color="auto" w:fill="004483"/>
          </w:tcPr>
          <w:p>
            <w:pPr>
              <w:spacing w:after="0"/>
              <w:rPr>
                <w:sz w:val="2"/>
                <w:szCs w:val="2"/>
                <w:color w:val="auto"/>
              </w:rPr>
            </w:pPr>
          </w:p>
        </w:tc>
        <w:tc>
          <w:tcPr>
            <w:tcW w:w="960" w:type="dxa"/>
            <w:vAlign w:val="bottom"/>
            <w:tcBorders>
              <w:bottom w:val="single" w:sz="8" w:color="004483"/>
            </w:tcBorders>
            <w:shd w:val="clear" w:color="auto" w:fill="004483"/>
          </w:tcPr>
          <w:p>
            <w:pPr>
              <w:spacing w:after="0"/>
              <w:rPr>
                <w:sz w:val="2"/>
                <w:szCs w:val="2"/>
                <w:color w:val="auto"/>
              </w:rPr>
            </w:pPr>
          </w:p>
        </w:tc>
        <w:tc>
          <w:tcPr>
            <w:tcW w:w="8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r>
      <w:tr>
        <w:trPr>
          <w:trHeight w:val="183"/>
        </w:trPr>
        <w:tc>
          <w:tcPr>
            <w:tcW w:w="646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Provision for Income Taxes</w:t>
            </w:r>
          </w:p>
        </w:tc>
        <w:tc>
          <w:tcPr>
            <w:tcW w:w="480" w:type="dxa"/>
            <w:vAlign w:val="bottom"/>
            <w:tcBorders>
              <w:bottom w:val="single" w:sz="8" w:color="004483"/>
            </w:tcBorders>
          </w:tcPr>
          <w:p>
            <w:pPr>
              <w:jc w:val="right"/>
              <w:ind w:right="299"/>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100,847</w:t>
            </w:r>
          </w:p>
        </w:tc>
        <w:tc>
          <w:tcPr>
            <w:tcW w:w="80" w:type="dxa"/>
            <w:vAlign w:val="bottom"/>
            <w:tcBorders>
              <w:bottom w:val="single" w:sz="8" w:color="004483"/>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b w:val="1"/>
                <w:bCs w:val="1"/>
                <w:color w:val="auto"/>
              </w:rPr>
              <w:t>89,946</w:t>
            </w:r>
          </w:p>
        </w:tc>
        <w:tc>
          <w:tcPr>
            <w:tcW w:w="160" w:type="dxa"/>
            <w:vAlign w:val="bottom"/>
          </w:tcPr>
          <w:p>
            <w:pPr>
              <w:spacing w:after="0"/>
              <w:rPr>
                <w:sz w:val="15"/>
                <w:szCs w:val="15"/>
                <w:color w:val="auto"/>
              </w:rPr>
            </w:pPr>
          </w:p>
        </w:tc>
        <w:tc>
          <w:tcPr>
            <w:tcW w:w="460" w:type="dxa"/>
            <w:vAlign w:val="bottom"/>
            <w:tcBorders>
              <w:bottom w:val="single" w:sz="8" w:color="004483"/>
            </w:tcBorders>
          </w:tcPr>
          <w:p>
            <w:pPr>
              <w:jc w:val="right"/>
              <w:ind w:right="279"/>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24,504</w:t>
            </w:r>
          </w:p>
        </w:tc>
      </w:tr>
      <w:tr>
        <w:trPr>
          <w:trHeight w:val="20"/>
        </w:trPr>
        <w:tc>
          <w:tcPr>
            <w:tcW w:w="646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effective tax rates vary from the federal statutory rates due to the following items: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40" w:type="dxa"/>
            <w:vAlign w:val="bottom"/>
          </w:tcPr>
          <w:p>
            <w:pPr>
              <w:spacing w:after="0"/>
              <w:rPr>
                <w:sz w:val="13"/>
                <w:szCs w:val="13"/>
                <w:color w:val="auto"/>
              </w:rPr>
            </w:pPr>
          </w:p>
        </w:tc>
        <w:tc>
          <w:tcPr>
            <w:tcW w:w="440" w:type="dxa"/>
            <w:vAlign w:val="bottom"/>
            <w:shd w:val="clear" w:color="auto" w:fill="004483"/>
          </w:tcPr>
          <w:p>
            <w:pPr>
              <w:spacing w:after="0"/>
              <w:rPr>
                <w:sz w:val="13"/>
                <w:szCs w:val="13"/>
                <w:color w:val="auto"/>
              </w:rPr>
            </w:pPr>
          </w:p>
        </w:tc>
        <w:tc>
          <w:tcPr>
            <w:tcW w:w="1060" w:type="dxa"/>
            <w:vAlign w:val="bottom"/>
            <w:shd w:val="clear" w:color="auto" w:fill="004483"/>
          </w:tcPr>
          <w:p>
            <w:pPr>
              <w:spacing w:after="0"/>
              <w:rPr>
                <w:sz w:val="13"/>
                <w:szCs w:val="13"/>
                <w:color w:val="auto"/>
              </w:rPr>
            </w:pPr>
          </w:p>
        </w:tc>
        <w:tc>
          <w:tcPr>
            <w:tcW w:w="1800" w:type="dxa"/>
            <w:vAlign w:val="bottom"/>
            <w:gridSpan w:val="4"/>
            <w:shd w:val="clear" w:color="auto" w:fill="004483"/>
          </w:tcPr>
          <w:p>
            <w:pPr>
              <w:jc w:val="right"/>
              <w:ind w:right="1"/>
              <w:spacing w:after="0"/>
              <w:rPr>
                <w:sz w:val="20"/>
                <w:szCs w:val="20"/>
                <w:color w:val="auto"/>
              </w:rPr>
            </w:pPr>
            <w:r>
              <w:rPr>
                <w:rFonts w:ascii="Arial" w:cs="Arial" w:eastAsia="Arial" w:hAnsi="Arial"/>
                <w:sz w:val="13"/>
                <w:szCs w:val="13"/>
                <w:b w:val="1"/>
                <w:bCs w:val="1"/>
                <w:color w:val="FFFFFF"/>
                <w:w w:val="89"/>
              </w:rPr>
              <w:t>For the Years Ended March 31,</w:t>
            </w:r>
          </w:p>
        </w:tc>
        <w:tc>
          <w:tcPr>
            <w:tcW w:w="120" w:type="dxa"/>
            <w:vAlign w:val="bottom"/>
            <w:shd w:val="clear" w:color="auto" w:fill="004483"/>
          </w:tcPr>
          <w:p>
            <w:pPr>
              <w:spacing w:after="0"/>
              <w:rPr>
                <w:sz w:val="13"/>
                <w:szCs w:val="13"/>
                <w:color w:val="auto"/>
              </w:rPr>
            </w:pPr>
          </w:p>
        </w:tc>
        <w:tc>
          <w:tcPr>
            <w:tcW w:w="440" w:type="dxa"/>
            <w:vAlign w:val="bottom"/>
            <w:shd w:val="clear" w:color="auto" w:fill="004483"/>
          </w:tcPr>
          <w:p>
            <w:pPr>
              <w:spacing w:after="0"/>
              <w:rPr>
                <w:sz w:val="13"/>
                <w:szCs w:val="13"/>
                <w:color w:val="auto"/>
              </w:rPr>
            </w:pPr>
          </w:p>
        </w:tc>
        <w:tc>
          <w:tcPr>
            <w:tcW w:w="1140" w:type="dxa"/>
            <w:vAlign w:val="bottom"/>
            <w:shd w:val="clear" w:color="auto" w:fill="004483"/>
          </w:tcPr>
          <w:p>
            <w:pPr>
              <w:spacing w:after="0"/>
              <w:rPr>
                <w:sz w:val="13"/>
                <w:szCs w:val="13"/>
                <w:color w:val="auto"/>
              </w:rPr>
            </w:pPr>
          </w:p>
        </w:tc>
      </w:tr>
      <w:tr>
        <w:trPr>
          <w:trHeight w:val="134"/>
        </w:trPr>
        <w:tc>
          <w:tcPr>
            <w:tcW w:w="6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jc w:val="right"/>
              <w:ind w:right="100"/>
              <w:spacing w:after="0" w:line="134"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201"/>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180"/>
              <w:spacing w:after="0" w:line="134" w:lineRule="exact"/>
              <w:rPr>
                <w:sz w:val="20"/>
                <w:szCs w:val="20"/>
                <w:color w:val="auto"/>
              </w:rPr>
            </w:pPr>
            <w:r>
              <w:rPr>
                <w:rFonts w:ascii="Arial" w:cs="Arial" w:eastAsia="Arial" w:hAnsi="Arial"/>
                <w:sz w:val="13"/>
                <w:szCs w:val="13"/>
                <w:b w:val="1"/>
                <w:bCs w:val="1"/>
                <w:color w:val="auto"/>
              </w:rPr>
              <w:t>2020</w:t>
            </w:r>
          </w:p>
        </w:tc>
      </w:tr>
      <w:tr>
        <w:trPr>
          <w:trHeight w:val="183"/>
        </w:trPr>
        <w:tc>
          <w:tcPr>
            <w:tcW w:w="624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10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480" w:type="dxa"/>
            <w:vAlign w:val="bottom"/>
            <w:tcBorders>
              <w:bottom w:val="single" w:sz="8" w:color="004483"/>
            </w:tcBorders>
          </w:tcPr>
          <w:p>
            <w:pPr>
              <w:jc w:val="right"/>
              <w:ind w:right="301"/>
              <w:spacing w:after="0"/>
              <w:rPr>
                <w:sz w:val="20"/>
                <w:szCs w:val="20"/>
                <w:color w:val="auto"/>
              </w:rPr>
            </w:pPr>
            <w:r>
              <w:rPr>
                <w:rFonts w:ascii="Arial" w:cs="Arial" w:eastAsia="Arial" w:hAnsi="Arial"/>
                <w:sz w:val="13"/>
                <w:szCs w:val="13"/>
                <w:color w:val="auto"/>
                <w:w w:val="86"/>
              </w:rPr>
              <w:t>(dollars in thousands)</w:t>
            </w:r>
          </w:p>
        </w:tc>
        <w:tc>
          <w:tcPr>
            <w:tcW w:w="120" w:type="dxa"/>
            <w:vAlign w:val="bottom"/>
            <w:tcBorders>
              <w:bottom w:val="single" w:sz="8" w:color="004483"/>
            </w:tcBorders>
          </w:tcPr>
          <w:p>
            <w:pPr>
              <w:spacing w:after="0"/>
              <w:rPr>
                <w:sz w:val="15"/>
                <w:szCs w:val="15"/>
                <w:color w:val="auto"/>
              </w:rPr>
            </w:pPr>
          </w:p>
        </w:tc>
        <w:tc>
          <w:tcPr>
            <w:tcW w:w="44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spacing w:after="0"/>
              <w:rPr>
                <w:sz w:val="15"/>
                <w:szCs w:val="15"/>
                <w:color w:val="auto"/>
              </w:rPr>
            </w:pPr>
          </w:p>
        </w:tc>
      </w:tr>
      <w:tr>
        <w:trPr>
          <w:trHeight w:val="189"/>
        </w:trPr>
        <w:tc>
          <w:tcPr>
            <w:tcW w:w="6240" w:type="dxa"/>
            <w:vAlign w:val="bottom"/>
          </w:tcPr>
          <w:p>
            <w:pPr>
              <w:ind w:left="20"/>
              <w:spacing w:after="0"/>
              <w:rPr>
                <w:sz w:val="20"/>
                <w:szCs w:val="20"/>
                <w:color w:val="auto"/>
              </w:rPr>
            </w:pPr>
            <w:r>
              <w:rPr>
                <w:rFonts w:ascii="Arial" w:cs="Arial" w:eastAsia="Arial" w:hAnsi="Arial"/>
                <w:sz w:val="16"/>
                <w:szCs w:val="16"/>
                <w:b w:val="1"/>
                <w:bCs w:val="1"/>
                <w:color w:val="004483"/>
              </w:rPr>
              <w:t>Earnings Before Income Taxes</w:t>
            </w:r>
          </w:p>
        </w:tc>
        <w:tc>
          <w:tcPr>
            <w:tcW w:w="440" w:type="dxa"/>
            <w:vAlign w:val="bottom"/>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475,094</w:t>
            </w:r>
          </w:p>
        </w:tc>
        <w:tc>
          <w:tcPr>
            <w:tcW w:w="32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201"/>
              <w:spacing w:after="0"/>
              <w:rPr>
                <w:sz w:val="20"/>
                <w:szCs w:val="20"/>
                <w:color w:val="auto"/>
              </w:rPr>
            </w:pPr>
            <w:r>
              <w:rPr>
                <w:rFonts w:ascii="Arial" w:cs="Arial" w:eastAsia="Arial" w:hAnsi="Arial"/>
                <w:sz w:val="16"/>
                <w:szCs w:val="16"/>
                <w:b w:val="1"/>
                <w:bCs w:val="1"/>
                <w:color w:val="auto"/>
              </w:rPr>
              <w:t>424,112</w:t>
            </w:r>
          </w:p>
        </w:tc>
        <w:tc>
          <w:tcPr>
            <w:tcW w:w="5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80"/>
              <w:spacing w:after="0"/>
              <w:rPr>
                <w:sz w:val="20"/>
                <w:szCs w:val="20"/>
                <w:color w:val="auto"/>
              </w:rPr>
            </w:pPr>
            <w:r>
              <w:rPr>
                <w:rFonts w:ascii="Arial" w:cs="Arial" w:eastAsia="Arial" w:hAnsi="Arial"/>
                <w:sz w:val="16"/>
                <w:szCs w:val="16"/>
                <w:b w:val="1"/>
                <w:bCs w:val="1"/>
                <w:color w:val="auto"/>
              </w:rPr>
              <w:t>255,695</w:t>
            </w:r>
          </w:p>
        </w:tc>
      </w:tr>
      <w:tr>
        <w:trPr>
          <w:trHeight w:val="20"/>
        </w:trPr>
        <w:tc>
          <w:tcPr>
            <w:tcW w:w="6240" w:type="dxa"/>
            <w:vAlign w:val="bottom"/>
            <w:tcBorders>
              <w:bottom w:val="single" w:sz="8" w:color="A6A6A6"/>
            </w:tcBorders>
          </w:tcPr>
          <w:p>
            <w:pPr>
              <w:spacing w:after="0" w:line="20" w:lineRule="exact"/>
              <w:rPr>
                <w:sz w:val="1"/>
                <w:szCs w:val="1"/>
                <w:color w:val="auto"/>
              </w:rPr>
            </w:pPr>
          </w:p>
        </w:tc>
        <w:tc>
          <w:tcPr>
            <w:tcW w:w="440" w:type="dxa"/>
            <w:vAlign w:val="bottom"/>
            <w:tcBorders>
              <w:top w:val="single" w:sz="8" w:color="004483"/>
              <w:bottom w:val="single" w:sz="8" w:color="004483"/>
            </w:tcBorders>
          </w:tcPr>
          <w:p>
            <w:pPr>
              <w:spacing w:after="0" w:line="20" w:lineRule="exact"/>
              <w:rPr>
                <w:sz w:val="1"/>
                <w:szCs w:val="1"/>
                <w:color w:val="auto"/>
              </w:rPr>
            </w:pPr>
          </w:p>
        </w:tc>
        <w:tc>
          <w:tcPr>
            <w:tcW w:w="10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top w:val="single" w:sz="8" w:color="004483"/>
              <w:bottom w:val="single" w:sz="8" w:color="004483"/>
            </w:tcBorders>
          </w:tcPr>
          <w:p>
            <w:pPr>
              <w:spacing w:after="0" w:line="20" w:lineRule="exact"/>
              <w:rPr>
                <w:sz w:val="1"/>
                <w:szCs w:val="1"/>
                <w:color w:val="auto"/>
              </w:rPr>
            </w:pPr>
          </w:p>
        </w:tc>
        <w:tc>
          <w:tcPr>
            <w:tcW w:w="148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440" w:type="dxa"/>
            <w:vAlign w:val="bottom"/>
            <w:tcBorders>
              <w:top w:val="single" w:sz="8" w:color="004483"/>
              <w:bottom w:val="single" w:sz="8" w:color="004483"/>
            </w:tcBorders>
          </w:tcPr>
          <w:p>
            <w:pPr>
              <w:spacing w:after="0" w:line="20" w:lineRule="exact"/>
              <w:rPr>
                <w:sz w:val="1"/>
                <w:szCs w:val="1"/>
                <w:color w:val="auto"/>
              </w:rPr>
            </w:pPr>
          </w:p>
        </w:tc>
        <w:tc>
          <w:tcPr>
            <w:tcW w:w="1140" w:type="dxa"/>
            <w:vAlign w:val="bottom"/>
            <w:tcBorders>
              <w:top w:val="single" w:sz="8" w:color="004483"/>
              <w:bottom w:val="single" w:sz="8" w:color="004483"/>
            </w:tcBorders>
          </w:tcPr>
          <w:p>
            <w:pPr>
              <w:spacing w:after="0" w:line="20" w:lineRule="exact"/>
              <w:rPr>
                <w:sz w:val="1"/>
                <w:szCs w:val="1"/>
                <w:color w:val="auto"/>
              </w:rPr>
            </w:pPr>
          </w:p>
        </w:tc>
      </w:tr>
      <w:tr>
        <w:trPr>
          <w:trHeight w:val="170"/>
        </w:trPr>
        <w:tc>
          <w:tcPr>
            <w:tcW w:w="624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004483"/>
              </w:rPr>
              <w:t>Income Taxes at Statutory Rate</w:t>
            </w:r>
          </w:p>
        </w:tc>
        <w:tc>
          <w:tcPr>
            <w:tcW w:w="440" w:type="dxa"/>
            <w:vAlign w:val="bottom"/>
            <w:tcBorders>
              <w:bottom w:val="single" w:sz="8" w:color="A6A6A6"/>
            </w:tcBorders>
          </w:tcPr>
          <w:p>
            <w:pPr>
              <w:jc w:val="right"/>
              <w:ind w:right="284"/>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6A6A6"/>
            </w:tcBorders>
          </w:tcPr>
          <w:p>
            <w:pPr>
              <w:jc w:val="right"/>
              <w:ind w:right="100"/>
              <w:spacing w:after="0" w:line="170" w:lineRule="exact"/>
              <w:rPr>
                <w:sz w:val="20"/>
                <w:szCs w:val="20"/>
                <w:color w:val="auto"/>
              </w:rPr>
            </w:pPr>
            <w:r>
              <w:rPr>
                <w:rFonts w:ascii="Arial" w:cs="Arial" w:eastAsia="Arial" w:hAnsi="Arial"/>
                <w:sz w:val="16"/>
                <w:szCs w:val="16"/>
                <w:color w:val="auto"/>
              </w:rPr>
              <w:t>99,770</w:t>
            </w:r>
          </w:p>
        </w:tc>
        <w:tc>
          <w:tcPr>
            <w:tcW w:w="100" w:type="dxa"/>
            <w:vAlign w:val="bottom"/>
            <w:tcBorders>
              <w:bottom w:val="single" w:sz="8" w:color="A6A6A6"/>
            </w:tcBorders>
          </w:tcPr>
          <w:p>
            <w:pPr>
              <w:spacing w:after="0"/>
              <w:rPr>
                <w:sz w:val="14"/>
                <w:szCs w:val="14"/>
                <w:color w:val="auto"/>
              </w:rPr>
            </w:pPr>
          </w:p>
        </w:tc>
        <w:tc>
          <w:tcPr>
            <w:tcW w:w="120" w:type="dxa"/>
            <w:vAlign w:val="bottom"/>
            <w:tcBorders>
              <w:bottom w:val="single" w:sz="8" w:color="A6A6A6"/>
            </w:tcBorders>
          </w:tcPr>
          <w:p>
            <w:pPr>
              <w:spacing w:after="0"/>
              <w:rPr>
                <w:sz w:val="14"/>
                <w:szCs w:val="14"/>
                <w:color w:val="auto"/>
              </w:rPr>
            </w:pPr>
          </w:p>
        </w:tc>
        <w:tc>
          <w:tcPr>
            <w:tcW w:w="100" w:type="dxa"/>
            <w:vAlign w:val="bottom"/>
            <w:tcBorders>
              <w:bottom w:val="single" w:sz="8" w:color="A6A6A6"/>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6A6A6"/>
            </w:tcBorders>
          </w:tcPr>
          <w:p>
            <w:pPr>
              <w:jc w:val="right"/>
              <w:ind w:right="201"/>
              <w:spacing w:after="0" w:line="170" w:lineRule="exact"/>
              <w:rPr>
                <w:sz w:val="20"/>
                <w:szCs w:val="20"/>
                <w:color w:val="auto"/>
              </w:rPr>
            </w:pPr>
            <w:r>
              <w:rPr>
                <w:rFonts w:ascii="Arial" w:cs="Arial" w:eastAsia="Arial" w:hAnsi="Arial"/>
                <w:sz w:val="16"/>
                <w:szCs w:val="16"/>
                <w:color w:val="auto"/>
              </w:rPr>
              <w:t>89,063</w:t>
            </w:r>
          </w:p>
        </w:tc>
        <w:tc>
          <w:tcPr>
            <w:tcW w:w="120" w:type="dxa"/>
            <w:vAlign w:val="bottom"/>
            <w:tcBorders>
              <w:bottom w:val="single" w:sz="8" w:color="A6A6A6"/>
            </w:tcBorders>
          </w:tcPr>
          <w:p>
            <w:pPr>
              <w:spacing w:after="0"/>
              <w:rPr>
                <w:sz w:val="14"/>
                <w:szCs w:val="14"/>
                <w:color w:val="auto"/>
              </w:rPr>
            </w:pPr>
          </w:p>
        </w:tc>
        <w:tc>
          <w:tcPr>
            <w:tcW w:w="440" w:type="dxa"/>
            <w:vAlign w:val="bottom"/>
            <w:tcBorders>
              <w:bottom w:val="single" w:sz="8" w:color="A6A6A6"/>
            </w:tcBorders>
          </w:tcPr>
          <w:p>
            <w:pPr>
              <w:jc w:val="right"/>
              <w:ind w:right="25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180"/>
              <w:spacing w:after="0" w:line="170" w:lineRule="exact"/>
              <w:rPr>
                <w:sz w:val="20"/>
                <w:szCs w:val="20"/>
                <w:color w:val="auto"/>
              </w:rPr>
            </w:pPr>
            <w:r>
              <w:rPr>
                <w:rFonts w:ascii="Arial" w:cs="Arial" w:eastAsia="Arial" w:hAnsi="Arial"/>
                <w:sz w:val="16"/>
                <w:szCs w:val="16"/>
                <w:color w:val="auto"/>
              </w:rPr>
              <w:t>53,998</w:t>
            </w:r>
          </w:p>
        </w:tc>
      </w:tr>
      <w:tr>
        <w:trPr>
          <w:trHeight w:val="183"/>
        </w:trPr>
        <w:tc>
          <w:tcPr>
            <w:tcW w:w="62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Increases (Decreases) in Tax Resulting from</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spacing w:after="0"/>
              <w:rPr>
                <w:sz w:val="15"/>
                <w:szCs w:val="15"/>
                <w:color w:val="auto"/>
              </w:rPr>
            </w:pPr>
          </w:p>
        </w:tc>
      </w:tr>
      <w:tr>
        <w:trPr>
          <w:trHeight w:val="183"/>
        </w:trPr>
        <w:tc>
          <w:tcPr>
            <w:tcW w:w="6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State Income Taxes, net</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ind w:right="100"/>
              <w:spacing w:after="0" w:line="183" w:lineRule="exact"/>
              <w:rPr>
                <w:sz w:val="20"/>
                <w:szCs w:val="20"/>
                <w:color w:val="auto"/>
              </w:rPr>
            </w:pPr>
            <w:r>
              <w:rPr>
                <w:rFonts w:ascii="Arial" w:cs="Arial" w:eastAsia="Arial" w:hAnsi="Arial"/>
                <w:sz w:val="16"/>
                <w:szCs w:val="16"/>
                <w:color w:val="auto"/>
              </w:rPr>
              <w:t>12,743</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jc w:val="right"/>
              <w:ind w:right="201"/>
              <w:spacing w:after="0" w:line="183" w:lineRule="exact"/>
              <w:rPr>
                <w:sz w:val="20"/>
                <w:szCs w:val="20"/>
                <w:color w:val="auto"/>
              </w:rPr>
            </w:pPr>
            <w:r>
              <w:rPr>
                <w:rFonts w:ascii="Arial" w:cs="Arial" w:eastAsia="Arial" w:hAnsi="Arial"/>
                <w:sz w:val="16"/>
                <w:szCs w:val="16"/>
                <w:color w:val="auto"/>
              </w:rPr>
              <w:t>11,713</w:t>
            </w: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180"/>
              <w:spacing w:after="0" w:line="183" w:lineRule="exact"/>
              <w:rPr>
                <w:sz w:val="20"/>
                <w:szCs w:val="20"/>
                <w:color w:val="auto"/>
              </w:rPr>
            </w:pPr>
            <w:r>
              <w:rPr>
                <w:rFonts w:ascii="Arial" w:cs="Arial" w:eastAsia="Arial" w:hAnsi="Arial"/>
                <w:sz w:val="16"/>
                <w:szCs w:val="16"/>
                <w:color w:val="auto"/>
              </w:rPr>
              <w:t>3,579</w:t>
            </w:r>
          </w:p>
        </w:tc>
      </w:tr>
      <w:tr>
        <w:trPr>
          <w:trHeight w:val="183"/>
        </w:trPr>
        <w:tc>
          <w:tcPr>
            <w:tcW w:w="6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Statutory Depletion in Excess of Cost</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(7,796 )</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jc w:val="right"/>
              <w:ind w:right="101"/>
              <w:spacing w:after="0" w:line="183" w:lineRule="exact"/>
              <w:rPr>
                <w:sz w:val="20"/>
                <w:szCs w:val="20"/>
                <w:color w:val="auto"/>
              </w:rPr>
            </w:pPr>
            <w:r>
              <w:rPr>
                <w:rFonts w:ascii="Arial" w:cs="Arial" w:eastAsia="Arial" w:hAnsi="Arial"/>
                <w:sz w:val="16"/>
                <w:szCs w:val="16"/>
                <w:color w:val="auto"/>
              </w:rPr>
              <w:t>(5,263 )</w:t>
            </w: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100"/>
              <w:spacing w:after="0" w:line="183" w:lineRule="exact"/>
              <w:rPr>
                <w:sz w:val="20"/>
                <w:szCs w:val="20"/>
                <w:color w:val="auto"/>
              </w:rPr>
            </w:pPr>
            <w:r>
              <w:rPr>
                <w:rFonts w:ascii="Arial" w:cs="Arial" w:eastAsia="Arial" w:hAnsi="Arial"/>
                <w:sz w:val="16"/>
                <w:szCs w:val="16"/>
                <w:color w:val="auto"/>
              </w:rPr>
              <w:t>(3,078 )</w:t>
            </w:r>
          </w:p>
        </w:tc>
      </w:tr>
      <w:tr>
        <w:trPr>
          <w:trHeight w:val="183"/>
        </w:trPr>
        <w:tc>
          <w:tcPr>
            <w:tcW w:w="6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Excess Tax Benefit from Stock Compensation</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(3,048 )</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jc w:val="right"/>
              <w:ind w:right="101"/>
              <w:spacing w:after="0" w:line="183" w:lineRule="exact"/>
              <w:rPr>
                <w:sz w:val="20"/>
                <w:szCs w:val="20"/>
                <w:color w:val="auto"/>
              </w:rPr>
            </w:pPr>
            <w:r>
              <w:rPr>
                <w:rFonts w:ascii="Arial" w:cs="Arial" w:eastAsia="Arial" w:hAnsi="Arial"/>
                <w:sz w:val="16"/>
                <w:szCs w:val="16"/>
                <w:color w:val="auto"/>
              </w:rPr>
              <w:t>(3,229 )</w:t>
            </w: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180"/>
              <w:spacing w:after="0" w:line="183" w:lineRule="exact"/>
              <w:rPr>
                <w:sz w:val="20"/>
                <w:szCs w:val="20"/>
                <w:color w:val="auto"/>
              </w:rPr>
            </w:pPr>
            <w:r>
              <w:rPr>
                <w:rFonts w:ascii="Arial" w:cs="Arial" w:eastAsia="Arial" w:hAnsi="Arial"/>
                <w:sz w:val="16"/>
                <w:szCs w:val="16"/>
                <w:color w:val="auto"/>
              </w:rPr>
              <w:t>307</w:t>
            </w:r>
          </w:p>
        </w:tc>
      </w:tr>
      <w:tr>
        <w:trPr>
          <w:trHeight w:val="183"/>
        </w:trPr>
        <w:tc>
          <w:tcPr>
            <w:tcW w:w="6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Meals and Entertainment Disallowance</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ind w:right="100"/>
              <w:spacing w:after="0" w:line="183" w:lineRule="exact"/>
              <w:rPr>
                <w:sz w:val="20"/>
                <w:szCs w:val="20"/>
                <w:color w:val="auto"/>
              </w:rPr>
            </w:pPr>
            <w:r>
              <w:rPr>
                <w:rFonts w:ascii="Arial" w:cs="Arial" w:eastAsia="Arial" w:hAnsi="Arial"/>
                <w:sz w:val="16"/>
                <w:szCs w:val="16"/>
                <w:color w:val="auto"/>
              </w:rPr>
              <w:t>279</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jc w:val="right"/>
              <w:ind w:right="201"/>
              <w:spacing w:after="0" w:line="183" w:lineRule="exact"/>
              <w:rPr>
                <w:sz w:val="20"/>
                <w:szCs w:val="20"/>
                <w:color w:val="auto"/>
              </w:rPr>
            </w:pPr>
            <w:r>
              <w:rPr>
                <w:rFonts w:ascii="Arial" w:cs="Arial" w:eastAsia="Arial" w:hAnsi="Arial"/>
                <w:sz w:val="16"/>
                <w:szCs w:val="16"/>
                <w:color w:val="auto"/>
              </w:rPr>
              <w:t>220</w:t>
            </w: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180"/>
              <w:spacing w:after="0" w:line="183" w:lineRule="exact"/>
              <w:rPr>
                <w:sz w:val="20"/>
                <w:szCs w:val="20"/>
                <w:color w:val="auto"/>
              </w:rPr>
            </w:pPr>
            <w:r>
              <w:rPr>
                <w:rFonts w:ascii="Arial" w:cs="Arial" w:eastAsia="Arial" w:hAnsi="Arial"/>
                <w:sz w:val="16"/>
                <w:szCs w:val="16"/>
                <w:color w:val="auto"/>
              </w:rPr>
              <w:t>537</w:t>
            </w:r>
          </w:p>
        </w:tc>
      </w:tr>
      <w:tr>
        <w:trPr>
          <w:trHeight w:val="183"/>
        </w:trPr>
        <w:tc>
          <w:tcPr>
            <w:tcW w:w="6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Limitation on Officer's Compensation</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ind w:right="100"/>
              <w:spacing w:after="0" w:line="183" w:lineRule="exact"/>
              <w:rPr>
                <w:sz w:val="20"/>
                <w:szCs w:val="20"/>
                <w:color w:val="auto"/>
              </w:rPr>
            </w:pPr>
            <w:r>
              <w:rPr>
                <w:rFonts w:ascii="Arial" w:cs="Arial" w:eastAsia="Arial" w:hAnsi="Arial"/>
                <w:sz w:val="16"/>
                <w:szCs w:val="16"/>
                <w:color w:val="auto"/>
              </w:rPr>
              <w:t>2,568</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jc w:val="right"/>
              <w:ind w:right="201"/>
              <w:spacing w:after="0" w:line="183" w:lineRule="exact"/>
              <w:rPr>
                <w:sz w:val="20"/>
                <w:szCs w:val="20"/>
                <w:color w:val="auto"/>
              </w:rPr>
            </w:pPr>
            <w:r>
              <w:rPr>
                <w:rFonts w:ascii="Arial" w:cs="Arial" w:eastAsia="Arial" w:hAnsi="Arial"/>
                <w:sz w:val="16"/>
                <w:szCs w:val="16"/>
                <w:color w:val="auto"/>
              </w:rPr>
              <w:t>1,503</w:t>
            </w: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180"/>
              <w:spacing w:after="0" w:line="183" w:lineRule="exact"/>
              <w:rPr>
                <w:sz w:val="20"/>
                <w:szCs w:val="20"/>
                <w:color w:val="auto"/>
              </w:rPr>
            </w:pPr>
            <w:r>
              <w:rPr>
                <w:rFonts w:ascii="Arial" w:cs="Arial" w:eastAsia="Arial" w:hAnsi="Arial"/>
                <w:sz w:val="16"/>
                <w:szCs w:val="16"/>
                <w:color w:val="auto"/>
              </w:rPr>
              <w:t>1,018</w:t>
            </w:r>
          </w:p>
        </w:tc>
      </w:tr>
      <w:tr>
        <w:trPr>
          <w:trHeight w:val="183"/>
        </w:trPr>
        <w:tc>
          <w:tcPr>
            <w:tcW w:w="6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Impact of CARES Act of 2020</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jc w:val="right"/>
              <w:ind w:right="201"/>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100"/>
              <w:spacing w:after="0" w:line="183" w:lineRule="exact"/>
              <w:rPr>
                <w:sz w:val="20"/>
                <w:szCs w:val="20"/>
                <w:color w:val="auto"/>
              </w:rPr>
            </w:pPr>
            <w:r>
              <w:rPr>
                <w:rFonts w:ascii="Arial" w:cs="Arial" w:eastAsia="Arial" w:hAnsi="Arial"/>
                <w:sz w:val="16"/>
                <w:szCs w:val="16"/>
                <w:color w:val="auto"/>
              </w:rPr>
              <w:t>(35,936 )</w:t>
            </w:r>
          </w:p>
        </w:tc>
      </w:tr>
      <w:tr>
        <w:trPr>
          <w:trHeight w:val="183"/>
        </w:trPr>
        <w:tc>
          <w:tcPr>
            <w:tcW w:w="6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Credits</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jc w:val="right"/>
              <w:ind w:right="101"/>
              <w:spacing w:after="0" w:line="183" w:lineRule="exact"/>
              <w:rPr>
                <w:sz w:val="20"/>
                <w:szCs w:val="20"/>
                <w:color w:val="auto"/>
              </w:rPr>
            </w:pPr>
            <w:r>
              <w:rPr>
                <w:rFonts w:ascii="Arial" w:cs="Arial" w:eastAsia="Arial" w:hAnsi="Arial"/>
                <w:sz w:val="16"/>
                <w:szCs w:val="16"/>
                <w:color w:val="auto"/>
              </w:rPr>
              <w:t>(400 )</w:t>
            </w: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100"/>
              <w:spacing w:after="0" w:line="183" w:lineRule="exact"/>
              <w:rPr>
                <w:sz w:val="20"/>
                <w:szCs w:val="20"/>
                <w:color w:val="auto"/>
              </w:rPr>
            </w:pPr>
            <w:r>
              <w:rPr>
                <w:rFonts w:ascii="Arial" w:cs="Arial" w:eastAsia="Arial" w:hAnsi="Arial"/>
                <w:sz w:val="16"/>
                <w:szCs w:val="16"/>
                <w:color w:val="auto"/>
              </w:rPr>
              <w:t>(2,150 )</w:t>
            </w:r>
          </w:p>
        </w:tc>
      </w:tr>
      <w:tr>
        <w:trPr>
          <w:trHeight w:val="182"/>
        </w:trPr>
        <w:tc>
          <w:tcPr>
            <w:tcW w:w="6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Valuation Allowance</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ind w:right="20"/>
              <w:spacing w:after="0" w:line="183" w:lineRule="exact"/>
              <w:rPr>
                <w:sz w:val="20"/>
                <w:szCs w:val="20"/>
                <w:color w:val="auto"/>
              </w:rPr>
            </w:pPr>
            <w:r>
              <w:rPr>
                <w:rFonts w:ascii="Arial" w:cs="Arial" w:eastAsia="Arial" w:hAnsi="Arial"/>
                <w:sz w:val="16"/>
                <w:szCs w:val="16"/>
                <w:color w:val="auto"/>
              </w:rPr>
              <w:t>(4,556 )</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jc w:val="right"/>
              <w:ind w:right="201"/>
              <w:spacing w:after="0" w:line="183" w:lineRule="exact"/>
              <w:rPr>
                <w:sz w:val="20"/>
                <w:szCs w:val="20"/>
                <w:color w:val="auto"/>
              </w:rPr>
            </w:pPr>
            <w:r>
              <w:rPr>
                <w:rFonts w:ascii="Arial" w:cs="Arial" w:eastAsia="Arial" w:hAnsi="Arial"/>
                <w:sz w:val="16"/>
                <w:szCs w:val="16"/>
                <w:color w:val="auto"/>
              </w:rPr>
              <w:t>300</w:t>
            </w: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180"/>
              <w:spacing w:after="0" w:line="183" w:lineRule="exact"/>
              <w:rPr>
                <w:sz w:val="20"/>
                <w:szCs w:val="20"/>
                <w:color w:val="auto"/>
              </w:rPr>
            </w:pPr>
            <w:r>
              <w:rPr>
                <w:rFonts w:ascii="Arial" w:cs="Arial" w:eastAsia="Arial" w:hAnsi="Arial"/>
                <w:sz w:val="16"/>
                <w:szCs w:val="16"/>
                <w:color w:val="auto"/>
              </w:rPr>
              <w:t>2,212</w:t>
            </w:r>
          </w:p>
        </w:tc>
      </w:tr>
      <w:tr>
        <w:trPr>
          <w:trHeight w:val="183"/>
        </w:trPr>
        <w:tc>
          <w:tcPr>
            <w:tcW w:w="624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Change in Reserves</w:t>
            </w:r>
          </w:p>
        </w:tc>
        <w:tc>
          <w:tcPr>
            <w:tcW w:w="44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480" w:type="dxa"/>
            <w:vAlign w:val="bottom"/>
            <w:tcBorders>
              <w:bottom w:val="single" w:sz="8" w:color="A6A6A6"/>
            </w:tcBorders>
          </w:tcPr>
          <w:p>
            <w:pPr>
              <w:jc w:val="right"/>
              <w:ind w:right="101"/>
              <w:spacing w:after="0" w:line="183" w:lineRule="exact"/>
              <w:rPr>
                <w:sz w:val="20"/>
                <w:szCs w:val="20"/>
                <w:color w:val="auto"/>
              </w:rPr>
            </w:pPr>
            <w:r>
              <w:rPr>
                <w:rFonts w:ascii="Arial" w:cs="Arial" w:eastAsia="Arial" w:hAnsi="Arial"/>
                <w:sz w:val="16"/>
                <w:szCs w:val="16"/>
                <w:color w:val="auto"/>
              </w:rPr>
              <w:t>(2,916 )</w:t>
            </w:r>
          </w:p>
        </w:tc>
        <w:tc>
          <w:tcPr>
            <w:tcW w:w="12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140" w:type="dxa"/>
            <w:vAlign w:val="bottom"/>
            <w:tcBorders>
              <w:bottom w:val="single" w:sz="8" w:color="A6A6A6"/>
            </w:tcBorders>
          </w:tcPr>
          <w:p>
            <w:pPr>
              <w:jc w:val="right"/>
              <w:ind w:right="180"/>
              <w:spacing w:after="0" w:line="183" w:lineRule="exact"/>
              <w:rPr>
                <w:sz w:val="20"/>
                <w:szCs w:val="20"/>
                <w:color w:val="auto"/>
              </w:rPr>
            </w:pPr>
            <w:r>
              <w:rPr>
                <w:rFonts w:ascii="Arial" w:cs="Arial" w:eastAsia="Arial" w:hAnsi="Arial"/>
                <w:sz w:val="16"/>
                <w:szCs w:val="16"/>
                <w:color w:val="auto"/>
              </w:rPr>
              <w:t>4,200</w:t>
            </w:r>
          </w:p>
        </w:tc>
      </w:tr>
      <w:tr>
        <w:trPr>
          <w:trHeight w:val="183"/>
        </w:trPr>
        <w:tc>
          <w:tcPr>
            <w:tcW w:w="6240" w:type="dxa"/>
            <w:vAlign w:val="bottom"/>
          </w:tcPr>
          <w:p>
            <w:pPr>
              <w:ind w:left="200"/>
              <w:spacing w:after="0" w:line="183" w:lineRule="exact"/>
              <w:rPr>
                <w:sz w:val="20"/>
                <w:szCs w:val="20"/>
                <w:color w:val="auto"/>
              </w:rPr>
            </w:pPr>
            <w:r>
              <w:rPr>
                <w:rFonts w:ascii="Arial" w:cs="Arial" w:eastAsia="Arial" w:hAnsi="Arial"/>
                <w:sz w:val="16"/>
                <w:szCs w:val="16"/>
                <w:color w:val="004483"/>
              </w:rPr>
              <w:t>Other</w:t>
            </w:r>
          </w:p>
        </w:tc>
        <w:tc>
          <w:tcPr>
            <w:tcW w:w="440" w:type="dxa"/>
            <w:vAlign w:val="bottom"/>
          </w:tcPr>
          <w:p>
            <w:pPr>
              <w:spacing w:after="0"/>
              <w:rPr>
                <w:sz w:val="15"/>
                <w:szCs w:val="15"/>
                <w:color w:val="auto"/>
              </w:rPr>
            </w:pPr>
          </w:p>
        </w:tc>
        <w:tc>
          <w:tcPr>
            <w:tcW w:w="106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887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101"/>
              <w:spacing w:after="0" w:line="183" w:lineRule="exact"/>
              <w:rPr>
                <w:sz w:val="20"/>
                <w:szCs w:val="20"/>
                <w:color w:val="auto"/>
              </w:rPr>
            </w:pPr>
            <w:r>
              <w:rPr>
                <w:rFonts w:ascii="Arial" w:cs="Arial" w:eastAsia="Arial" w:hAnsi="Arial"/>
                <w:sz w:val="16"/>
                <w:szCs w:val="16"/>
                <w:color w:val="auto"/>
              </w:rPr>
              <w:t>(1,045 )</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(183 )</w:t>
            </w:r>
          </w:p>
        </w:tc>
      </w:tr>
      <w:tr>
        <w:trPr>
          <w:trHeight w:val="27"/>
        </w:trPr>
        <w:tc>
          <w:tcPr>
            <w:tcW w:w="6240" w:type="dxa"/>
            <w:vAlign w:val="bottom"/>
            <w:tcBorders>
              <w:bottom w:val="single" w:sz="8" w:color="A6A6A6"/>
            </w:tcBorders>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480" w:type="dxa"/>
            <w:vAlign w:val="bottom"/>
            <w:tcBorders>
              <w:bottom w:val="single" w:sz="8" w:color="004483"/>
            </w:tcBorders>
            <w:shd w:val="clear" w:color="auto" w:fill="004483"/>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r>
      <w:tr>
        <w:trPr>
          <w:trHeight w:val="183"/>
        </w:trPr>
        <w:tc>
          <w:tcPr>
            <w:tcW w:w="624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Provision for Income Taxes</w:t>
            </w:r>
          </w:p>
        </w:tc>
        <w:tc>
          <w:tcPr>
            <w:tcW w:w="440" w:type="dxa"/>
            <w:vAlign w:val="bottom"/>
            <w:tcBorders>
              <w:bottom w:val="single" w:sz="8" w:color="004483"/>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004483"/>
            </w:tcBorders>
          </w:tcPr>
          <w:p>
            <w:pPr>
              <w:jc w:val="right"/>
              <w:ind w:right="100"/>
              <w:spacing w:after="0" w:line="183" w:lineRule="exact"/>
              <w:rPr>
                <w:sz w:val="20"/>
                <w:szCs w:val="20"/>
                <w:color w:val="auto"/>
              </w:rPr>
            </w:pPr>
            <w:r>
              <w:rPr>
                <w:rFonts w:ascii="Arial" w:cs="Arial" w:eastAsia="Arial" w:hAnsi="Arial"/>
                <w:sz w:val="16"/>
                <w:szCs w:val="16"/>
                <w:b w:val="1"/>
                <w:bCs w:val="1"/>
                <w:color w:val="auto"/>
              </w:rPr>
              <w:t>100,847</w:t>
            </w:r>
          </w:p>
        </w:tc>
        <w:tc>
          <w:tcPr>
            <w:tcW w:w="100" w:type="dxa"/>
            <w:vAlign w:val="bottom"/>
            <w:tcBorders>
              <w:bottom w:val="single" w:sz="8" w:color="004483"/>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004483"/>
            </w:tcBorders>
          </w:tcPr>
          <w:p>
            <w:pPr>
              <w:jc w:val="right"/>
              <w:ind w:right="201"/>
              <w:spacing w:after="0" w:line="183" w:lineRule="exact"/>
              <w:rPr>
                <w:sz w:val="20"/>
                <w:szCs w:val="20"/>
                <w:color w:val="auto"/>
              </w:rPr>
            </w:pPr>
            <w:r>
              <w:rPr>
                <w:rFonts w:ascii="Arial" w:cs="Arial" w:eastAsia="Arial" w:hAnsi="Arial"/>
                <w:sz w:val="16"/>
                <w:szCs w:val="16"/>
                <w:b w:val="1"/>
                <w:bCs w:val="1"/>
                <w:color w:val="auto"/>
              </w:rPr>
              <w:t>89,946</w:t>
            </w:r>
          </w:p>
        </w:tc>
        <w:tc>
          <w:tcPr>
            <w:tcW w:w="120" w:type="dxa"/>
            <w:vAlign w:val="bottom"/>
          </w:tcPr>
          <w:p>
            <w:pPr>
              <w:spacing w:after="0"/>
              <w:rPr>
                <w:sz w:val="15"/>
                <w:szCs w:val="15"/>
                <w:color w:val="auto"/>
              </w:rPr>
            </w:pPr>
          </w:p>
        </w:tc>
        <w:tc>
          <w:tcPr>
            <w:tcW w:w="440" w:type="dxa"/>
            <w:vAlign w:val="bottom"/>
            <w:tcBorders>
              <w:bottom w:val="single" w:sz="8" w:color="004483"/>
            </w:tcBorders>
          </w:tcPr>
          <w:p>
            <w:pPr>
              <w:jc w:val="right"/>
              <w:ind w:right="259"/>
              <w:spacing w:after="0" w:line="183" w:lineRule="exact"/>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ind w:right="180"/>
              <w:spacing w:after="0" w:line="183" w:lineRule="exact"/>
              <w:rPr>
                <w:sz w:val="20"/>
                <w:szCs w:val="20"/>
                <w:color w:val="auto"/>
              </w:rPr>
            </w:pPr>
            <w:r>
              <w:rPr>
                <w:rFonts w:ascii="Arial" w:cs="Arial" w:eastAsia="Arial" w:hAnsi="Arial"/>
                <w:sz w:val="16"/>
                <w:szCs w:val="16"/>
                <w:b w:val="1"/>
                <w:bCs w:val="1"/>
                <w:color w:val="auto"/>
              </w:rPr>
              <w:t>24,504</w:t>
            </w:r>
          </w:p>
        </w:tc>
      </w:tr>
      <w:tr>
        <w:trPr>
          <w:trHeight w:val="20"/>
        </w:trPr>
        <w:tc>
          <w:tcPr>
            <w:tcW w:w="624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48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r>
      <w:tr>
        <w:trPr>
          <w:trHeight w:val="191"/>
        </w:trPr>
        <w:tc>
          <w:tcPr>
            <w:tcW w:w="6240" w:type="dxa"/>
            <w:vAlign w:val="bottom"/>
          </w:tcPr>
          <w:p>
            <w:pPr>
              <w:ind w:left="20"/>
              <w:spacing w:after="0"/>
              <w:rPr>
                <w:sz w:val="20"/>
                <w:szCs w:val="20"/>
                <w:color w:val="auto"/>
              </w:rPr>
            </w:pPr>
            <w:r>
              <w:rPr>
                <w:rFonts w:ascii="Arial" w:cs="Arial" w:eastAsia="Arial" w:hAnsi="Arial"/>
                <w:sz w:val="16"/>
                <w:szCs w:val="16"/>
                <w:b w:val="1"/>
                <w:bCs w:val="1"/>
                <w:color w:val="004483"/>
              </w:rPr>
              <w:t>Effective Tax Rate</w:t>
            </w: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10 %</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deferred income taxes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060" w:type="dxa"/>
            <w:vAlign w:val="bottom"/>
            <w:gridSpan w:val="3"/>
            <w:shd w:val="clear" w:color="auto" w:fill="004483"/>
          </w:tcPr>
          <w:p>
            <w:pPr>
              <w:jc w:val="right"/>
              <w:ind w:right="499"/>
              <w:spacing w:after="0"/>
              <w:rPr>
                <w:sz w:val="20"/>
                <w:szCs w:val="20"/>
                <w:color w:val="auto"/>
              </w:rPr>
            </w:pPr>
            <w:r>
              <w:rPr>
                <w:rFonts w:ascii="Arial" w:cs="Arial" w:eastAsia="Arial" w:hAnsi="Arial"/>
                <w:sz w:val="13"/>
                <w:szCs w:val="13"/>
                <w:b w:val="1"/>
                <w:bCs w:val="1"/>
                <w:color w:val="FFFFFF"/>
              </w:rPr>
              <w:t>March 31,</w:t>
            </w:r>
          </w:p>
        </w:tc>
        <w:tc>
          <w:tcPr>
            <w:tcW w:w="102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tcPr>
          <w:p>
            <w:pPr>
              <w:jc w:val="right"/>
              <w:ind w:right="42"/>
              <w:spacing w:after="0" w:line="134"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56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3"/>
          </w:tcPr>
          <w:p>
            <w:pPr>
              <w:jc w:val="right"/>
              <w:ind w:right="219"/>
              <w:spacing w:after="0"/>
              <w:rPr>
                <w:sz w:val="20"/>
                <w:szCs w:val="20"/>
                <w:color w:val="auto"/>
              </w:rPr>
            </w:pPr>
            <w:r>
              <w:rPr>
                <w:rFonts w:ascii="Arial" w:cs="Arial" w:eastAsia="Arial" w:hAnsi="Arial"/>
                <w:sz w:val="13"/>
                <w:szCs w:val="13"/>
                <w:color w:val="auto"/>
              </w:rPr>
              <w:t>(dollars in thousands)</w:t>
            </w:r>
          </w:p>
        </w:tc>
        <w:tc>
          <w:tcPr>
            <w:tcW w:w="102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Items Giving Rise to Deferred Tax Liabilities</w:t>
            </w:r>
          </w:p>
        </w:tc>
        <w:tc>
          <w:tcPr>
            <w:tcW w:w="560" w:type="dxa"/>
            <w:vAlign w:val="bottom"/>
            <w:tcBorders>
              <w:bottom w:val="single" w:sz="8" w:color="A6A6A6"/>
            </w:tcBorders>
          </w:tcPr>
          <w:p>
            <w:pPr>
              <w:spacing w:after="0"/>
              <w:rPr>
                <w:sz w:val="16"/>
                <w:szCs w:val="16"/>
                <w:color w:val="auto"/>
              </w:rPr>
            </w:pPr>
          </w:p>
        </w:tc>
        <w:tc>
          <w:tcPr>
            <w:tcW w:w="118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700" w:type="dxa"/>
            <w:vAlign w:val="bottom"/>
            <w:tcBorders>
              <w:bottom w:val="single" w:sz="8" w:color="A6A6A6"/>
            </w:tcBorders>
          </w:tcPr>
          <w:p>
            <w:pPr>
              <w:spacing w:after="0"/>
              <w:rPr>
                <w:sz w:val="16"/>
                <w:szCs w:val="16"/>
                <w:color w:val="auto"/>
              </w:rPr>
            </w:pPr>
          </w:p>
        </w:tc>
        <w:tc>
          <w:tcPr>
            <w:tcW w:w="1020" w:type="dxa"/>
            <w:vAlign w:val="bottom"/>
            <w:tcBorders>
              <w:bottom w:val="single" w:sz="8" w:color="A6A6A6"/>
            </w:tcBorders>
          </w:tcPr>
          <w:p>
            <w:pPr>
              <w:spacing w:after="0"/>
              <w:rPr>
                <w:sz w:val="16"/>
                <w:szCs w:val="16"/>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Excess Tax Depreciation and Amortization</w:t>
            </w:r>
          </w:p>
        </w:tc>
        <w:tc>
          <w:tcPr>
            <w:tcW w:w="560" w:type="dxa"/>
            <w:vAlign w:val="bottom"/>
            <w:tcBorders>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(242,335 )</w:t>
            </w:r>
          </w:p>
        </w:tc>
        <w:tc>
          <w:tcPr>
            <w:tcW w:w="880" w:type="dxa"/>
            <w:vAlign w:val="bottom"/>
            <w:tcBorders>
              <w:bottom w:val="single" w:sz="8" w:color="A6A6A6"/>
            </w:tcBorders>
            <w:gridSpan w:val="2"/>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(242,235 )</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Investment in Joint Venture Basis Differences</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(7,813 )</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(3,621 )</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Depletable Assets</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(3,769 )</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(6,740 )</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Right-of-Use Assets</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(5,897 )</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(6,506 )</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Inventory</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(548 )</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Pr>
          <w:p>
            <w:pPr>
              <w:ind w:left="200"/>
              <w:spacing w:after="0" w:line="183" w:lineRule="exact"/>
              <w:rPr>
                <w:sz w:val="20"/>
                <w:szCs w:val="20"/>
                <w:color w:val="auto"/>
              </w:rPr>
            </w:pPr>
            <w:r>
              <w:rPr>
                <w:rFonts w:ascii="Arial" w:cs="Arial" w:eastAsia="Arial" w:hAnsi="Arial"/>
                <w:sz w:val="16"/>
                <w:szCs w:val="16"/>
                <w:color w:val="004483"/>
              </w:rPr>
              <w:t>Other</w:t>
            </w:r>
          </w:p>
        </w:tc>
        <w:tc>
          <w:tcPr>
            <w:tcW w:w="5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(3,506 )</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(2,913 )</w:t>
            </w:r>
          </w:p>
        </w:tc>
      </w:tr>
      <w:tr>
        <w:trPr>
          <w:trHeight w:val="27"/>
        </w:trPr>
        <w:tc>
          <w:tcPr>
            <w:tcW w:w="760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118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r>
      <w:tr>
        <w:trPr>
          <w:trHeight w:val="183"/>
        </w:trPr>
        <w:tc>
          <w:tcPr>
            <w:tcW w:w="760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Deferred Tax Liabilities</w:t>
            </w:r>
          </w:p>
        </w:tc>
        <w:tc>
          <w:tcPr>
            <w:tcW w:w="560" w:type="dxa"/>
            <w:vAlign w:val="bottom"/>
            <w:tcBorders>
              <w:bottom w:val="single" w:sz="8" w:color="004483"/>
            </w:tcBorders>
          </w:tcPr>
          <w:p>
            <w:pPr>
              <w:jc w:val="right"/>
              <w:ind w:right="379"/>
              <w:spacing w:after="0" w:line="183"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(263,868 )</w:t>
            </w:r>
          </w:p>
        </w:tc>
        <w:tc>
          <w:tcPr>
            <w:tcW w:w="18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(262,015 )</w:t>
            </w:r>
          </w:p>
        </w:tc>
      </w:tr>
      <w:tr>
        <w:trPr>
          <w:trHeight w:val="20"/>
        </w:trPr>
        <w:tc>
          <w:tcPr>
            <w:tcW w:w="760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r>
        <w:trPr>
          <w:trHeight w:val="170"/>
        </w:trPr>
        <w:tc>
          <w:tcPr>
            <w:tcW w:w="760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Items Giving Rise to Deferred Tax Assets</w:t>
            </w:r>
          </w:p>
        </w:tc>
        <w:tc>
          <w:tcPr>
            <w:tcW w:w="560" w:type="dxa"/>
            <w:vAlign w:val="bottom"/>
            <w:tcBorders>
              <w:bottom w:val="single" w:sz="8" w:color="A6A6A6"/>
            </w:tcBorders>
          </w:tcPr>
          <w:p>
            <w:pPr>
              <w:spacing w:after="0"/>
              <w:rPr>
                <w:sz w:val="14"/>
                <w:szCs w:val="14"/>
                <w:color w:val="auto"/>
              </w:rPr>
            </w:pPr>
          </w:p>
        </w:tc>
        <w:tc>
          <w:tcPr>
            <w:tcW w:w="1180" w:type="dxa"/>
            <w:vAlign w:val="bottom"/>
            <w:tcBorders>
              <w:bottom w:val="single" w:sz="8" w:color="A6A6A6"/>
            </w:tcBorders>
          </w:tcPr>
          <w:p>
            <w:pPr>
              <w:spacing w:after="0"/>
              <w:rPr>
                <w:sz w:val="14"/>
                <w:szCs w:val="14"/>
                <w:color w:val="auto"/>
              </w:rPr>
            </w:pPr>
          </w:p>
        </w:tc>
        <w:tc>
          <w:tcPr>
            <w:tcW w:w="180" w:type="dxa"/>
            <w:vAlign w:val="bottom"/>
            <w:tcBorders>
              <w:bottom w:val="single" w:sz="8" w:color="A6A6A6"/>
            </w:tcBorders>
          </w:tcPr>
          <w:p>
            <w:pPr>
              <w:spacing w:after="0"/>
              <w:rPr>
                <w:sz w:val="14"/>
                <w:szCs w:val="14"/>
                <w:color w:val="auto"/>
              </w:rPr>
            </w:pPr>
          </w:p>
        </w:tc>
        <w:tc>
          <w:tcPr>
            <w:tcW w:w="700" w:type="dxa"/>
            <w:vAlign w:val="bottom"/>
            <w:tcBorders>
              <w:bottom w:val="single" w:sz="8" w:color="A6A6A6"/>
            </w:tcBorders>
          </w:tcPr>
          <w:p>
            <w:pPr>
              <w:spacing w:after="0"/>
              <w:rPr>
                <w:sz w:val="14"/>
                <w:szCs w:val="14"/>
                <w:color w:val="auto"/>
              </w:rPr>
            </w:pPr>
          </w:p>
        </w:tc>
        <w:tc>
          <w:tcPr>
            <w:tcW w:w="1020" w:type="dxa"/>
            <w:vAlign w:val="bottom"/>
            <w:tcBorders>
              <w:bottom w:val="single" w:sz="8" w:color="A6A6A6"/>
            </w:tcBorders>
          </w:tcPr>
          <w:p>
            <w:pPr>
              <w:spacing w:after="0"/>
              <w:rPr>
                <w:sz w:val="14"/>
                <w:szCs w:val="14"/>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Change in Accruals</w:t>
            </w:r>
          </w:p>
        </w:tc>
        <w:tc>
          <w:tcPr>
            <w:tcW w:w="560" w:type="dxa"/>
            <w:vAlign w:val="bottom"/>
            <w:tcBorders>
              <w:bottom w:val="single" w:sz="8" w:color="A6A6A6"/>
            </w:tcBorders>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13,255</w:t>
            </w:r>
          </w:p>
        </w:tc>
        <w:tc>
          <w:tcPr>
            <w:tcW w:w="880" w:type="dxa"/>
            <w:vAlign w:val="bottom"/>
            <w:tcBorders>
              <w:bottom w:val="single" w:sz="8" w:color="A6A6A6"/>
            </w:tcBorders>
            <w:gridSpan w:val="2"/>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13,859</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Inventory</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1,387</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Bad Debts</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1,600</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2,022</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Long-term Incentive Compensation Plan</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3,252</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3,940</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Credits and Other Carryforwards</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12,747</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17,338</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Lease Liability</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8,849</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10,141</w:t>
            </w:r>
          </w:p>
        </w:tc>
      </w:tr>
      <w:tr>
        <w:trPr>
          <w:trHeight w:val="210"/>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Pension</w:t>
            </w:r>
          </w:p>
        </w:tc>
        <w:tc>
          <w:tcPr>
            <w:tcW w:w="560" w:type="dxa"/>
            <w:vAlign w:val="bottom"/>
            <w:tcBorders>
              <w:bottom w:val="single" w:sz="8" w:color="004483"/>
            </w:tcBorders>
          </w:tcPr>
          <w:p>
            <w:pPr>
              <w:spacing w:after="0"/>
              <w:rPr>
                <w:sz w:val="18"/>
                <w:szCs w:val="18"/>
                <w:color w:val="auto"/>
              </w:rPr>
            </w:pPr>
          </w:p>
        </w:tc>
        <w:tc>
          <w:tcPr>
            <w:tcW w:w="118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color w:val="auto"/>
              </w:rPr>
              <w:t>1,001</w:t>
            </w: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1,103</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Subtotal</w:t>
            </w:r>
          </w:p>
        </w:tc>
        <w:tc>
          <w:tcPr>
            <w:tcW w:w="560" w:type="dxa"/>
            <w:vAlign w:val="bottom"/>
            <w:tcBorders>
              <w:bottom w:val="single" w:sz="8" w:color="A6A6A6"/>
            </w:tcBorders>
          </w:tcPr>
          <w:p>
            <w:pPr>
              <w:spacing w:after="0"/>
              <w:rPr>
                <w:sz w:val="15"/>
                <w:szCs w:val="15"/>
                <w:color w:val="auto"/>
              </w:rPr>
            </w:pPr>
          </w:p>
        </w:tc>
        <w:tc>
          <w:tcPr>
            <w:tcW w:w="11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40,704</w:t>
            </w: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102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49,790</w:t>
            </w:r>
          </w:p>
        </w:tc>
      </w:tr>
      <w:tr>
        <w:trPr>
          <w:trHeight w:val="182"/>
        </w:trPr>
        <w:tc>
          <w:tcPr>
            <w:tcW w:w="7600" w:type="dxa"/>
            <w:vAlign w:val="bottom"/>
          </w:tcPr>
          <w:p>
            <w:pPr>
              <w:ind w:left="200"/>
              <w:spacing w:after="0" w:line="183" w:lineRule="exact"/>
              <w:rPr>
                <w:sz w:val="20"/>
                <w:szCs w:val="20"/>
                <w:color w:val="auto"/>
              </w:rPr>
            </w:pPr>
            <w:r>
              <w:rPr>
                <w:rFonts w:ascii="Arial" w:cs="Arial" w:eastAsia="Arial" w:hAnsi="Arial"/>
                <w:sz w:val="16"/>
                <w:szCs w:val="16"/>
                <w:color w:val="004483"/>
              </w:rPr>
              <w:t>Valuation Allowance</w:t>
            </w:r>
          </w:p>
        </w:tc>
        <w:tc>
          <w:tcPr>
            <w:tcW w:w="5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(9,205 )</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(13,761 )</w:t>
            </w:r>
          </w:p>
        </w:tc>
      </w:tr>
      <w:tr>
        <w:trPr>
          <w:trHeight w:val="27"/>
        </w:trPr>
        <w:tc>
          <w:tcPr>
            <w:tcW w:w="760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118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r>
      <w:tr>
        <w:trPr>
          <w:trHeight w:val="183"/>
        </w:trPr>
        <w:tc>
          <w:tcPr>
            <w:tcW w:w="760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Deferred Tax Assets</w:t>
            </w:r>
          </w:p>
        </w:tc>
        <w:tc>
          <w:tcPr>
            <w:tcW w:w="560" w:type="dxa"/>
            <w:vAlign w:val="bottom"/>
            <w:tcBorders>
              <w:bottom w:val="single" w:sz="8" w:color="004483"/>
            </w:tcBorders>
          </w:tcPr>
          <w:p>
            <w:pPr>
              <w:jc w:val="right"/>
              <w:ind w:right="379"/>
              <w:spacing w:after="0" w:line="183"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31,499</w:t>
            </w:r>
          </w:p>
        </w:tc>
        <w:tc>
          <w:tcPr>
            <w:tcW w:w="18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36,029</w:t>
            </w:r>
          </w:p>
        </w:tc>
      </w:tr>
      <w:tr>
        <w:trPr>
          <w:trHeight w:val="20"/>
        </w:trPr>
        <w:tc>
          <w:tcPr>
            <w:tcW w:w="7600" w:type="dxa"/>
            <w:vAlign w:val="bottom"/>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Prior year amounts in the above table have been reclassified to conform to the current year presentation. We record Deferred Tax Assets and Liabilities based upon estimates of their realizable value with such estimates based upon likely future tax consequences. In assessing the need for a valuation allowance, we consider both positive and negative evidence related to the likelihood of realization of the Deferred Tax Assets. If, based on the weight of available evidence, it is more likely than not that a Deferred Tax Asset will not be realized, we record a Valuation Allowance.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3" w:name="page84"/>
    <w:bookmarkEnd w:id="83"/>
    <w:p>
      <w:pPr>
        <w:jc w:val="both"/>
        <w:ind w:right="240"/>
        <w:spacing w:after="0" w:line="287" w:lineRule="auto"/>
        <w:rPr>
          <w:sz w:val="20"/>
          <w:szCs w:val="20"/>
          <w:color w:val="auto"/>
        </w:rPr>
      </w:pPr>
      <w:r>
        <w:rPr>
          <w:rFonts w:ascii="Arial" w:cs="Arial" w:eastAsia="Arial" w:hAnsi="Arial"/>
          <w:sz w:val="18"/>
          <w:szCs w:val="18"/>
          <w:color w:val="auto"/>
        </w:rPr>
        <w:t>We have state net operating loss carryforwards of $0.9 million at March 31, 2022, and approximately $3.7 million at March 31, 2021, net of valuation allowance. We have state income tax credit carryforwards of $4.3 million at March 31, 2022, and $1.1 million at March 31, 2021, net of Valuation Allowances. The state income tax credits may be carried forward indefinitely.</w:t>
      </w:r>
    </w:p>
    <w:p>
      <w:pPr>
        <w:spacing w:after="0" w:line="94"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color w:val="auto"/>
        </w:rPr>
        <w:t>We file income tax returns in U.S. federal and various state jurisdictions. The Company is currently subject to U.S. federal income tax examinations for the year ended March 31, 2019 and forward.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4483"/>
        </w:rPr>
        <w:t>Uncertain Tax Positions</w:t>
      </w:r>
    </w:p>
    <w:p>
      <w:pPr>
        <w:spacing w:after="0" w:line="15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are subject to audit examinations at federal, state, and local levels by tax authorities in those jurisdictions who may challenge the treatment or reporting of any return item. The tax matters challenged by the tax authorities are typically complex; therefore, the ultimate outcome of these challenges is subject to uncertainty.</w:t>
      </w:r>
    </w:p>
    <w:p>
      <w:pPr>
        <w:spacing w:after="0" w:line="9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review and assess all tax positions subject to uncertainty on a more-likely-than-not standard with respect to ultimate outcome if challenged. We measure and record tax benefit or expense only when the more-likely-than-not threshold is met. The change in unrecognized tax benefits for the years ended March 31, 2022, 2021, and 2020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540" w:type="dxa"/>
            <w:vAlign w:val="bottom"/>
            <w:shd w:val="clear" w:color="auto" w:fill="004483"/>
          </w:tcPr>
          <w:p>
            <w:pPr>
              <w:spacing w:after="0"/>
              <w:rPr>
                <w:sz w:val="13"/>
                <w:szCs w:val="13"/>
                <w:color w:val="auto"/>
              </w:rPr>
            </w:pPr>
          </w:p>
        </w:tc>
        <w:tc>
          <w:tcPr>
            <w:tcW w:w="840" w:type="dxa"/>
            <w:vAlign w:val="bottom"/>
            <w:shd w:val="clear" w:color="auto" w:fill="004483"/>
          </w:tcPr>
          <w:p>
            <w:pPr>
              <w:spacing w:after="0"/>
              <w:rPr>
                <w:sz w:val="13"/>
                <w:szCs w:val="13"/>
                <w:color w:val="auto"/>
              </w:rPr>
            </w:pPr>
          </w:p>
        </w:tc>
        <w:tc>
          <w:tcPr>
            <w:tcW w:w="1900" w:type="dxa"/>
            <w:vAlign w:val="bottom"/>
            <w:gridSpan w:val="6"/>
            <w:shd w:val="clear" w:color="auto" w:fill="004483"/>
          </w:tcPr>
          <w:p>
            <w:pPr>
              <w:jc w:val="center"/>
              <w:ind w:right="20"/>
              <w:spacing w:after="0"/>
              <w:rPr>
                <w:sz w:val="20"/>
                <w:szCs w:val="20"/>
                <w:color w:val="auto"/>
              </w:rPr>
            </w:pPr>
            <w:r>
              <w:rPr>
                <w:rFonts w:ascii="Arial" w:cs="Arial" w:eastAsia="Arial" w:hAnsi="Arial"/>
                <w:sz w:val="13"/>
                <w:szCs w:val="13"/>
                <w:b w:val="1"/>
                <w:bCs w:val="1"/>
                <w:color w:val="FFFFFF"/>
                <w:w w:val="88"/>
              </w:rPr>
              <w:t>For the Years Ended March 31,</w:t>
            </w:r>
          </w:p>
        </w:tc>
        <w:tc>
          <w:tcPr>
            <w:tcW w:w="540" w:type="dxa"/>
            <w:vAlign w:val="bottom"/>
            <w:shd w:val="clear" w:color="auto" w:fill="004483"/>
          </w:tcPr>
          <w:p>
            <w:pPr>
              <w:spacing w:after="0"/>
              <w:rPr>
                <w:sz w:val="13"/>
                <w:szCs w:val="13"/>
                <w:color w:val="auto"/>
              </w:rPr>
            </w:pPr>
          </w:p>
        </w:tc>
        <w:tc>
          <w:tcPr>
            <w:tcW w:w="8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480" w:type="dxa"/>
            <w:vAlign w:val="bottom"/>
            <w:tcBorders>
              <w:bottom w:val="single" w:sz="8" w:color="004483"/>
            </w:tcBorders>
          </w:tcPr>
          <w:p>
            <w:pPr>
              <w:spacing w:after="0"/>
              <w:rPr>
                <w:sz w:val="15"/>
                <w:szCs w:val="15"/>
                <w:color w:val="auto"/>
              </w:rPr>
            </w:pPr>
          </w:p>
        </w:tc>
        <w:tc>
          <w:tcPr>
            <w:tcW w:w="54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3"/>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54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b w:val="1"/>
                <w:bCs w:val="1"/>
                <w:color w:val="004483"/>
              </w:rPr>
              <w:t>Balance at Beginning of Year</w:t>
            </w: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1,284</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Increase Related to Current Tax Positions</w:t>
            </w:r>
          </w:p>
        </w:tc>
        <w:tc>
          <w:tcPr>
            <w:tcW w:w="540" w:type="dxa"/>
            <w:vAlign w:val="bottom"/>
            <w:tcBorders>
              <w:top w:val="single" w:sz="8" w:color="A6A6A6"/>
              <w:bottom w:val="single" w:sz="8" w:color="A6A6A6"/>
            </w:tcBorders>
          </w:tcPr>
          <w:p>
            <w:pPr>
              <w:spacing w:after="0"/>
              <w:rPr>
                <w:sz w:val="15"/>
                <w:szCs w:val="15"/>
                <w:color w:val="auto"/>
              </w:rPr>
            </w:pPr>
          </w:p>
        </w:tc>
        <w:tc>
          <w:tcPr>
            <w:tcW w:w="8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12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1,284</w:t>
            </w:r>
          </w:p>
        </w:tc>
        <w:tc>
          <w:tcPr>
            <w:tcW w:w="10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540" w:type="dxa"/>
            <w:vAlign w:val="bottom"/>
            <w:tcBorders>
              <w:top w:val="single" w:sz="8" w:color="A6A6A6"/>
              <w:bottom w:val="single" w:sz="8" w:color="A6A6A6"/>
            </w:tcBorders>
          </w:tcPr>
          <w:p>
            <w:pPr>
              <w:spacing w:after="0"/>
              <w:rPr>
                <w:sz w:val="15"/>
                <w:szCs w:val="15"/>
                <w:color w:val="auto"/>
              </w:rPr>
            </w:pPr>
          </w:p>
        </w:tc>
        <w:tc>
          <w:tcPr>
            <w:tcW w:w="8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Decrease Related to Current Tax Positions</w:t>
            </w:r>
          </w:p>
        </w:tc>
        <w:tc>
          <w:tcPr>
            <w:tcW w:w="5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(4,200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6A6A6"/>
            </w:tcBorders>
          </w:tcPr>
          <w:p>
            <w:pPr>
              <w:spacing w:after="0"/>
              <w:rPr>
                <w:sz w:val="15"/>
                <w:szCs w:val="15"/>
                <w:color w:val="auto"/>
              </w:rPr>
            </w:pPr>
          </w:p>
        </w:tc>
        <w:tc>
          <w:tcPr>
            <w:tcW w:w="540" w:type="dxa"/>
            <w:vAlign w:val="bottom"/>
            <w:tcBorders>
              <w:bottom w:val="single" w:sz="8" w:color="A6A6A6"/>
            </w:tcBorders>
          </w:tcPr>
          <w:p>
            <w:pPr>
              <w:spacing w:after="0"/>
              <w:rPr>
                <w:sz w:val="15"/>
                <w:szCs w:val="15"/>
                <w:color w:val="auto"/>
              </w:rPr>
            </w:pPr>
          </w:p>
        </w:tc>
        <w:tc>
          <w:tcPr>
            <w:tcW w:w="8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Payments</w:t>
            </w:r>
          </w:p>
        </w:tc>
        <w:tc>
          <w:tcPr>
            <w:tcW w:w="5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A6A6A6"/>
            </w:tcBorders>
          </w:tcPr>
          <w:p>
            <w:pPr>
              <w:spacing w:after="0"/>
              <w:rPr>
                <w:sz w:val="2"/>
                <w:szCs w:val="2"/>
                <w:color w:val="auto"/>
              </w:rPr>
            </w:pPr>
          </w:p>
        </w:tc>
        <w:tc>
          <w:tcPr>
            <w:tcW w:w="540" w:type="dxa"/>
            <w:vAlign w:val="bottom"/>
            <w:tcBorders>
              <w:bottom w:val="single" w:sz="8" w:color="004483"/>
            </w:tcBorders>
            <w:shd w:val="clear" w:color="auto" w:fill="004483"/>
          </w:tcPr>
          <w:p>
            <w:pPr>
              <w:spacing w:after="0"/>
              <w:rPr>
                <w:sz w:val="2"/>
                <w:szCs w:val="2"/>
                <w:color w:val="auto"/>
              </w:rPr>
            </w:pPr>
          </w:p>
        </w:tc>
        <w:tc>
          <w:tcPr>
            <w:tcW w:w="84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2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540" w:type="dxa"/>
            <w:vAlign w:val="bottom"/>
            <w:tcBorders>
              <w:bottom w:val="single" w:sz="8" w:color="004483"/>
            </w:tcBorders>
            <w:shd w:val="clear" w:color="auto" w:fill="004483"/>
          </w:tcPr>
          <w:p>
            <w:pPr>
              <w:spacing w:after="0"/>
              <w:rPr>
                <w:sz w:val="2"/>
                <w:szCs w:val="2"/>
                <w:color w:val="auto"/>
              </w:rPr>
            </w:pPr>
          </w:p>
        </w:tc>
        <w:tc>
          <w:tcPr>
            <w:tcW w:w="8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540" w:type="dxa"/>
            <w:vAlign w:val="bottom"/>
            <w:tcBorders>
              <w:bottom w:val="single" w:sz="8" w:color="004483"/>
            </w:tcBorders>
          </w:tcPr>
          <w:p>
            <w:pPr>
              <w:jc w:val="right"/>
              <w:ind w:right="38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1,284</w:t>
            </w:r>
          </w:p>
        </w:tc>
        <w:tc>
          <w:tcPr>
            <w:tcW w:w="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1,284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004483"/>
            </w:tcBorders>
          </w:tcPr>
          <w:p>
            <w:pPr>
              <w:jc w:val="right"/>
              <w:ind w:right="359"/>
              <w:spacing w:after="0" w:line="183"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4,200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We recorded a $4.2 million reserve resulting from of a position we took on our fiscal 2020 federal tax return, which is related to the interest limitation under IRC Section 163(j) and the resulting carryback allowed under the CARES Act. This tax return position reflected an expected update to U.S. Department of the Treasury regulations. During fiscal 2021, the U.S. Department of Treasury issued updated regulations under IRC Section 163(j). As a result, in fiscal 2021 we reversed the reserve recorded in fiscal 2020.</w:t>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We classify interest and penalties related to uncertain tax positions as current income tax expense. We recorded no interest and penalties for each of the fiscal years ended March 31, 2022, 2021, and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4483"/>
        </w:rPr>
        <w:t>Tax Cuts and Jobs 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4483"/>
        </w:rPr>
        <w:t>CARES Act</w:t>
      </w:r>
    </w:p>
    <w:p>
      <w:pPr>
        <w:spacing w:after="0" w:line="166"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The CARES Act was enacted on March 27, 2020. The CARES Act, among other changes, allows for a five-year carryback of net operating losses (NOL) generated beginning in 2018 and ending before 2021. In March 2020, we recorded a tax benefit of $35.9 million related to the carryback and utilization of NOLs in prior-year tax periods at higher rates than the current statutory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color w:val="004483"/>
        </w:rPr>
        <w:t>(K) COMMITMENTS AND CONTINGENCIES</w:t>
      </w:r>
    </w:p>
    <w:p>
      <w:pPr>
        <w:spacing w:after="0" w:line="14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Our operations and properties are subject to extensive and changing federal, state, and local laws; regulations and ordinances governing the protection of the environment; as well as laws relating to worker health and workplace safety. We carefully consider the requirements mandated by such laws and regulations and have procedures in place at all of our operating units to monitor compliance. Any matters that are identified as potential exposures under these laws and regulations are carefully reviewed by management to determine our potential liability. Although management is not aware of any material exposures that require an accrual under generally accepted accounting principles, there can be no assurance that prior or future operations will not ultimately result in violations, claims, or other liabilities associated with these regulations.</w:t>
      </w:r>
    </w:p>
    <w:p>
      <w:pPr>
        <w:spacing w:after="0" w:line="101"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March 31, 2022, we had contingent liabilities under these outstanding letters of credit of approximately $5.0 million.</w:t>
      </w:r>
    </w:p>
    <w:p>
      <w:pPr>
        <w:spacing w:after="0" w:line="97"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We are currently contingently liable for performance under $25.9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Other</w:t>
      </w:r>
    </w:p>
    <w:p>
      <w:pPr>
        <w:spacing w:after="0" w:line="148"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In the ordinary course of business, we execute contracts involving indemnifications that are standard in the industry and indemnifications specific to a transaction such as the sale of a business. These indemnifications might include claims relating to any of the following: environmental and tax matters; intellectual property rights; governmental regulations and employment-related matters; customer, supplier, construction contractor, and other commercial contractual relationships; and financial matters. While the maximum amount to which we may be exposed under such agreements cannot be estimated, it is the opinion of management that these indemnifications are not expected to have a material adverse effect on the Company’s consolidated financial position, results of operations, or cash flows. We currently have no outstanding guarantees of third-party debt.</w:t>
      </w:r>
    </w:p>
    <w:p>
      <w:pPr>
        <w:spacing w:after="0" w:line="10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We have certain forward purchase contracts, primarily for natural gas, that expire during calendar years 2022 and 2023. The contracts are for approximately 30% of our anticipated natural gas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5" w:name="page86"/>
    <w:bookmarkEnd w:id="85"/>
    <w:p>
      <w:pPr>
        <w:spacing w:after="0"/>
        <w:rPr>
          <w:sz w:val="20"/>
          <w:szCs w:val="20"/>
          <w:color w:val="auto"/>
        </w:rPr>
      </w:pPr>
      <w:r>
        <w:rPr>
          <w:rFonts w:ascii="Arial" w:cs="Arial" w:eastAsia="Arial" w:hAnsi="Arial"/>
          <w:sz w:val="20"/>
          <w:szCs w:val="20"/>
          <w:b w:val="1"/>
          <w:bCs w:val="1"/>
          <w:color w:val="004483"/>
        </w:rPr>
        <w:t>(L) STOCK OPTION PLANS</w:t>
      </w:r>
    </w:p>
    <w:p>
      <w:pPr>
        <w:spacing w:after="0" w:line="148" w:lineRule="exact"/>
        <w:rPr>
          <w:sz w:val="20"/>
          <w:szCs w:val="20"/>
          <w:color w:val="auto"/>
        </w:rPr>
      </w:pPr>
    </w:p>
    <w:p>
      <w:pPr>
        <w:ind w:right="160"/>
        <w:spacing w:after="0" w:line="304" w:lineRule="auto"/>
        <w:rPr>
          <w:sz w:val="20"/>
          <w:szCs w:val="20"/>
          <w:color w:val="auto"/>
        </w:rPr>
      </w:pPr>
      <w:r>
        <w:rPr>
          <w:rFonts w:ascii="Arial" w:cs="Arial" w:eastAsia="Arial" w:hAnsi="Arial"/>
          <w:sz w:val="17"/>
          <w:szCs w:val="17"/>
          <w:color w:val="auto"/>
        </w:rPr>
        <w:t>On August 7, 2013, our stockholders approved the Eagle Materials Inc. Amended and Restated Incentive Plan (the Plan), which increased the shares we are authorized to issue as awards by 3,000,000 (1,500,000 of which may be stock awards). Under the terms of the Plan, we may issue equity awards, including stock options, restricted stock units (RSUs), restricted stock, and stock appreciation rights to employees of the Company and members of the Board of Directors. Awards that were already outstanding prior to the approval of the Plan remained outstanding. The Compensation Committee of our Board of Directors specifies the terms for grants of equity awards under the Plan.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Long-Term Compensation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OPTIONS</w:t>
      </w:r>
    </w:p>
    <w:p>
      <w:pPr>
        <w:spacing w:after="0" w:line="13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In May 2021, the Compensation Committee of the Board of Directors approved the granting to certain officers and key employees an aggregate of 4,293 performance-vesting stock options that would be earned only if certain performance conditions were satisfied (the Fiscal 2022 Employee Performance Stock Option Grant). The performance criterion for the Fiscal 2022 Employee Performance Stock Option Grant was based upon the achievement of certain levels of return on equity (as defined in the option agreements), ranging from 10.0% to 20.0%, for the fiscal year ending March 31, 2022. All stock options would be earned if the return on equity was 20.0% or greater, and the percentage of shares earned are reduced proportionately to approximately 66.7% if the return on equity was 10.0%. If the Company does not achieve a return on equity of at least 10.0%, all stock options granted would be forfeited. During fiscal 2022, our adjusted return on equity exceeded 20.0%; therefore, all 4,293 options were earned. The earned stock options will vest ratably over four years, with the first fourth vesting promptly following the determination date, and the remaining options vesting on March 31, 2023 through 2025. The Compensation Committee also approved the granting of 3,578 time-vesting stock options to the same officers and key employees, which vest ratably over a four-year period (the Fiscal 2022 Employee Time-Vesting Stock Option Grant). All of our stock options have a term of 10 years from the date of grant.</w:t>
      </w:r>
    </w:p>
    <w:p>
      <w:pPr>
        <w:spacing w:after="0" w:line="106"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color w:val="auto"/>
        </w:rPr>
        <w:t>All stock options issued during fiscal 2022 and 2021 were valued at the grant date using the Black-Scholes option pricing model. The weighted-average assumptions used in the Black-Scholes model to value the option awards in fiscal 2022 and 2021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Borders>
              <w:bottom w:val="single" w:sz="8" w:color="004483"/>
            </w:tcBorders>
          </w:tcPr>
          <w:p>
            <w:pPr>
              <w:spacing w:after="0"/>
              <w:rPr>
                <w:sz w:val="16"/>
                <w:szCs w:val="16"/>
                <w:color w:val="auto"/>
              </w:rPr>
            </w:pPr>
          </w:p>
        </w:tc>
        <w:tc>
          <w:tcPr>
            <w:tcW w:w="4760" w:type="dxa"/>
            <w:vAlign w:val="bottom"/>
            <w:tcBorders>
              <w:bottom w:val="single" w:sz="8" w:color="004483"/>
            </w:tcBorders>
          </w:tcPr>
          <w:p>
            <w:pPr>
              <w:jc w:val="right"/>
              <w:ind w:right="683"/>
              <w:spacing w:after="0"/>
              <w:rPr>
                <w:sz w:val="20"/>
                <w:szCs w:val="20"/>
                <w:color w:val="auto"/>
              </w:rPr>
            </w:pPr>
            <w:r>
              <w:rPr>
                <w:rFonts w:ascii="Arial" w:cs="Arial" w:eastAsia="Arial" w:hAnsi="Arial"/>
                <w:sz w:val="13"/>
                <w:szCs w:val="13"/>
                <w:b w:val="1"/>
                <w:bCs w:val="1"/>
                <w:color w:val="auto"/>
              </w:rPr>
              <w:t>2022</w:t>
            </w:r>
          </w:p>
        </w:tc>
        <w:tc>
          <w:tcPr>
            <w:tcW w:w="1440" w:type="dxa"/>
            <w:vAlign w:val="bottom"/>
            <w:tcBorders>
              <w:bottom w:val="single" w:sz="8" w:color="004483"/>
            </w:tcBorders>
          </w:tcPr>
          <w:p>
            <w:pPr>
              <w:jc w:val="right"/>
              <w:ind w:right="183"/>
              <w:spacing w:after="0"/>
              <w:rPr>
                <w:sz w:val="20"/>
                <w:szCs w:val="20"/>
                <w:color w:val="auto"/>
              </w:rPr>
            </w:pPr>
            <w:r>
              <w:rPr>
                <w:rFonts w:ascii="Arial" w:cs="Arial" w:eastAsia="Arial" w:hAnsi="Arial"/>
                <w:sz w:val="13"/>
                <w:szCs w:val="13"/>
                <w:b w:val="1"/>
                <w:bCs w:val="1"/>
                <w:color w:val="auto"/>
              </w:rPr>
              <w:t>2021</w:t>
            </w:r>
          </w:p>
        </w:tc>
      </w:tr>
      <w:tr>
        <w:trPr>
          <w:trHeight w:val="189"/>
        </w:trPr>
        <w:tc>
          <w:tcPr>
            <w:tcW w:w="50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Dividend Yield</w:t>
            </w:r>
          </w:p>
        </w:tc>
        <w:tc>
          <w:tcPr>
            <w:tcW w:w="4760" w:type="dxa"/>
            <w:vAlign w:val="bottom"/>
            <w:tcBorders>
              <w:bottom w:val="single" w:sz="8" w:color="A6A6A6"/>
            </w:tcBorders>
          </w:tcPr>
          <w:p>
            <w:pPr>
              <w:jc w:val="right"/>
              <w:ind w:right="523"/>
              <w:spacing w:after="0"/>
              <w:rPr>
                <w:sz w:val="20"/>
                <w:szCs w:val="20"/>
                <w:color w:val="auto"/>
              </w:rPr>
            </w:pPr>
            <w:r>
              <w:rPr>
                <w:rFonts w:ascii="Arial" w:cs="Arial" w:eastAsia="Arial" w:hAnsi="Arial"/>
                <w:sz w:val="16"/>
                <w:szCs w:val="16"/>
                <w:color w:val="auto"/>
              </w:rPr>
              <w:t>0.8 %</w:t>
            </w:r>
          </w:p>
        </w:tc>
        <w:tc>
          <w:tcPr>
            <w:tcW w:w="1440" w:type="dxa"/>
            <w:vAlign w:val="bottom"/>
            <w:tcBorders>
              <w:bottom w:val="single" w:sz="8" w:color="A6A6A6"/>
            </w:tcBorders>
          </w:tcPr>
          <w:p>
            <w:pPr>
              <w:jc w:val="right"/>
              <w:ind w:right="23"/>
              <w:spacing w:after="0"/>
              <w:rPr>
                <w:sz w:val="20"/>
                <w:szCs w:val="20"/>
                <w:color w:val="auto"/>
              </w:rPr>
            </w:pPr>
            <w:r>
              <w:rPr>
                <w:rFonts w:ascii="Arial" w:cs="Arial" w:eastAsia="Arial" w:hAnsi="Arial"/>
                <w:sz w:val="16"/>
                <w:szCs w:val="16"/>
                <w:color w:val="auto"/>
              </w:rPr>
              <w:t>0.0 %</w:t>
            </w:r>
          </w:p>
        </w:tc>
      </w:tr>
      <w:tr>
        <w:trPr>
          <w:trHeight w:val="183"/>
        </w:trPr>
        <w:tc>
          <w:tcPr>
            <w:tcW w:w="5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Expected Volatility</w:t>
            </w:r>
          </w:p>
        </w:tc>
        <w:tc>
          <w:tcPr>
            <w:tcW w:w="4760" w:type="dxa"/>
            <w:vAlign w:val="bottom"/>
            <w:tcBorders>
              <w:bottom w:val="single" w:sz="8" w:color="A6A6A6"/>
            </w:tcBorders>
          </w:tcPr>
          <w:p>
            <w:pPr>
              <w:jc w:val="right"/>
              <w:ind w:right="523"/>
              <w:spacing w:after="0" w:line="183" w:lineRule="exact"/>
              <w:rPr>
                <w:sz w:val="20"/>
                <w:szCs w:val="20"/>
                <w:color w:val="auto"/>
              </w:rPr>
            </w:pPr>
            <w:r>
              <w:rPr>
                <w:rFonts w:ascii="Arial" w:cs="Arial" w:eastAsia="Arial" w:hAnsi="Arial"/>
                <w:sz w:val="16"/>
                <w:szCs w:val="16"/>
                <w:color w:val="auto"/>
              </w:rPr>
              <w:t>38.4 %</w:t>
            </w:r>
          </w:p>
        </w:tc>
        <w:tc>
          <w:tcPr>
            <w:tcW w:w="144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37.9 %</w:t>
            </w:r>
          </w:p>
        </w:tc>
      </w:tr>
      <w:tr>
        <w:trPr>
          <w:trHeight w:val="183"/>
        </w:trPr>
        <w:tc>
          <w:tcPr>
            <w:tcW w:w="5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Risk-Free Interest Rate</w:t>
            </w:r>
          </w:p>
        </w:tc>
        <w:tc>
          <w:tcPr>
            <w:tcW w:w="4760" w:type="dxa"/>
            <w:vAlign w:val="bottom"/>
            <w:tcBorders>
              <w:bottom w:val="single" w:sz="8" w:color="A6A6A6"/>
            </w:tcBorders>
          </w:tcPr>
          <w:p>
            <w:pPr>
              <w:jc w:val="right"/>
              <w:ind w:right="523"/>
              <w:spacing w:after="0" w:line="183" w:lineRule="exact"/>
              <w:rPr>
                <w:sz w:val="20"/>
                <w:szCs w:val="20"/>
                <w:color w:val="auto"/>
              </w:rPr>
            </w:pPr>
            <w:r>
              <w:rPr>
                <w:rFonts w:ascii="Arial" w:cs="Arial" w:eastAsia="Arial" w:hAnsi="Arial"/>
                <w:sz w:val="16"/>
                <w:szCs w:val="16"/>
                <w:color w:val="auto"/>
              </w:rPr>
              <w:t>1.00 %</w:t>
            </w:r>
          </w:p>
        </w:tc>
        <w:tc>
          <w:tcPr>
            <w:tcW w:w="144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0.44 %</w:t>
            </w:r>
          </w:p>
        </w:tc>
      </w:tr>
      <w:tr>
        <w:trPr>
          <w:trHeight w:val="183"/>
        </w:trPr>
        <w:tc>
          <w:tcPr>
            <w:tcW w:w="50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Expected Life</w:t>
            </w:r>
          </w:p>
        </w:tc>
        <w:tc>
          <w:tcPr>
            <w:tcW w:w="4760" w:type="dxa"/>
            <w:vAlign w:val="bottom"/>
            <w:tcBorders>
              <w:bottom w:val="single" w:sz="8" w:color="A6A6A6"/>
            </w:tcBorders>
          </w:tcPr>
          <w:p>
            <w:pPr>
              <w:jc w:val="right"/>
              <w:ind w:right="683"/>
              <w:spacing w:after="0" w:line="183" w:lineRule="exact"/>
              <w:rPr>
                <w:sz w:val="20"/>
                <w:szCs w:val="20"/>
                <w:color w:val="auto"/>
              </w:rPr>
            </w:pPr>
            <w:r>
              <w:rPr>
                <w:rFonts w:ascii="Arial" w:cs="Arial" w:eastAsia="Arial" w:hAnsi="Arial"/>
                <w:sz w:val="16"/>
                <w:szCs w:val="16"/>
                <w:color w:val="auto"/>
              </w:rPr>
              <w:t>6.0 years</w:t>
            </w:r>
          </w:p>
        </w:tc>
        <w:tc>
          <w:tcPr>
            <w:tcW w:w="1440" w:type="dxa"/>
            <w:vAlign w:val="bottom"/>
            <w:tcBorders>
              <w:bottom w:val="single" w:sz="8" w:color="A6A6A6"/>
            </w:tcBorders>
          </w:tcPr>
          <w:p>
            <w:pPr>
              <w:jc w:val="right"/>
              <w:ind w:right="183"/>
              <w:spacing w:after="0" w:line="183" w:lineRule="exact"/>
              <w:rPr>
                <w:sz w:val="20"/>
                <w:szCs w:val="20"/>
                <w:color w:val="auto"/>
              </w:rPr>
            </w:pPr>
            <w:r>
              <w:rPr>
                <w:rFonts w:ascii="Arial" w:cs="Arial" w:eastAsia="Arial" w:hAnsi="Arial"/>
                <w:sz w:val="16"/>
                <w:szCs w:val="16"/>
                <w:color w:val="auto"/>
              </w:rPr>
              <w:t>6.0 years</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6" w:name="page87"/>
    <w:bookmarkEnd w:id="86"/>
    <w:p>
      <w:pPr>
        <w:ind w:right="320"/>
        <w:spacing w:after="0" w:line="287" w:lineRule="auto"/>
        <w:rPr>
          <w:sz w:val="20"/>
          <w:szCs w:val="20"/>
          <w:color w:val="auto"/>
        </w:rPr>
      </w:pPr>
      <w:r>
        <w:rPr>
          <w:rFonts w:ascii="Arial" w:cs="Arial" w:eastAsia="Arial" w:hAnsi="Arial"/>
          <w:sz w:val="18"/>
          <w:szCs w:val="18"/>
          <w:color w:val="auto"/>
        </w:rPr>
        <w:t>Stock option expense for all outstanding stock option awards was approximately $3.4 million, $4.9 million, and $4.5 million for the years ended March 31, 2022, 2021, and 2020, respectively. At March 31, 2022, there was approximately $3.7 million of unrecognized compensation cost related to outstanding stock options, which is expected to be recognized over a weighted-average period of 1.8 years.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years presented: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00" w:type="dxa"/>
            <w:vAlign w:val="bottom"/>
          </w:tcPr>
          <w:p>
            <w:pPr>
              <w:spacing w:after="0"/>
              <w:rPr>
                <w:sz w:val="13"/>
                <w:szCs w:val="13"/>
                <w:color w:val="auto"/>
              </w:rPr>
            </w:pPr>
          </w:p>
        </w:tc>
        <w:tc>
          <w:tcPr>
            <w:tcW w:w="10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40" w:type="dxa"/>
            <w:vAlign w:val="bottom"/>
            <w:shd w:val="clear" w:color="auto" w:fill="004483"/>
          </w:tcPr>
          <w:p>
            <w:pPr>
              <w:spacing w:after="0"/>
              <w:rPr>
                <w:sz w:val="13"/>
                <w:szCs w:val="13"/>
                <w:color w:val="auto"/>
              </w:rPr>
            </w:pPr>
          </w:p>
        </w:tc>
        <w:tc>
          <w:tcPr>
            <w:tcW w:w="8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2180" w:type="dxa"/>
            <w:vAlign w:val="bottom"/>
            <w:gridSpan w:val="4"/>
            <w:shd w:val="clear" w:color="auto" w:fill="004483"/>
          </w:tcPr>
          <w:p>
            <w:pPr>
              <w:jc w:val="right"/>
              <w:ind w:right="287"/>
              <w:spacing w:after="0"/>
              <w:rPr>
                <w:sz w:val="20"/>
                <w:szCs w:val="20"/>
                <w:color w:val="auto"/>
              </w:rPr>
            </w:pPr>
            <w:r>
              <w:rPr>
                <w:rFonts w:ascii="Arial" w:cs="Arial" w:eastAsia="Arial" w:hAnsi="Arial"/>
                <w:sz w:val="13"/>
                <w:szCs w:val="13"/>
                <w:b w:val="1"/>
                <w:bCs w:val="1"/>
                <w:color w:val="FFFFFF"/>
                <w:w w:val="94"/>
              </w:rPr>
              <w:t>For the Years Ended March 31,</w:t>
            </w:r>
          </w:p>
        </w:tc>
        <w:tc>
          <w:tcPr>
            <w:tcW w:w="80" w:type="dxa"/>
            <w:vAlign w:val="bottom"/>
            <w:shd w:val="clear" w:color="auto" w:fill="004483"/>
          </w:tcPr>
          <w:p>
            <w:pPr>
              <w:spacing w:after="0"/>
              <w:rPr>
                <w:sz w:val="13"/>
                <w:szCs w:val="13"/>
                <w:color w:val="auto"/>
              </w:rPr>
            </w:pPr>
          </w:p>
        </w:tc>
        <w:tc>
          <w:tcPr>
            <w:tcW w:w="10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240" w:type="dxa"/>
            <w:vAlign w:val="bottom"/>
            <w:shd w:val="clear" w:color="auto" w:fill="004483"/>
          </w:tcPr>
          <w:p>
            <w:pPr>
              <w:spacing w:after="0"/>
              <w:rPr>
                <w:sz w:val="13"/>
                <w:szCs w:val="13"/>
                <w:color w:val="auto"/>
              </w:rPr>
            </w:pPr>
          </w:p>
        </w:tc>
        <w:tc>
          <w:tcPr>
            <w:tcW w:w="8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400" w:type="dxa"/>
            <w:vAlign w:val="bottom"/>
            <w:gridSpan w:val="3"/>
          </w:tcPr>
          <w:p>
            <w:pPr>
              <w:jc w:val="right"/>
              <w:ind w:right="144"/>
              <w:spacing w:after="0"/>
              <w:rPr>
                <w:sz w:val="20"/>
                <w:szCs w:val="20"/>
                <w:color w:val="auto"/>
              </w:rPr>
            </w:pPr>
            <w:r>
              <w:rPr>
                <w:rFonts w:ascii="Arial" w:cs="Arial" w:eastAsia="Arial" w:hAnsi="Arial"/>
                <w:sz w:val="13"/>
                <w:szCs w:val="13"/>
                <w:b w:val="1"/>
                <w:bCs w:val="1"/>
                <w:color w:val="auto"/>
              </w:rPr>
              <w:t>2022</w:t>
            </w:r>
          </w:p>
        </w:tc>
        <w:tc>
          <w:tcPr>
            <w:tcW w:w="840" w:type="dxa"/>
            <w:vAlign w:val="bottom"/>
          </w:tcPr>
          <w:p>
            <w:pPr>
              <w:spacing w:after="0"/>
              <w:rPr>
                <w:sz w:val="14"/>
                <w:szCs w:val="14"/>
                <w:color w:val="auto"/>
              </w:rPr>
            </w:pPr>
          </w:p>
        </w:tc>
        <w:tc>
          <w:tcPr>
            <w:tcW w:w="1460" w:type="dxa"/>
            <w:vAlign w:val="bottom"/>
            <w:gridSpan w:val="4"/>
          </w:tcPr>
          <w:p>
            <w:pPr>
              <w:jc w:val="right"/>
              <w:ind w:right="124"/>
              <w:spacing w:after="0"/>
              <w:rPr>
                <w:sz w:val="20"/>
                <w:szCs w:val="20"/>
                <w:color w:val="auto"/>
              </w:rPr>
            </w:pPr>
            <w:r>
              <w:rPr>
                <w:rFonts w:ascii="Arial" w:cs="Arial" w:eastAsia="Arial" w:hAnsi="Arial"/>
                <w:sz w:val="13"/>
                <w:szCs w:val="13"/>
                <w:b w:val="1"/>
                <w:bCs w:val="1"/>
                <w:color w:val="auto"/>
              </w:rPr>
              <w:t>2021</w:t>
            </w:r>
          </w:p>
        </w:tc>
        <w:tc>
          <w:tcPr>
            <w:tcW w:w="820" w:type="dxa"/>
            <w:vAlign w:val="bottom"/>
          </w:tcPr>
          <w:p>
            <w:pPr>
              <w:spacing w:after="0"/>
              <w:rPr>
                <w:sz w:val="14"/>
                <w:szCs w:val="14"/>
                <w:color w:val="auto"/>
              </w:rPr>
            </w:pPr>
          </w:p>
        </w:tc>
        <w:tc>
          <w:tcPr>
            <w:tcW w:w="1420" w:type="dxa"/>
            <w:vAlign w:val="bottom"/>
            <w:gridSpan w:val="4"/>
          </w:tcPr>
          <w:p>
            <w:pPr>
              <w:jc w:val="right"/>
              <w:ind w:right="99"/>
              <w:spacing w:after="0"/>
              <w:rPr>
                <w:sz w:val="20"/>
                <w:szCs w:val="20"/>
                <w:color w:val="auto"/>
              </w:rPr>
            </w:pPr>
            <w:r>
              <w:rPr>
                <w:rFonts w:ascii="Arial" w:cs="Arial" w:eastAsia="Arial" w:hAnsi="Arial"/>
                <w:sz w:val="13"/>
                <w:szCs w:val="13"/>
                <w:b w:val="1"/>
                <w:bCs w:val="1"/>
                <w:color w:val="auto"/>
              </w:rPr>
              <w:t>2020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040" w:type="dxa"/>
            <w:vAlign w:val="bottom"/>
            <w:tcBorders>
              <w:top w:val="single" w:sz="8" w:color="004483"/>
            </w:tcBorders>
          </w:tcPr>
          <w:p>
            <w:pPr>
              <w:spacing w:after="0"/>
              <w:rPr>
                <w:sz w:val="9"/>
                <w:szCs w:val="9"/>
                <w:color w:val="auto"/>
              </w:rPr>
            </w:pPr>
          </w:p>
        </w:tc>
        <w:tc>
          <w:tcPr>
            <w:tcW w:w="120" w:type="dxa"/>
            <w:vAlign w:val="bottom"/>
            <w:tcBorders>
              <w:top w:val="single" w:sz="8" w:color="004483"/>
            </w:tcBorders>
          </w:tcPr>
          <w:p>
            <w:pPr>
              <w:spacing w:after="0"/>
              <w:rPr>
                <w:sz w:val="9"/>
                <w:szCs w:val="9"/>
                <w:color w:val="auto"/>
              </w:rPr>
            </w:pPr>
          </w:p>
        </w:tc>
        <w:tc>
          <w:tcPr>
            <w:tcW w:w="240" w:type="dxa"/>
            <w:vAlign w:val="bottom"/>
            <w:tcBorders>
              <w:top w:val="single" w:sz="8" w:color="004483"/>
            </w:tcBorders>
          </w:tcPr>
          <w:p>
            <w:pPr>
              <w:spacing w:after="0"/>
              <w:rPr>
                <w:sz w:val="9"/>
                <w:szCs w:val="9"/>
                <w:color w:val="auto"/>
              </w:rPr>
            </w:pPr>
          </w:p>
        </w:tc>
        <w:tc>
          <w:tcPr>
            <w:tcW w:w="840" w:type="dxa"/>
            <w:vAlign w:val="bottom"/>
            <w:tcBorders>
              <w:top w:val="single" w:sz="8" w:color="004483"/>
            </w:tcBorders>
          </w:tcPr>
          <w:p>
            <w:pPr>
              <w:jc w:val="right"/>
              <w:ind w:right="67"/>
              <w:spacing w:after="0" w:line="108" w:lineRule="exact"/>
              <w:rPr>
                <w:sz w:val="20"/>
                <w:szCs w:val="20"/>
                <w:color w:val="auto"/>
              </w:rPr>
            </w:pPr>
            <w:r>
              <w:rPr>
                <w:rFonts w:ascii="Arial" w:cs="Arial" w:eastAsia="Arial" w:hAnsi="Arial"/>
                <w:sz w:val="12"/>
                <w:szCs w:val="12"/>
                <w:b w:val="1"/>
                <w:bCs w:val="1"/>
                <w:color w:val="auto"/>
              </w:rPr>
              <w:t>Weighted-</w:t>
            </w:r>
          </w:p>
        </w:tc>
        <w:tc>
          <w:tcPr>
            <w:tcW w:w="100" w:type="dxa"/>
            <w:vAlign w:val="bottom"/>
          </w:tcPr>
          <w:p>
            <w:pPr>
              <w:spacing w:after="0"/>
              <w:rPr>
                <w:sz w:val="9"/>
                <w:szCs w:val="9"/>
                <w:color w:val="auto"/>
              </w:rPr>
            </w:pPr>
          </w:p>
        </w:tc>
        <w:tc>
          <w:tcPr>
            <w:tcW w:w="1040" w:type="dxa"/>
            <w:vAlign w:val="bottom"/>
            <w:tcBorders>
              <w:top w:val="single" w:sz="8" w:color="004483"/>
            </w:tcBorders>
          </w:tcPr>
          <w:p>
            <w:pPr>
              <w:spacing w:after="0"/>
              <w:rPr>
                <w:sz w:val="9"/>
                <w:szCs w:val="9"/>
                <w:color w:val="auto"/>
              </w:rPr>
            </w:pPr>
          </w:p>
        </w:tc>
        <w:tc>
          <w:tcPr>
            <w:tcW w:w="100" w:type="dxa"/>
            <w:vAlign w:val="bottom"/>
            <w:tcBorders>
              <w:top w:val="single" w:sz="8" w:color="004483"/>
            </w:tcBorders>
          </w:tcPr>
          <w:p>
            <w:pPr>
              <w:spacing w:after="0"/>
              <w:rPr>
                <w:sz w:val="9"/>
                <w:szCs w:val="9"/>
                <w:color w:val="auto"/>
              </w:rPr>
            </w:pPr>
          </w:p>
        </w:tc>
        <w:tc>
          <w:tcPr>
            <w:tcW w:w="220" w:type="dxa"/>
            <w:vAlign w:val="bottom"/>
            <w:tcBorders>
              <w:top w:val="single" w:sz="8" w:color="004483"/>
            </w:tcBorders>
          </w:tcPr>
          <w:p>
            <w:pPr>
              <w:spacing w:after="0"/>
              <w:rPr>
                <w:sz w:val="9"/>
                <w:szCs w:val="9"/>
                <w:color w:val="auto"/>
              </w:rPr>
            </w:pPr>
          </w:p>
        </w:tc>
        <w:tc>
          <w:tcPr>
            <w:tcW w:w="820" w:type="dxa"/>
            <w:vAlign w:val="bottom"/>
            <w:tcBorders>
              <w:top w:val="single" w:sz="8" w:color="004483"/>
            </w:tcBorders>
          </w:tcPr>
          <w:p>
            <w:pPr>
              <w:jc w:val="right"/>
              <w:ind w:right="47"/>
              <w:spacing w:after="0" w:line="108" w:lineRule="exact"/>
              <w:rPr>
                <w:sz w:val="20"/>
                <w:szCs w:val="20"/>
                <w:color w:val="auto"/>
              </w:rPr>
            </w:pPr>
            <w:r>
              <w:rPr>
                <w:rFonts w:ascii="Arial" w:cs="Arial" w:eastAsia="Arial" w:hAnsi="Arial"/>
                <w:sz w:val="12"/>
                <w:szCs w:val="12"/>
                <w:b w:val="1"/>
                <w:bCs w:val="1"/>
                <w:color w:val="auto"/>
              </w:rPr>
              <w:t>Weighted-</w:t>
            </w:r>
          </w:p>
        </w:tc>
        <w:tc>
          <w:tcPr>
            <w:tcW w:w="80" w:type="dxa"/>
            <w:vAlign w:val="bottom"/>
          </w:tcPr>
          <w:p>
            <w:pPr>
              <w:spacing w:after="0"/>
              <w:rPr>
                <w:sz w:val="9"/>
                <w:szCs w:val="9"/>
                <w:color w:val="auto"/>
              </w:rPr>
            </w:pPr>
          </w:p>
        </w:tc>
        <w:tc>
          <w:tcPr>
            <w:tcW w:w="1000" w:type="dxa"/>
            <w:vAlign w:val="bottom"/>
            <w:tcBorders>
              <w:top w:val="single" w:sz="8" w:color="004483"/>
            </w:tcBorders>
          </w:tcPr>
          <w:p>
            <w:pPr>
              <w:spacing w:after="0"/>
              <w:rPr>
                <w:sz w:val="9"/>
                <w:szCs w:val="9"/>
                <w:color w:val="auto"/>
              </w:rPr>
            </w:pPr>
          </w:p>
        </w:tc>
        <w:tc>
          <w:tcPr>
            <w:tcW w:w="100" w:type="dxa"/>
            <w:vAlign w:val="bottom"/>
            <w:tcBorders>
              <w:top w:val="single" w:sz="8" w:color="004483"/>
            </w:tcBorders>
          </w:tcPr>
          <w:p>
            <w:pPr>
              <w:spacing w:after="0"/>
              <w:rPr>
                <w:sz w:val="9"/>
                <w:szCs w:val="9"/>
                <w:color w:val="auto"/>
              </w:rPr>
            </w:pPr>
          </w:p>
        </w:tc>
        <w:tc>
          <w:tcPr>
            <w:tcW w:w="240" w:type="dxa"/>
            <w:vAlign w:val="bottom"/>
            <w:tcBorders>
              <w:top w:val="single" w:sz="8" w:color="004483"/>
            </w:tcBorders>
          </w:tcPr>
          <w:p>
            <w:pPr>
              <w:spacing w:after="0"/>
              <w:rPr>
                <w:sz w:val="9"/>
                <w:szCs w:val="9"/>
                <w:color w:val="auto"/>
              </w:rPr>
            </w:pPr>
          </w:p>
        </w:tc>
        <w:tc>
          <w:tcPr>
            <w:tcW w:w="800" w:type="dxa"/>
            <w:vAlign w:val="bottom"/>
            <w:tcBorders>
              <w:top w:val="single" w:sz="8" w:color="004483"/>
            </w:tcBorders>
          </w:tcPr>
          <w:p>
            <w:pPr>
              <w:jc w:val="right"/>
              <w:ind w:right="27"/>
              <w:spacing w:after="0" w:line="108" w:lineRule="exact"/>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2"/>
        </w:trPr>
        <w:tc>
          <w:tcPr>
            <w:tcW w:w="4500" w:type="dxa"/>
            <w:vAlign w:val="bottom"/>
          </w:tcPr>
          <w:p>
            <w:pPr>
              <w:spacing w:after="0"/>
              <w:rPr>
                <w:sz w:val="10"/>
                <w:szCs w:val="10"/>
                <w:color w:val="auto"/>
              </w:rPr>
            </w:pPr>
          </w:p>
        </w:tc>
        <w:tc>
          <w:tcPr>
            <w:tcW w:w="1040" w:type="dxa"/>
            <w:vAlign w:val="bottom"/>
            <w:vMerge w:val="restart"/>
          </w:tcPr>
          <w:p>
            <w:pPr>
              <w:jc w:val="right"/>
              <w:ind w:right="65"/>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67"/>
              <w:spacing w:after="0" w:line="122"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47"/>
              <w:spacing w:after="0" w:line="122"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0"/>
                <w:szCs w:val="10"/>
                <w:color w:val="auto"/>
              </w:rPr>
            </w:pPr>
          </w:p>
        </w:tc>
        <w:tc>
          <w:tcPr>
            <w:tcW w:w="1000" w:type="dxa"/>
            <w:vAlign w:val="bottom"/>
            <w:vMerge w:val="restart"/>
          </w:tcPr>
          <w:p>
            <w:pPr>
              <w:jc w:val="right"/>
              <w:ind w:right="46"/>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27"/>
              <w:spacing w:after="0" w:line="122"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1"/>
        </w:trPr>
        <w:tc>
          <w:tcPr>
            <w:tcW w:w="45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67"/>
              <w:spacing w:after="0" w:line="122" w:lineRule="exact"/>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ind w:right="47"/>
              <w:spacing w:after="0" w:line="122" w:lineRule="exact"/>
              <w:rPr>
                <w:sz w:val="20"/>
                <w:szCs w:val="20"/>
                <w:color w:val="auto"/>
              </w:rPr>
            </w:pPr>
            <w:r>
              <w:rPr>
                <w:rFonts w:ascii="Arial" w:cs="Arial" w:eastAsia="Arial" w:hAnsi="Arial"/>
                <w:sz w:val="13"/>
                <w:szCs w:val="13"/>
                <w:b w:val="1"/>
                <w:bCs w:val="1"/>
                <w:color w:val="auto"/>
              </w:rPr>
              <w:t>Exercise</w:t>
            </w:r>
          </w:p>
        </w:tc>
        <w:tc>
          <w:tcPr>
            <w:tcW w:w="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27"/>
              <w:spacing w:after="0" w:line="122"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3"/>
        </w:trPr>
        <w:tc>
          <w:tcPr>
            <w:tcW w:w="4500" w:type="dxa"/>
            <w:vAlign w:val="bottom"/>
            <w:tcBorders>
              <w:bottom w:val="single" w:sz="8" w:color="004483"/>
            </w:tcBorders>
          </w:tcPr>
          <w:p>
            <w:pPr>
              <w:spacing w:after="0"/>
              <w:rPr>
                <w:sz w:val="15"/>
                <w:szCs w:val="15"/>
                <w:color w:val="auto"/>
              </w:rPr>
            </w:pPr>
          </w:p>
        </w:tc>
        <w:tc>
          <w:tcPr>
            <w:tcW w:w="1040" w:type="dxa"/>
            <w:vAlign w:val="bottom"/>
            <w:tcBorders>
              <w:bottom w:val="single" w:sz="8" w:color="004483"/>
            </w:tcBorders>
          </w:tcPr>
          <w:p>
            <w:pPr>
              <w:jc w:val="right"/>
              <w:ind w:right="65"/>
              <w:spacing w:after="0"/>
              <w:rPr>
                <w:sz w:val="20"/>
                <w:szCs w:val="20"/>
                <w:color w:val="auto"/>
              </w:rPr>
            </w:pPr>
            <w:r>
              <w:rPr>
                <w:rFonts w:ascii="Arial" w:cs="Arial" w:eastAsia="Arial" w:hAnsi="Arial"/>
                <w:sz w:val="13"/>
                <w:szCs w:val="13"/>
                <w:b w:val="1"/>
                <w:bCs w:val="1"/>
                <w:color w:val="auto"/>
              </w:rPr>
              <w:t>of Shares</w:t>
            </w:r>
          </w:p>
        </w:tc>
        <w:tc>
          <w:tcPr>
            <w:tcW w:w="12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840" w:type="dxa"/>
            <w:vAlign w:val="bottom"/>
            <w:tcBorders>
              <w:bottom w:val="single" w:sz="8" w:color="004483"/>
            </w:tcBorders>
          </w:tcPr>
          <w:p>
            <w:pPr>
              <w:jc w:val="right"/>
              <w:ind w:right="67"/>
              <w:spacing w:after="0"/>
              <w:rPr>
                <w:sz w:val="20"/>
                <w:szCs w:val="20"/>
                <w:color w:val="auto"/>
              </w:rPr>
            </w:pPr>
            <w:r>
              <w:rPr>
                <w:rFonts w:ascii="Arial" w:cs="Arial" w:eastAsia="Arial" w:hAnsi="Arial"/>
                <w:sz w:val="13"/>
                <w:szCs w:val="13"/>
                <w:b w:val="1"/>
                <w:bCs w:val="1"/>
                <w:color w:val="auto"/>
              </w:rPr>
              <w:t>Price</w:t>
            </w:r>
          </w:p>
        </w:tc>
        <w:tc>
          <w:tcPr>
            <w:tcW w:w="100" w:type="dxa"/>
            <w:vAlign w:val="bottom"/>
            <w:tcBorders>
              <w:bottom w:val="single" w:sz="8" w:color="004483"/>
            </w:tcBorders>
          </w:tcPr>
          <w:p>
            <w:pPr>
              <w:spacing w:after="0"/>
              <w:rPr>
                <w:sz w:val="15"/>
                <w:szCs w:val="15"/>
                <w:color w:val="auto"/>
              </w:rPr>
            </w:pPr>
          </w:p>
        </w:tc>
        <w:tc>
          <w:tcPr>
            <w:tcW w:w="1040" w:type="dxa"/>
            <w:vAlign w:val="bottom"/>
            <w:tcBorders>
              <w:bottom w:val="single" w:sz="8" w:color="004483"/>
            </w:tcBorders>
          </w:tcPr>
          <w:p>
            <w:pPr>
              <w:jc w:val="right"/>
              <w:ind w:right="68"/>
              <w:spacing w:after="0"/>
              <w:rPr>
                <w:sz w:val="20"/>
                <w:szCs w:val="20"/>
                <w:color w:val="auto"/>
              </w:rPr>
            </w:pPr>
            <w:r>
              <w:rPr>
                <w:rFonts w:ascii="Arial" w:cs="Arial" w:eastAsia="Arial" w:hAnsi="Arial"/>
                <w:sz w:val="13"/>
                <w:szCs w:val="13"/>
                <w:b w:val="1"/>
                <w:bCs w:val="1"/>
                <w:color w:val="auto"/>
              </w:rPr>
              <w:t>of Shares</w:t>
            </w:r>
          </w:p>
        </w:tc>
        <w:tc>
          <w:tcPr>
            <w:tcW w:w="100" w:type="dxa"/>
            <w:vAlign w:val="bottom"/>
            <w:tcBorders>
              <w:bottom w:val="single" w:sz="8" w:color="004483"/>
            </w:tcBorders>
          </w:tcPr>
          <w:p>
            <w:pPr>
              <w:spacing w:after="0"/>
              <w:rPr>
                <w:sz w:val="15"/>
                <w:szCs w:val="15"/>
                <w:color w:val="auto"/>
              </w:rPr>
            </w:pPr>
          </w:p>
        </w:tc>
        <w:tc>
          <w:tcPr>
            <w:tcW w:w="220" w:type="dxa"/>
            <w:vAlign w:val="bottom"/>
            <w:tcBorders>
              <w:bottom w:val="single" w:sz="8" w:color="004483"/>
            </w:tcBorders>
          </w:tcPr>
          <w:p>
            <w:pPr>
              <w:spacing w:after="0"/>
              <w:rPr>
                <w:sz w:val="15"/>
                <w:szCs w:val="15"/>
                <w:color w:val="auto"/>
              </w:rPr>
            </w:pPr>
          </w:p>
        </w:tc>
        <w:tc>
          <w:tcPr>
            <w:tcW w:w="820" w:type="dxa"/>
            <w:vAlign w:val="bottom"/>
            <w:tcBorders>
              <w:bottom w:val="single" w:sz="8" w:color="004483"/>
            </w:tcBorders>
          </w:tcPr>
          <w:p>
            <w:pPr>
              <w:jc w:val="right"/>
              <w:ind w:right="47"/>
              <w:spacing w:after="0"/>
              <w:rPr>
                <w:sz w:val="20"/>
                <w:szCs w:val="20"/>
                <w:color w:val="auto"/>
              </w:rPr>
            </w:pPr>
            <w:r>
              <w:rPr>
                <w:rFonts w:ascii="Arial" w:cs="Arial" w:eastAsia="Arial" w:hAnsi="Arial"/>
                <w:sz w:val="13"/>
                <w:szCs w:val="13"/>
                <w:b w:val="1"/>
                <w:bCs w:val="1"/>
                <w:color w:val="auto"/>
              </w:rPr>
              <w:t>Price</w:t>
            </w:r>
          </w:p>
        </w:tc>
        <w:tc>
          <w:tcPr>
            <w:tcW w:w="8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jc w:val="right"/>
              <w:ind w:right="46"/>
              <w:spacing w:after="0"/>
              <w:rPr>
                <w:sz w:val="20"/>
                <w:szCs w:val="20"/>
                <w:color w:val="auto"/>
              </w:rPr>
            </w:pPr>
            <w:r>
              <w:rPr>
                <w:rFonts w:ascii="Arial" w:cs="Arial" w:eastAsia="Arial" w:hAnsi="Arial"/>
                <w:sz w:val="13"/>
                <w:szCs w:val="13"/>
                <w:b w:val="1"/>
                <w:bCs w:val="1"/>
                <w:color w:val="auto"/>
              </w:rPr>
              <w:t>of Shares</w:t>
            </w:r>
          </w:p>
        </w:tc>
        <w:tc>
          <w:tcPr>
            <w:tcW w:w="100" w:type="dxa"/>
            <w:vAlign w:val="bottom"/>
            <w:tcBorders>
              <w:bottom w:val="single" w:sz="8" w:color="004483"/>
            </w:tcBorders>
          </w:tcPr>
          <w:p>
            <w:pPr>
              <w:spacing w:after="0"/>
              <w:rPr>
                <w:sz w:val="15"/>
                <w:szCs w:val="15"/>
                <w:color w:val="auto"/>
              </w:rPr>
            </w:pPr>
          </w:p>
        </w:tc>
        <w:tc>
          <w:tcPr>
            <w:tcW w:w="24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jc w:val="right"/>
              <w:ind w:right="27"/>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Outstanding Options at Beginning of Year</w:t>
            </w:r>
          </w:p>
        </w:tc>
        <w:tc>
          <w:tcPr>
            <w:tcW w:w="1040" w:type="dxa"/>
            <w:vAlign w:val="bottom"/>
            <w:tcBorders>
              <w:bottom w:val="single" w:sz="8" w:color="A6A6A6"/>
            </w:tcBorders>
          </w:tcPr>
          <w:p>
            <w:pPr>
              <w:jc w:val="right"/>
              <w:ind w:right="65"/>
              <w:spacing w:after="0"/>
              <w:rPr>
                <w:sz w:val="20"/>
                <w:szCs w:val="20"/>
                <w:color w:val="auto"/>
              </w:rPr>
            </w:pPr>
            <w:r>
              <w:rPr>
                <w:rFonts w:ascii="Arial" w:cs="Arial" w:eastAsia="Arial" w:hAnsi="Arial"/>
                <w:sz w:val="16"/>
                <w:szCs w:val="16"/>
                <w:color w:val="auto"/>
              </w:rPr>
              <w:t>708,501</w:t>
            </w:r>
          </w:p>
        </w:tc>
        <w:tc>
          <w:tcPr>
            <w:tcW w:w="360" w:type="dxa"/>
            <w:vAlign w:val="bottom"/>
            <w:tcBorders>
              <w:bottom w:val="single" w:sz="8" w:color="A6A6A6"/>
            </w:tcBorders>
            <w:gridSpan w:val="2"/>
          </w:tcPr>
          <w:p>
            <w:pPr>
              <w:jc w:val="right"/>
              <w:ind w:right="8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ind w:right="67"/>
              <w:spacing w:after="0"/>
              <w:rPr>
                <w:sz w:val="20"/>
                <w:szCs w:val="20"/>
                <w:color w:val="auto"/>
              </w:rPr>
            </w:pPr>
            <w:r>
              <w:rPr>
                <w:rFonts w:ascii="Arial" w:cs="Arial" w:eastAsia="Arial" w:hAnsi="Arial"/>
                <w:sz w:val="16"/>
                <w:szCs w:val="16"/>
                <w:color w:val="auto"/>
              </w:rPr>
              <w:t>83.85</w:t>
            </w:r>
          </w:p>
        </w:tc>
        <w:tc>
          <w:tcPr>
            <w:tcW w:w="1140" w:type="dxa"/>
            <w:vAlign w:val="bottom"/>
            <w:tcBorders>
              <w:bottom w:val="single" w:sz="8" w:color="A6A6A6"/>
            </w:tcBorders>
            <w:gridSpan w:val="2"/>
          </w:tcPr>
          <w:p>
            <w:pPr>
              <w:jc w:val="right"/>
              <w:ind w:right="68"/>
              <w:spacing w:after="0"/>
              <w:rPr>
                <w:sz w:val="20"/>
                <w:szCs w:val="20"/>
                <w:color w:val="auto"/>
              </w:rPr>
            </w:pPr>
            <w:r>
              <w:rPr>
                <w:rFonts w:ascii="Arial" w:cs="Arial" w:eastAsia="Arial" w:hAnsi="Arial"/>
                <w:sz w:val="16"/>
                <w:szCs w:val="16"/>
                <w:color w:val="auto"/>
              </w:rPr>
              <w:t>1,160,091</w:t>
            </w:r>
          </w:p>
        </w:tc>
        <w:tc>
          <w:tcPr>
            <w:tcW w:w="320" w:type="dxa"/>
            <w:vAlign w:val="bottom"/>
            <w:tcBorders>
              <w:bottom w:val="single" w:sz="8" w:color="A6A6A6"/>
            </w:tcBorders>
            <w:gridSpan w:val="2"/>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7"/>
              <w:spacing w:after="0"/>
              <w:rPr>
                <w:sz w:val="20"/>
                <w:szCs w:val="20"/>
                <w:color w:val="auto"/>
              </w:rPr>
            </w:pPr>
            <w:r>
              <w:rPr>
                <w:rFonts w:ascii="Arial" w:cs="Arial" w:eastAsia="Arial" w:hAnsi="Arial"/>
                <w:sz w:val="16"/>
                <w:szCs w:val="16"/>
                <w:color w:val="auto"/>
              </w:rPr>
              <w:t>80.36</w:t>
            </w:r>
          </w:p>
        </w:tc>
        <w:tc>
          <w:tcPr>
            <w:tcW w:w="1080" w:type="dxa"/>
            <w:vAlign w:val="bottom"/>
            <w:tcBorders>
              <w:bottom w:val="single" w:sz="8" w:color="A6A6A6"/>
            </w:tcBorders>
            <w:gridSpan w:val="2"/>
          </w:tcPr>
          <w:p>
            <w:pPr>
              <w:jc w:val="right"/>
              <w:ind w:right="46"/>
              <w:spacing w:after="0"/>
              <w:rPr>
                <w:sz w:val="20"/>
                <w:szCs w:val="20"/>
                <w:color w:val="auto"/>
              </w:rPr>
            </w:pPr>
            <w:r>
              <w:rPr>
                <w:rFonts w:ascii="Arial" w:cs="Arial" w:eastAsia="Arial" w:hAnsi="Arial"/>
                <w:sz w:val="16"/>
                <w:szCs w:val="16"/>
                <w:color w:val="auto"/>
              </w:rPr>
              <w:t>1,042,925</w:t>
            </w:r>
          </w:p>
        </w:tc>
        <w:tc>
          <w:tcPr>
            <w:tcW w:w="340" w:type="dxa"/>
            <w:vAlign w:val="bottom"/>
            <w:tcBorders>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27"/>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183"/>
        </w:trPr>
        <w:tc>
          <w:tcPr>
            <w:tcW w:w="45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b w:val="1"/>
                <w:bCs w:val="1"/>
                <w:color w:val="004483"/>
              </w:rPr>
              <w:t>Granted</w:t>
            </w:r>
          </w:p>
        </w:tc>
        <w:tc>
          <w:tcPr>
            <w:tcW w:w="1040" w:type="dxa"/>
            <w:vAlign w:val="bottom"/>
            <w:tcBorders>
              <w:bottom w:val="single" w:sz="8" w:color="A6A6A6"/>
            </w:tcBorders>
          </w:tcPr>
          <w:p>
            <w:pPr>
              <w:jc w:val="right"/>
              <w:ind w:right="65"/>
              <w:spacing w:after="0" w:line="183" w:lineRule="exact"/>
              <w:rPr>
                <w:sz w:val="20"/>
                <w:szCs w:val="20"/>
                <w:color w:val="auto"/>
              </w:rPr>
            </w:pPr>
            <w:r>
              <w:rPr>
                <w:rFonts w:ascii="Arial" w:cs="Arial" w:eastAsia="Arial" w:hAnsi="Arial"/>
                <w:sz w:val="16"/>
                <w:szCs w:val="16"/>
                <w:color w:val="auto"/>
              </w:rPr>
              <w:t>11,316</w:t>
            </w:r>
          </w:p>
        </w:tc>
        <w:tc>
          <w:tcPr>
            <w:tcW w:w="360" w:type="dxa"/>
            <w:vAlign w:val="bottom"/>
            <w:tcBorders>
              <w:bottom w:val="single" w:sz="8" w:color="A6A6A6"/>
            </w:tcBorders>
            <w:gridSpan w:val="2"/>
          </w:tcPr>
          <w:p>
            <w:pPr>
              <w:jc w:val="right"/>
              <w:ind w:right="84"/>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ind w:right="67"/>
              <w:spacing w:after="0" w:line="183" w:lineRule="exact"/>
              <w:rPr>
                <w:sz w:val="20"/>
                <w:szCs w:val="20"/>
                <w:color w:val="auto"/>
              </w:rPr>
            </w:pPr>
            <w:r>
              <w:rPr>
                <w:rFonts w:ascii="Arial" w:cs="Arial" w:eastAsia="Arial" w:hAnsi="Arial"/>
                <w:sz w:val="16"/>
                <w:szCs w:val="16"/>
                <w:color w:val="auto"/>
              </w:rPr>
              <w:t>140.42</w:t>
            </w:r>
          </w:p>
        </w:tc>
        <w:tc>
          <w:tcPr>
            <w:tcW w:w="1140" w:type="dxa"/>
            <w:vAlign w:val="bottom"/>
            <w:tcBorders>
              <w:bottom w:val="single" w:sz="8" w:color="A6A6A6"/>
            </w:tcBorders>
            <w:gridSpan w:val="2"/>
          </w:tcPr>
          <w:p>
            <w:pPr>
              <w:jc w:val="right"/>
              <w:ind w:right="68"/>
              <w:spacing w:after="0" w:line="183" w:lineRule="exact"/>
              <w:rPr>
                <w:sz w:val="20"/>
                <w:szCs w:val="20"/>
                <w:color w:val="auto"/>
              </w:rPr>
            </w:pPr>
            <w:r>
              <w:rPr>
                <w:rFonts w:ascii="Arial" w:cs="Arial" w:eastAsia="Arial" w:hAnsi="Arial"/>
                <w:sz w:val="16"/>
                <w:szCs w:val="16"/>
                <w:color w:val="auto"/>
              </w:rPr>
              <w:t>187,121</w:t>
            </w:r>
          </w:p>
        </w:tc>
        <w:tc>
          <w:tcPr>
            <w:tcW w:w="320" w:type="dxa"/>
            <w:vAlign w:val="bottom"/>
            <w:tcBorders>
              <w:bottom w:val="single" w:sz="8" w:color="A6A6A6"/>
            </w:tcBorders>
            <w:gridSpan w:val="2"/>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7"/>
              <w:spacing w:after="0" w:line="183" w:lineRule="exact"/>
              <w:rPr>
                <w:sz w:val="20"/>
                <w:szCs w:val="20"/>
                <w:color w:val="auto"/>
              </w:rPr>
            </w:pPr>
            <w:r>
              <w:rPr>
                <w:rFonts w:ascii="Arial" w:cs="Arial" w:eastAsia="Arial" w:hAnsi="Arial"/>
                <w:sz w:val="16"/>
                <w:szCs w:val="16"/>
                <w:color w:val="auto"/>
              </w:rPr>
              <w:t>61.92</w:t>
            </w:r>
          </w:p>
        </w:tc>
        <w:tc>
          <w:tcPr>
            <w:tcW w:w="1080" w:type="dxa"/>
            <w:vAlign w:val="bottom"/>
            <w:tcBorders>
              <w:bottom w:val="single" w:sz="8" w:color="A6A6A6"/>
            </w:tcBorders>
            <w:gridSpan w:val="2"/>
          </w:tcPr>
          <w:p>
            <w:pPr>
              <w:jc w:val="right"/>
              <w:ind w:right="46"/>
              <w:spacing w:after="0" w:line="183" w:lineRule="exact"/>
              <w:rPr>
                <w:sz w:val="20"/>
                <w:szCs w:val="20"/>
                <w:color w:val="auto"/>
              </w:rPr>
            </w:pPr>
            <w:r>
              <w:rPr>
                <w:rFonts w:ascii="Arial" w:cs="Arial" w:eastAsia="Arial" w:hAnsi="Arial"/>
                <w:sz w:val="16"/>
                <w:szCs w:val="16"/>
                <w:color w:val="auto"/>
              </w:rPr>
              <w:t>187,375</w:t>
            </w:r>
          </w:p>
        </w:tc>
        <w:tc>
          <w:tcPr>
            <w:tcW w:w="340" w:type="dxa"/>
            <w:vAlign w:val="bottom"/>
            <w:tcBorders>
              <w:bottom w:val="single" w:sz="8" w:color="A6A6A6"/>
            </w:tcBorders>
            <w:gridSpan w:val="2"/>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91.58</w:t>
            </w:r>
          </w:p>
        </w:tc>
        <w:tc>
          <w:tcPr>
            <w:tcW w:w="0" w:type="dxa"/>
            <w:vAlign w:val="bottom"/>
          </w:tcPr>
          <w:p>
            <w:pPr>
              <w:spacing w:after="0"/>
              <w:rPr>
                <w:sz w:val="1"/>
                <w:szCs w:val="1"/>
                <w:color w:val="auto"/>
              </w:rPr>
            </w:pPr>
          </w:p>
        </w:tc>
      </w:tr>
      <w:tr>
        <w:trPr>
          <w:trHeight w:val="183"/>
        </w:trPr>
        <w:tc>
          <w:tcPr>
            <w:tcW w:w="45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b w:val="1"/>
                <w:bCs w:val="1"/>
                <w:color w:val="004483"/>
              </w:rPr>
              <w:t>Exercised</w:t>
            </w:r>
          </w:p>
        </w:tc>
        <w:tc>
          <w:tcPr>
            <w:tcW w:w="10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(247,578 )</w:t>
            </w:r>
          </w:p>
        </w:tc>
        <w:tc>
          <w:tcPr>
            <w:tcW w:w="360" w:type="dxa"/>
            <w:vAlign w:val="bottom"/>
            <w:tcBorders>
              <w:bottom w:val="single" w:sz="8" w:color="A6A6A6"/>
            </w:tcBorders>
            <w:gridSpan w:val="2"/>
          </w:tcPr>
          <w:p>
            <w:pPr>
              <w:jc w:val="right"/>
              <w:ind w:right="84"/>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6A6A6"/>
            </w:tcBorders>
          </w:tcPr>
          <w:p>
            <w:pPr>
              <w:jc w:val="right"/>
              <w:ind w:right="67"/>
              <w:spacing w:after="0" w:line="183" w:lineRule="exact"/>
              <w:rPr>
                <w:sz w:val="20"/>
                <w:szCs w:val="20"/>
                <w:color w:val="auto"/>
              </w:rPr>
            </w:pPr>
            <w:r>
              <w:rPr>
                <w:rFonts w:ascii="Arial" w:cs="Arial" w:eastAsia="Arial" w:hAnsi="Arial"/>
                <w:sz w:val="16"/>
                <w:szCs w:val="16"/>
                <w:color w:val="auto"/>
              </w:rPr>
              <w:t>86.97</w:t>
            </w:r>
          </w:p>
        </w:tc>
        <w:tc>
          <w:tcPr>
            <w:tcW w:w="114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(623,617 )</w:t>
            </w:r>
          </w:p>
        </w:tc>
        <w:tc>
          <w:tcPr>
            <w:tcW w:w="320" w:type="dxa"/>
            <w:vAlign w:val="bottom"/>
            <w:tcBorders>
              <w:bottom w:val="single" w:sz="8" w:color="A6A6A6"/>
            </w:tcBorders>
            <w:gridSpan w:val="2"/>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ind w:right="47"/>
              <w:spacing w:after="0" w:line="183" w:lineRule="exact"/>
              <w:rPr>
                <w:sz w:val="20"/>
                <w:szCs w:val="20"/>
                <w:color w:val="auto"/>
              </w:rPr>
            </w:pPr>
            <w:r>
              <w:rPr>
                <w:rFonts w:ascii="Arial" w:cs="Arial" w:eastAsia="Arial" w:hAnsi="Arial"/>
                <w:sz w:val="16"/>
                <w:szCs w:val="16"/>
                <w:color w:val="auto"/>
              </w:rPr>
              <w:t>70.57</w:t>
            </w:r>
          </w:p>
        </w:tc>
        <w:tc>
          <w:tcPr>
            <w:tcW w:w="108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(62,326 )</w:t>
            </w:r>
          </w:p>
        </w:tc>
        <w:tc>
          <w:tcPr>
            <w:tcW w:w="340" w:type="dxa"/>
            <w:vAlign w:val="bottom"/>
            <w:tcBorders>
              <w:bottom w:val="single" w:sz="8" w:color="A6A6A6"/>
            </w:tcBorders>
            <w:gridSpan w:val="2"/>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b w:val="1"/>
                <w:bCs w:val="1"/>
                <w:color w:val="004483"/>
              </w:rPr>
              <w:t>Cancelled</w:t>
            </w: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(15,390 )</w:t>
            </w: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004483"/>
            </w:tcBorders>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004483"/>
            </w:tcBorders>
          </w:tcPr>
          <w:p>
            <w:pPr>
              <w:jc w:val="right"/>
              <w:ind w:right="67"/>
              <w:spacing w:after="0" w:line="183" w:lineRule="exact"/>
              <w:rPr>
                <w:sz w:val="20"/>
                <w:szCs w:val="20"/>
                <w:color w:val="auto"/>
              </w:rPr>
            </w:pPr>
            <w:r>
              <w:rPr>
                <w:rFonts w:ascii="Arial" w:cs="Arial" w:eastAsia="Arial" w:hAnsi="Arial"/>
                <w:sz w:val="16"/>
                <w:szCs w:val="16"/>
                <w:color w:val="auto"/>
              </w:rPr>
              <w:t>76.63</w:t>
            </w:r>
          </w:p>
        </w:tc>
        <w:tc>
          <w:tcPr>
            <w:tcW w:w="100" w:type="dxa"/>
            <w:vAlign w:val="bottom"/>
            <w:tcBorders>
              <w:bottom w:val="single" w:sz="8" w:color="A6A6A6"/>
            </w:tcBorders>
          </w:tcPr>
          <w:p>
            <w:pPr>
              <w:spacing w:after="0"/>
              <w:rPr>
                <w:sz w:val="18"/>
                <w:szCs w:val="18"/>
                <w:color w:val="auto"/>
              </w:rPr>
            </w:pPr>
          </w:p>
        </w:tc>
        <w:tc>
          <w:tcPr>
            <w:tcW w:w="10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(15,094 )</w:t>
            </w:r>
          </w:p>
        </w:tc>
        <w:tc>
          <w:tcPr>
            <w:tcW w:w="100" w:type="dxa"/>
            <w:vAlign w:val="bottom"/>
            <w:tcBorders>
              <w:bottom w:val="single" w:sz="8" w:color="A6A6A6"/>
            </w:tcBorders>
          </w:tcPr>
          <w:p>
            <w:pPr>
              <w:spacing w:after="0"/>
              <w:rPr>
                <w:sz w:val="18"/>
                <w:szCs w:val="18"/>
                <w:color w:val="auto"/>
              </w:rPr>
            </w:pPr>
          </w:p>
        </w:tc>
        <w:tc>
          <w:tcPr>
            <w:tcW w:w="220" w:type="dxa"/>
            <w:vAlign w:val="bottom"/>
            <w:tcBorders>
              <w:bottom w:val="single" w:sz="8" w:color="004483"/>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004483"/>
            </w:tcBorders>
          </w:tcPr>
          <w:p>
            <w:pPr>
              <w:jc w:val="right"/>
              <w:ind w:right="47"/>
              <w:spacing w:after="0" w:line="183" w:lineRule="exact"/>
              <w:rPr>
                <w:sz w:val="20"/>
                <w:szCs w:val="20"/>
                <w:color w:val="auto"/>
              </w:rPr>
            </w:pPr>
            <w:r>
              <w:rPr>
                <w:rFonts w:ascii="Arial" w:cs="Arial" w:eastAsia="Arial" w:hAnsi="Arial"/>
                <w:sz w:val="16"/>
                <w:szCs w:val="16"/>
                <w:color w:val="auto"/>
              </w:rPr>
              <w:t>92.51</w:t>
            </w:r>
          </w:p>
        </w:tc>
        <w:tc>
          <w:tcPr>
            <w:tcW w:w="80" w:type="dxa"/>
            <w:vAlign w:val="bottom"/>
            <w:tcBorders>
              <w:bottom w:val="single" w:sz="8" w:color="A6A6A6"/>
            </w:tcBorders>
          </w:tcPr>
          <w:p>
            <w:pPr>
              <w:spacing w:after="0"/>
              <w:rPr>
                <w:sz w:val="18"/>
                <w:szCs w:val="18"/>
                <w:color w:val="auto"/>
              </w:rPr>
            </w:pP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(7,883 )</w:t>
            </w:r>
          </w:p>
        </w:tc>
        <w:tc>
          <w:tcPr>
            <w:tcW w:w="100" w:type="dxa"/>
            <w:vAlign w:val="bottom"/>
            <w:tcBorders>
              <w:bottom w:val="single" w:sz="8" w:color="A6A6A6"/>
            </w:tcBorders>
          </w:tcPr>
          <w:p>
            <w:pPr>
              <w:spacing w:after="0"/>
              <w:rPr>
                <w:sz w:val="18"/>
                <w:szCs w:val="18"/>
                <w:color w:val="auto"/>
              </w:rPr>
            </w:pPr>
          </w:p>
        </w:tc>
        <w:tc>
          <w:tcPr>
            <w:tcW w:w="240" w:type="dxa"/>
            <w:vAlign w:val="bottom"/>
            <w:tcBorders>
              <w:bottom w:val="single" w:sz="8" w:color="004483"/>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004483"/>
            </w:tcBorders>
          </w:tcPr>
          <w:p>
            <w:pPr>
              <w:jc w:val="right"/>
              <w:ind w:right="27"/>
              <w:spacing w:after="0" w:line="183" w:lineRule="exact"/>
              <w:rPr>
                <w:sz w:val="20"/>
                <w:szCs w:val="20"/>
                <w:color w:val="auto"/>
              </w:rPr>
            </w:pPr>
            <w:r>
              <w:rPr>
                <w:rFonts w:ascii="Arial" w:cs="Arial" w:eastAsia="Arial" w:hAnsi="Arial"/>
                <w:sz w:val="16"/>
                <w:szCs w:val="16"/>
                <w:color w:val="auto"/>
              </w:rPr>
              <w:t>102.69</w:t>
            </w:r>
          </w:p>
        </w:tc>
        <w:tc>
          <w:tcPr>
            <w:tcW w:w="0" w:type="dxa"/>
            <w:vAlign w:val="bottom"/>
          </w:tcPr>
          <w:p>
            <w:pPr>
              <w:spacing w:after="0"/>
              <w:rPr>
                <w:sz w:val="1"/>
                <w:szCs w:val="1"/>
                <w:color w:val="auto"/>
              </w:rPr>
            </w:pPr>
          </w:p>
        </w:tc>
      </w:tr>
      <w:tr>
        <w:trPr>
          <w:trHeight w:val="183"/>
        </w:trPr>
        <w:tc>
          <w:tcPr>
            <w:tcW w:w="450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Outstanding Options at End of Year</w:t>
            </w:r>
          </w:p>
        </w:tc>
        <w:tc>
          <w:tcPr>
            <w:tcW w:w="1040" w:type="dxa"/>
            <w:vAlign w:val="bottom"/>
            <w:tcBorders>
              <w:bottom w:val="single" w:sz="8" w:color="004483"/>
            </w:tcBorders>
          </w:tcPr>
          <w:p>
            <w:pPr>
              <w:jc w:val="right"/>
              <w:ind w:right="65"/>
              <w:spacing w:after="0" w:line="183" w:lineRule="exact"/>
              <w:rPr>
                <w:sz w:val="20"/>
                <w:szCs w:val="20"/>
                <w:color w:val="auto"/>
              </w:rPr>
            </w:pPr>
            <w:r>
              <w:rPr>
                <w:rFonts w:ascii="Arial" w:cs="Arial" w:eastAsia="Arial" w:hAnsi="Arial"/>
                <w:sz w:val="16"/>
                <w:szCs w:val="16"/>
                <w:b w:val="1"/>
                <w:bCs w:val="1"/>
                <w:color w:val="auto"/>
              </w:rPr>
              <w:t>456,849</w:t>
            </w:r>
          </w:p>
        </w:tc>
        <w:tc>
          <w:tcPr>
            <w:tcW w:w="360" w:type="dxa"/>
            <w:vAlign w:val="bottom"/>
            <w:gridSpan w:val="2"/>
          </w:tcPr>
          <w:p>
            <w:pPr>
              <w:jc w:val="right"/>
              <w:ind w:right="84"/>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67"/>
              <w:spacing w:after="0" w:line="183" w:lineRule="exact"/>
              <w:rPr>
                <w:sz w:val="20"/>
                <w:szCs w:val="20"/>
                <w:color w:val="auto"/>
              </w:rPr>
            </w:pPr>
            <w:r>
              <w:rPr>
                <w:rFonts w:ascii="Arial" w:cs="Arial" w:eastAsia="Arial" w:hAnsi="Arial"/>
                <w:sz w:val="16"/>
                <w:szCs w:val="16"/>
                <w:color w:val="auto"/>
              </w:rPr>
              <w:t>83.81</w:t>
            </w:r>
          </w:p>
        </w:tc>
        <w:tc>
          <w:tcPr>
            <w:tcW w:w="100" w:type="dxa"/>
            <w:vAlign w:val="bottom"/>
          </w:tcPr>
          <w:p>
            <w:pPr>
              <w:spacing w:after="0"/>
              <w:rPr>
                <w:sz w:val="15"/>
                <w:szCs w:val="15"/>
                <w:color w:val="auto"/>
              </w:rPr>
            </w:pPr>
          </w:p>
        </w:tc>
        <w:tc>
          <w:tcPr>
            <w:tcW w:w="1040" w:type="dxa"/>
            <w:vAlign w:val="bottom"/>
            <w:tcBorders>
              <w:bottom w:val="single" w:sz="8" w:color="004483"/>
            </w:tcBorders>
          </w:tcPr>
          <w:p>
            <w:pPr>
              <w:jc w:val="right"/>
              <w:ind w:right="68"/>
              <w:spacing w:after="0" w:line="183" w:lineRule="exact"/>
              <w:rPr>
                <w:sz w:val="20"/>
                <w:szCs w:val="20"/>
                <w:color w:val="auto"/>
              </w:rPr>
            </w:pPr>
            <w:r>
              <w:rPr>
                <w:rFonts w:ascii="Arial" w:cs="Arial" w:eastAsia="Arial" w:hAnsi="Arial"/>
                <w:sz w:val="16"/>
                <w:szCs w:val="16"/>
                <w:b w:val="1"/>
                <w:bCs w:val="1"/>
                <w:color w:val="auto"/>
              </w:rPr>
              <w:t>708,501</w:t>
            </w:r>
          </w:p>
        </w:tc>
        <w:tc>
          <w:tcPr>
            <w:tcW w:w="320" w:type="dxa"/>
            <w:vAlign w:val="bottom"/>
            <w:gridSpan w:val="2"/>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47"/>
              <w:spacing w:after="0" w:line="183" w:lineRule="exact"/>
              <w:rPr>
                <w:sz w:val="20"/>
                <w:szCs w:val="20"/>
                <w:color w:val="auto"/>
              </w:rPr>
            </w:pPr>
            <w:r>
              <w:rPr>
                <w:rFonts w:ascii="Arial" w:cs="Arial" w:eastAsia="Arial" w:hAnsi="Arial"/>
                <w:sz w:val="16"/>
                <w:szCs w:val="16"/>
                <w:color w:val="auto"/>
              </w:rPr>
              <w:t>83.85</w:t>
            </w:r>
          </w:p>
        </w:tc>
        <w:tc>
          <w:tcPr>
            <w:tcW w:w="80" w:type="dxa"/>
            <w:vAlign w:val="bottom"/>
          </w:tcPr>
          <w:p>
            <w:pPr>
              <w:spacing w:after="0"/>
              <w:rPr>
                <w:sz w:val="15"/>
                <w:szCs w:val="15"/>
                <w:color w:val="auto"/>
              </w:rPr>
            </w:pPr>
          </w:p>
        </w:tc>
        <w:tc>
          <w:tcPr>
            <w:tcW w:w="1000" w:type="dxa"/>
            <w:vAlign w:val="bottom"/>
            <w:tcBorders>
              <w:bottom w:val="single" w:sz="8" w:color="004483"/>
            </w:tcBorders>
          </w:tcPr>
          <w:p>
            <w:pPr>
              <w:jc w:val="right"/>
              <w:ind w:right="46"/>
              <w:spacing w:after="0" w:line="183" w:lineRule="exact"/>
              <w:rPr>
                <w:sz w:val="20"/>
                <w:szCs w:val="20"/>
                <w:color w:val="auto"/>
              </w:rPr>
            </w:pPr>
            <w:r>
              <w:rPr>
                <w:rFonts w:ascii="Arial" w:cs="Arial" w:eastAsia="Arial" w:hAnsi="Arial"/>
                <w:sz w:val="16"/>
                <w:szCs w:val="16"/>
                <w:b w:val="1"/>
                <w:bCs w:val="1"/>
                <w:color w:val="auto"/>
              </w:rPr>
              <w:t>1,160,091</w:t>
            </w:r>
          </w:p>
        </w:tc>
        <w:tc>
          <w:tcPr>
            <w:tcW w:w="34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27"/>
              <w:spacing w:after="0" w:line="183" w:lineRule="exact"/>
              <w:rPr>
                <w:sz w:val="20"/>
                <w:szCs w:val="20"/>
                <w:color w:val="auto"/>
              </w:rPr>
            </w:pPr>
            <w:r>
              <w:rPr>
                <w:rFonts w:ascii="Arial" w:cs="Arial" w:eastAsia="Arial" w:hAnsi="Arial"/>
                <w:sz w:val="16"/>
                <w:szCs w:val="16"/>
                <w:color w:val="auto"/>
              </w:rPr>
              <w:t>80.36</w:t>
            </w:r>
          </w:p>
        </w:tc>
        <w:tc>
          <w:tcPr>
            <w:tcW w:w="0" w:type="dxa"/>
            <w:vAlign w:val="bottom"/>
          </w:tcPr>
          <w:p>
            <w:pPr>
              <w:spacing w:after="0"/>
              <w:rPr>
                <w:sz w:val="1"/>
                <w:szCs w:val="1"/>
                <w:color w:val="auto"/>
              </w:rPr>
            </w:pPr>
          </w:p>
        </w:tc>
      </w:tr>
      <w:tr>
        <w:trPr>
          <w:trHeight w:val="20"/>
        </w:trPr>
        <w:tc>
          <w:tcPr>
            <w:tcW w:w="45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8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80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00" w:type="dxa"/>
            <w:vAlign w:val="bottom"/>
          </w:tcPr>
          <w:p>
            <w:pPr>
              <w:ind w:left="20"/>
              <w:spacing w:after="0" w:line="170" w:lineRule="exact"/>
              <w:rPr>
                <w:sz w:val="20"/>
                <w:szCs w:val="20"/>
                <w:color w:val="auto"/>
              </w:rPr>
            </w:pPr>
            <w:r>
              <w:rPr>
                <w:rFonts w:ascii="Arial" w:cs="Arial" w:eastAsia="Arial" w:hAnsi="Arial"/>
                <w:sz w:val="16"/>
                <w:szCs w:val="16"/>
                <w:b w:val="1"/>
                <w:bCs w:val="1"/>
                <w:color w:val="004483"/>
              </w:rPr>
              <w:t>Options Exercisable at End of Year</w:t>
            </w:r>
          </w:p>
        </w:tc>
        <w:tc>
          <w:tcPr>
            <w:tcW w:w="1040" w:type="dxa"/>
            <w:vAlign w:val="bottom"/>
            <w:tcBorders>
              <w:bottom w:val="single" w:sz="8" w:color="004483"/>
            </w:tcBorders>
          </w:tcPr>
          <w:p>
            <w:pPr>
              <w:jc w:val="right"/>
              <w:ind w:right="65"/>
              <w:spacing w:after="0" w:line="170" w:lineRule="exact"/>
              <w:rPr>
                <w:sz w:val="20"/>
                <w:szCs w:val="20"/>
                <w:color w:val="auto"/>
              </w:rPr>
            </w:pPr>
            <w:r>
              <w:rPr>
                <w:rFonts w:ascii="Arial" w:cs="Arial" w:eastAsia="Arial" w:hAnsi="Arial"/>
                <w:sz w:val="16"/>
                <w:szCs w:val="16"/>
                <w:b w:val="1"/>
                <w:bCs w:val="1"/>
                <w:color w:val="auto"/>
              </w:rPr>
              <w:t>314,624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004483"/>
            </w:tcBorders>
          </w:tcPr>
          <w:p>
            <w:pPr>
              <w:jc w:val="right"/>
              <w:ind w:right="68"/>
              <w:spacing w:after="0" w:line="170" w:lineRule="exact"/>
              <w:rPr>
                <w:sz w:val="20"/>
                <w:szCs w:val="20"/>
                <w:color w:val="auto"/>
              </w:rPr>
            </w:pPr>
            <w:r>
              <w:rPr>
                <w:rFonts w:ascii="Arial" w:cs="Arial" w:eastAsia="Arial" w:hAnsi="Arial"/>
                <w:sz w:val="16"/>
                <w:szCs w:val="16"/>
                <w:b w:val="1"/>
                <w:bCs w:val="1"/>
                <w:color w:val="auto"/>
              </w:rPr>
              <w:t>416,817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004483"/>
            </w:tcBorders>
          </w:tcPr>
          <w:p>
            <w:pPr>
              <w:jc w:val="right"/>
              <w:ind w:right="46"/>
              <w:spacing w:after="0" w:line="170" w:lineRule="exact"/>
              <w:rPr>
                <w:sz w:val="20"/>
                <w:szCs w:val="20"/>
                <w:color w:val="auto"/>
              </w:rPr>
            </w:pPr>
            <w:r>
              <w:rPr>
                <w:rFonts w:ascii="Arial" w:cs="Arial" w:eastAsia="Arial" w:hAnsi="Arial"/>
                <w:sz w:val="16"/>
                <w:szCs w:val="16"/>
                <w:b w:val="1"/>
                <w:bCs w:val="1"/>
                <w:color w:val="auto"/>
              </w:rPr>
              <w:t>868,081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A6A6A6"/>
            </w:tcBorders>
          </w:tcPr>
          <w:p>
            <w:pPr>
              <w:spacing w:after="0" w:line="20" w:lineRule="exact"/>
              <w:rPr>
                <w:sz w:val="1"/>
                <w:szCs w:val="1"/>
                <w:color w:val="auto"/>
              </w:rPr>
            </w:pPr>
          </w:p>
        </w:tc>
        <w:tc>
          <w:tcPr>
            <w:tcW w:w="820" w:type="dxa"/>
            <w:vAlign w:val="bottom"/>
            <w:tcBorders>
              <w:bottom w:val="single" w:sz="8" w:color="A6A6A6"/>
            </w:tcBorders>
          </w:tcPr>
          <w:p>
            <w:pPr>
              <w:spacing w:after="0" w:line="20" w:lineRule="exact"/>
              <w:rPr>
                <w:sz w:val="1"/>
                <w:szCs w:val="1"/>
                <w:color w:val="auto"/>
              </w:rPr>
            </w:pPr>
          </w:p>
        </w:tc>
        <w:tc>
          <w:tcPr>
            <w:tcW w:w="8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80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tcPr>
          <w:p>
            <w:pPr>
              <w:ind w:left="20"/>
              <w:spacing w:after="0" w:line="129" w:lineRule="exact"/>
              <w:rPr>
                <w:sz w:val="20"/>
                <w:szCs w:val="20"/>
                <w:color w:val="auto"/>
              </w:rPr>
            </w:pPr>
            <w:r>
              <w:rPr>
                <w:rFonts w:ascii="Arial" w:cs="Arial" w:eastAsia="Arial" w:hAnsi="Arial"/>
                <w:sz w:val="14"/>
                <w:szCs w:val="14"/>
                <w:b w:val="1"/>
                <w:bCs w:val="1"/>
                <w:color w:val="004483"/>
              </w:rPr>
              <w:t>Weighted-Average Fair Value of Options Granted</w:t>
            </w:r>
          </w:p>
        </w:tc>
        <w:tc>
          <w:tcPr>
            <w:tcW w:w="1040" w:type="dxa"/>
            <w:vAlign w:val="bottom"/>
          </w:tcPr>
          <w:p>
            <w:pPr>
              <w:spacing w:after="0"/>
              <w:rPr>
                <w:sz w:val="11"/>
                <w:szCs w:val="11"/>
                <w:color w:val="auto"/>
              </w:rPr>
            </w:pPr>
          </w:p>
        </w:tc>
        <w:tc>
          <w:tcPr>
            <w:tcW w:w="360" w:type="dxa"/>
            <w:vAlign w:val="bottom"/>
            <w:gridSpan w:val="2"/>
            <w:vMerge w:val="restart"/>
          </w:tcPr>
          <w:p>
            <w:pPr>
              <w:jc w:val="right"/>
              <w:ind w:right="84"/>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67"/>
              <w:spacing w:after="0"/>
              <w:rPr>
                <w:sz w:val="20"/>
                <w:szCs w:val="20"/>
                <w:color w:val="auto"/>
              </w:rPr>
            </w:pPr>
            <w:r>
              <w:rPr>
                <w:rFonts w:ascii="Arial" w:cs="Arial" w:eastAsia="Arial" w:hAnsi="Arial"/>
                <w:sz w:val="16"/>
                <w:szCs w:val="16"/>
                <w:color w:val="auto"/>
              </w:rPr>
              <w:t>49.18</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gridSpan w:val="2"/>
            <w:vMerge w:val="restart"/>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47"/>
              <w:spacing w:after="0"/>
              <w:rPr>
                <w:sz w:val="20"/>
                <w:szCs w:val="20"/>
                <w:color w:val="auto"/>
              </w:rPr>
            </w:pPr>
            <w:r>
              <w:rPr>
                <w:rFonts w:ascii="Arial" w:cs="Arial" w:eastAsia="Arial" w:hAnsi="Arial"/>
                <w:sz w:val="16"/>
                <w:szCs w:val="16"/>
                <w:color w:val="auto"/>
              </w:rPr>
              <w:t>22.68</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27"/>
              <w:spacing w:after="0"/>
              <w:rPr>
                <w:sz w:val="20"/>
                <w:szCs w:val="20"/>
                <w:color w:val="auto"/>
              </w:rPr>
            </w:pPr>
            <w:r>
              <w:rPr>
                <w:rFonts w:ascii="Arial" w:cs="Arial" w:eastAsia="Arial" w:hAnsi="Arial"/>
                <w:sz w:val="16"/>
                <w:szCs w:val="16"/>
                <w:color w:val="auto"/>
              </w:rPr>
              <w:t>27.35</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During the Year</w:t>
            </w:r>
          </w:p>
        </w:tc>
        <w:tc>
          <w:tcPr>
            <w:tcW w:w="104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gridSpan w:val="2"/>
            <w:vMerge w:val="continue"/>
          </w:tcPr>
          <w:p>
            <w:pPr>
              <w:spacing w:after="0"/>
              <w:rPr>
                <w:sz w:val="17"/>
                <w:szCs w:val="17"/>
                <w:color w:val="auto"/>
              </w:rPr>
            </w:pPr>
          </w:p>
        </w:tc>
        <w:tc>
          <w:tcPr>
            <w:tcW w:w="840" w:type="dxa"/>
            <w:vAlign w:val="bottom"/>
            <w:tcBorders>
              <w:bottom w:val="single" w:sz="8" w:color="A6A6A6"/>
            </w:tcBorders>
            <w:vMerge w:val="continue"/>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04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gridSpan w:val="2"/>
            <w:vMerge w:val="continue"/>
          </w:tcPr>
          <w:p>
            <w:pPr>
              <w:spacing w:after="0"/>
              <w:rPr>
                <w:sz w:val="17"/>
                <w:szCs w:val="17"/>
                <w:color w:val="auto"/>
              </w:rPr>
            </w:pPr>
          </w:p>
        </w:tc>
        <w:tc>
          <w:tcPr>
            <w:tcW w:w="820" w:type="dxa"/>
            <w:vAlign w:val="bottom"/>
            <w:tcBorders>
              <w:bottom w:val="single" w:sz="8" w:color="A6A6A6"/>
            </w:tcBorders>
            <w:vMerge w:val="continue"/>
          </w:tcPr>
          <w:p>
            <w:pPr>
              <w:spacing w:after="0"/>
              <w:rPr>
                <w:sz w:val="17"/>
                <w:szCs w:val="17"/>
                <w:color w:val="auto"/>
              </w:rPr>
            </w:pPr>
          </w:p>
        </w:tc>
        <w:tc>
          <w:tcPr>
            <w:tcW w:w="8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340" w:type="dxa"/>
            <w:vAlign w:val="bottom"/>
            <w:tcBorders>
              <w:bottom w:val="single" w:sz="8" w:color="A6A6A6"/>
            </w:tcBorders>
            <w:gridSpan w:val="2"/>
            <w:vMerge w:val="continue"/>
          </w:tcPr>
          <w:p>
            <w:pPr>
              <w:spacing w:after="0"/>
              <w:rPr>
                <w:sz w:val="17"/>
                <w:szCs w:val="17"/>
                <w:color w:val="auto"/>
              </w:rPr>
            </w:pPr>
          </w:p>
        </w:tc>
        <w:tc>
          <w:tcPr>
            <w:tcW w:w="800" w:type="dxa"/>
            <w:vAlign w:val="bottom"/>
            <w:tcBorders>
              <w:bottom w:val="single" w:sz="8" w:color="A6A6A6"/>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March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180" w:type="dxa"/>
            <w:vAlign w:val="bottom"/>
            <w:shd w:val="clear" w:color="auto" w:fill="004483"/>
          </w:tcPr>
          <w:p>
            <w:pPr>
              <w:spacing w:after="0"/>
              <w:rPr>
                <w:sz w:val="13"/>
                <w:szCs w:val="13"/>
                <w:color w:val="auto"/>
              </w:rPr>
            </w:pPr>
          </w:p>
        </w:tc>
        <w:tc>
          <w:tcPr>
            <w:tcW w:w="1320" w:type="dxa"/>
            <w:vAlign w:val="bottom"/>
            <w:shd w:val="clear" w:color="auto" w:fill="004483"/>
          </w:tcPr>
          <w:p>
            <w:pPr>
              <w:jc w:val="right"/>
              <w:ind w:right="29"/>
              <w:spacing w:after="0"/>
              <w:rPr>
                <w:sz w:val="20"/>
                <w:szCs w:val="20"/>
                <w:color w:val="auto"/>
              </w:rPr>
            </w:pPr>
            <w:r>
              <w:rPr>
                <w:rFonts w:ascii="Arial" w:cs="Arial" w:eastAsia="Arial" w:hAnsi="Arial"/>
                <w:sz w:val="13"/>
                <w:szCs w:val="13"/>
                <w:b w:val="1"/>
                <w:bCs w:val="1"/>
                <w:color w:val="FFFFFF"/>
                <w:w w:val="92"/>
              </w:rPr>
              <w:t>Options Outstanding</w:t>
            </w:r>
          </w:p>
        </w:tc>
        <w:tc>
          <w:tcPr>
            <w:tcW w:w="380" w:type="dxa"/>
            <w:vAlign w:val="bottom"/>
            <w:shd w:val="clear" w:color="auto" w:fill="004483"/>
          </w:tcPr>
          <w:p>
            <w:pPr>
              <w:spacing w:after="0"/>
              <w:rPr>
                <w:sz w:val="13"/>
                <w:szCs w:val="13"/>
                <w:color w:val="auto"/>
              </w:rPr>
            </w:pPr>
          </w:p>
        </w:tc>
        <w:tc>
          <w:tcPr>
            <w:tcW w:w="860" w:type="dxa"/>
            <w:vAlign w:val="bottom"/>
            <w:shd w:val="clear" w:color="auto" w:fill="004483"/>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shd w:val="clear" w:color="auto" w:fill="004483"/>
          </w:tcPr>
          <w:p>
            <w:pPr>
              <w:jc w:val="right"/>
              <w:spacing w:after="0"/>
              <w:rPr>
                <w:sz w:val="20"/>
                <w:szCs w:val="20"/>
                <w:color w:val="auto"/>
              </w:rPr>
            </w:pPr>
            <w:r>
              <w:rPr>
                <w:rFonts w:ascii="Arial" w:cs="Arial" w:eastAsia="Arial" w:hAnsi="Arial"/>
                <w:sz w:val="13"/>
                <w:szCs w:val="13"/>
                <w:b w:val="1"/>
                <w:bCs w:val="1"/>
                <w:color w:val="FFFFFF"/>
              </w:rPr>
              <w:t>Options Exercisable</w:t>
            </w:r>
          </w:p>
        </w:tc>
        <w:tc>
          <w:tcPr>
            <w:tcW w:w="68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20" w:type="dxa"/>
            <w:vAlign w:val="bottom"/>
          </w:tcPr>
          <w:p>
            <w:pPr>
              <w:jc w:val="right"/>
              <w:ind w:right="69"/>
              <w:spacing w:after="0" w:line="108" w:lineRule="exact"/>
              <w:rPr>
                <w:sz w:val="20"/>
                <w:szCs w:val="20"/>
                <w:color w:val="auto"/>
              </w:rPr>
            </w:pPr>
            <w:r>
              <w:rPr>
                <w:rFonts w:ascii="Arial" w:cs="Arial" w:eastAsia="Arial" w:hAnsi="Arial"/>
                <w:sz w:val="12"/>
                <w:szCs w:val="12"/>
                <w:b w:val="1"/>
                <w:bCs w:val="1"/>
                <w:color w:val="auto"/>
              </w:rPr>
              <w:t>Weighted-</w:t>
            </w:r>
          </w:p>
        </w:tc>
        <w:tc>
          <w:tcPr>
            <w:tcW w:w="380" w:type="dxa"/>
            <w:vAlign w:val="bottom"/>
          </w:tcPr>
          <w:p>
            <w:pPr>
              <w:spacing w:after="0"/>
              <w:rPr>
                <w:sz w:val="9"/>
                <w:szCs w:val="9"/>
                <w:color w:val="auto"/>
              </w:rPr>
            </w:pPr>
          </w:p>
        </w:tc>
        <w:tc>
          <w:tcPr>
            <w:tcW w:w="860" w:type="dxa"/>
            <w:vAlign w:val="bottom"/>
            <w:vMerge w:val="restart"/>
          </w:tcPr>
          <w:p>
            <w:pPr>
              <w:jc w:val="right"/>
              <w:ind w:right="27"/>
              <w:spacing w:after="0"/>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vMerge w:val="restart"/>
          </w:tcPr>
          <w:p>
            <w:pPr>
              <w:jc w:val="right"/>
              <w:ind w:right="27"/>
              <w:spacing w:after="0"/>
              <w:rPr>
                <w:sz w:val="20"/>
                <w:szCs w:val="20"/>
                <w:color w:val="auto"/>
              </w:rPr>
            </w:pPr>
            <w:r>
              <w:rPr>
                <w:rFonts w:ascii="Arial" w:cs="Arial" w:eastAsia="Arial" w:hAnsi="Arial"/>
                <w:sz w:val="13"/>
                <w:szCs w:val="13"/>
                <w:b w:val="1"/>
                <w:bCs w:val="1"/>
                <w:color w:val="auto"/>
                <w:w w:val="89"/>
              </w:rPr>
              <w:t>Weighted-</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80" w:type="dxa"/>
            <w:vAlign w:val="bottom"/>
            <w:vMerge w:val="restart"/>
          </w:tcPr>
          <w:p>
            <w:pPr>
              <w:jc w:val="right"/>
              <w:ind w:right="46"/>
              <w:spacing w:after="0"/>
              <w:rPr>
                <w:sz w:val="20"/>
                <w:szCs w:val="20"/>
                <w:color w:val="auto"/>
              </w:rPr>
            </w:pPr>
            <w:r>
              <w:rPr>
                <w:rFonts w:ascii="Arial" w:cs="Arial" w:eastAsia="Arial" w:hAnsi="Arial"/>
                <w:sz w:val="13"/>
                <w:szCs w:val="13"/>
                <w:b w:val="1"/>
                <w:bCs w:val="1"/>
                <w:color w:val="auto"/>
              </w:rPr>
              <w:t>Number of</w:t>
            </w:r>
          </w:p>
        </w:tc>
        <w:tc>
          <w:tcPr>
            <w:tcW w:w="1320" w:type="dxa"/>
            <w:vAlign w:val="bottom"/>
          </w:tcPr>
          <w:p>
            <w:pPr>
              <w:jc w:val="right"/>
              <w:ind w:right="69"/>
              <w:spacing w:after="0" w:line="122" w:lineRule="exact"/>
              <w:rPr>
                <w:sz w:val="20"/>
                <w:szCs w:val="20"/>
                <w:color w:val="auto"/>
              </w:rPr>
            </w:pPr>
            <w:r>
              <w:rPr>
                <w:rFonts w:ascii="Arial" w:cs="Arial" w:eastAsia="Arial" w:hAnsi="Arial"/>
                <w:sz w:val="13"/>
                <w:szCs w:val="13"/>
                <w:b w:val="1"/>
                <w:bCs w:val="1"/>
                <w:color w:val="auto"/>
              </w:rPr>
              <w:t>Average</w:t>
            </w:r>
          </w:p>
        </w:tc>
        <w:tc>
          <w:tcPr>
            <w:tcW w:w="3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5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320" w:type="dxa"/>
            <w:vAlign w:val="bottom"/>
          </w:tcPr>
          <w:p>
            <w:pPr>
              <w:jc w:val="right"/>
              <w:ind w:right="69"/>
              <w:spacing w:after="0" w:line="122" w:lineRule="exact"/>
              <w:rPr>
                <w:sz w:val="20"/>
                <w:szCs w:val="20"/>
                <w:color w:val="auto"/>
              </w:rPr>
            </w:pPr>
            <w:r>
              <w:rPr>
                <w:rFonts w:ascii="Arial" w:cs="Arial" w:eastAsia="Arial" w:hAnsi="Arial"/>
                <w:sz w:val="13"/>
                <w:szCs w:val="13"/>
                <w:b w:val="1"/>
                <w:bCs w:val="1"/>
                <w:color w:val="auto"/>
              </w:rPr>
              <w:t>Remaining</w:t>
            </w:r>
          </w:p>
        </w:tc>
        <w:tc>
          <w:tcPr>
            <w:tcW w:w="380" w:type="dxa"/>
            <w:vAlign w:val="bottom"/>
          </w:tcPr>
          <w:p>
            <w:pPr>
              <w:spacing w:after="0"/>
              <w:rPr>
                <w:sz w:val="10"/>
                <w:szCs w:val="10"/>
                <w:color w:val="auto"/>
              </w:rPr>
            </w:pPr>
          </w:p>
        </w:tc>
        <w:tc>
          <w:tcPr>
            <w:tcW w:w="860" w:type="dxa"/>
            <w:vAlign w:val="bottom"/>
          </w:tcPr>
          <w:p>
            <w:pPr>
              <w:jc w:val="right"/>
              <w:ind w:right="27"/>
              <w:spacing w:after="0" w:line="122"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jc w:val="right"/>
              <w:ind w:right="27"/>
              <w:spacing w:after="0" w:line="122"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2"/>
        </w:trPr>
        <w:tc>
          <w:tcPr>
            <w:tcW w:w="49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180" w:type="dxa"/>
            <w:vAlign w:val="bottom"/>
          </w:tcPr>
          <w:p>
            <w:pPr>
              <w:jc w:val="right"/>
              <w:ind w:right="46"/>
              <w:spacing w:after="0" w:line="122" w:lineRule="exact"/>
              <w:rPr>
                <w:sz w:val="20"/>
                <w:szCs w:val="20"/>
                <w:color w:val="auto"/>
              </w:rPr>
            </w:pPr>
            <w:r>
              <w:rPr>
                <w:rFonts w:ascii="Arial" w:cs="Arial" w:eastAsia="Arial" w:hAnsi="Arial"/>
                <w:sz w:val="13"/>
                <w:szCs w:val="13"/>
                <w:b w:val="1"/>
                <w:bCs w:val="1"/>
                <w:color w:val="auto"/>
              </w:rPr>
              <w:t>Shares</w:t>
            </w:r>
          </w:p>
        </w:tc>
        <w:tc>
          <w:tcPr>
            <w:tcW w:w="1320" w:type="dxa"/>
            <w:vAlign w:val="bottom"/>
          </w:tcPr>
          <w:p>
            <w:pPr>
              <w:jc w:val="right"/>
              <w:ind w:right="69"/>
              <w:spacing w:after="0" w:line="122" w:lineRule="exact"/>
              <w:rPr>
                <w:sz w:val="20"/>
                <w:szCs w:val="20"/>
                <w:color w:val="auto"/>
              </w:rPr>
            </w:pPr>
            <w:r>
              <w:rPr>
                <w:rFonts w:ascii="Arial" w:cs="Arial" w:eastAsia="Arial" w:hAnsi="Arial"/>
                <w:sz w:val="13"/>
                <w:szCs w:val="13"/>
                <w:b w:val="1"/>
                <w:bCs w:val="1"/>
                <w:color w:val="auto"/>
              </w:rPr>
              <w:t>Contractual</w:t>
            </w:r>
          </w:p>
        </w:tc>
        <w:tc>
          <w:tcPr>
            <w:tcW w:w="380" w:type="dxa"/>
            <w:vAlign w:val="bottom"/>
          </w:tcPr>
          <w:p>
            <w:pPr>
              <w:spacing w:after="0"/>
              <w:rPr>
                <w:sz w:val="10"/>
                <w:szCs w:val="10"/>
                <w:color w:val="auto"/>
              </w:rPr>
            </w:pPr>
          </w:p>
        </w:tc>
        <w:tc>
          <w:tcPr>
            <w:tcW w:w="860" w:type="dxa"/>
            <w:vAlign w:val="bottom"/>
          </w:tcPr>
          <w:p>
            <w:pPr>
              <w:jc w:val="right"/>
              <w:ind w:right="27"/>
              <w:spacing w:after="0" w:line="122" w:lineRule="exact"/>
              <w:rPr>
                <w:sz w:val="20"/>
                <w:szCs w:val="20"/>
                <w:color w:val="auto"/>
              </w:rPr>
            </w:pPr>
            <w:r>
              <w:rPr>
                <w:rFonts w:ascii="Arial" w:cs="Arial" w:eastAsia="Arial" w:hAnsi="Arial"/>
                <w:sz w:val="13"/>
                <w:szCs w:val="13"/>
                <w:b w:val="1"/>
                <w:bCs w:val="1"/>
                <w:color w:val="auto"/>
              </w:rPr>
              <w:t>Exercise</w:t>
            </w:r>
          </w:p>
        </w:tc>
        <w:tc>
          <w:tcPr>
            <w:tcW w:w="120" w:type="dxa"/>
            <w:vAlign w:val="bottom"/>
          </w:tcPr>
          <w:p>
            <w:pPr>
              <w:spacing w:after="0"/>
              <w:rPr>
                <w:sz w:val="10"/>
                <w:szCs w:val="10"/>
                <w:color w:val="auto"/>
              </w:rPr>
            </w:pPr>
          </w:p>
        </w:tc>
        <w:tc>
          <w:tcPr>
            <w:tcW w:w="1140" w:type="dxa"/>
            <w:vAlign w:val="bottom"/>
          </w:tcPr>
          <w:p>
            <w:pPr>
              <w:jc w:val="right"/>
              <w:ind w:right="33"/>
              <w:spacing w:after="0" w:line="122" w:lineRule="exact"/>
              <w:rPr>
                <w:sz w:val="20"/>
                <w:szCs w:val="20"/>
                <w:color w:val="auto"/>
              </w:rPr>
            </w:pPr>
            <w:r>
              <w:rPr>
                <w:rFonts w:ascii="Arial" w:cs="Arial" w:eastAsia="Arial" w:hAnsi="Arial"/>
                <w:sz w:val="13"/>
                <w:szCs w:val="13"/>
                <w:b w:val="1"/>
                <w:bCs w:val="1"/>
                <w:color w:val="auto"/>
              </w:rPr>
              <w:t>Shares</w:t>
            </w:r>
          </w:p>
        </w:tc>
        <w:tc>
          <w:tcPr>
            <w:tcW w:w="580" w:type="dxa"/>
            <w:vAlign w:val="bottom"/>
          </w:tcPr>
          <w:p>
            <w:pPr>
              <w:spacing w:after="0"/>
              <w:rPr>
                <w:sz w:val="10"/>
                <w:szCs w:val="10"/>
                <w:color w:val="auto"/>
              </w:rPr>
            </w:pPr>
          </w:p>
        </w:tc>
        <w:tc>
          <w:tcPr>
            <w:tcW w:w="680" w:type="dxa"/>
            <w:vAlign w:val="bottom"/>
          </w:tcPr>
          <w:p>
            <w:pPr>
              <w:jc w:val="right"/>
              <w:ind w:right="27"/>
              <w:spacing w:after="0" w:line="122"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3"/>
        </w:trPr>
        <w:tc>
          <w:tcPr>
            <w:tcW w:w="4980" w:type="dxa"/>
            <w:vAlign w:val="bottom"/>
            <w:tcBorders>
              <w:bottom w:val="single" w:sz="8" w:color="004483"/>
            </w:tcBorders>
            <w:gridSpan w:val="2"/>
            <w:vMerge w:val="continue"/>
          </w:tcPr>
          <w:p>
            <w:pPr>
              <w:spacing w:after="0"/>
              <w:rPr>
                <w:sz w:val="15"/>
                <w:szCs w:val="15"/>
                <w:color w:val="auto"/>
              </w:rPr>
            </w:pPr>
          </w:p>
        </w:tc>
        <w:tc>
          <w:tcPr>
            <w:tcW w:w="1180" w:type="dxa"/>
            <w:vAlign w:val="bottom"/>
            <w:tcBorders>
              <w:bottom w:val="single" w:sz="8" w:color="004483"/>
            </w:tcBorders>
          </w:tcPr>
          <w:p>
            <w:pPr>
              <w:jc w:val="right"/>
              <w:ind w:right="46"/>
              <w:spacing w:after="0"/>
              <w:rPr>
                <w:sz w:val="20"/>
                <w:szCs w:val="20"/>
                <w:color w:val="auto"/>
              </w:rPr>
            </w:pPr>
            <w:r>
              <w:rPr>
                <w:rFonts w:ascii="Arial" w:cs="Arial" w:eastAsia="Arial" w:hAnsi="Arial"/>
                <w:sz w:val="13"/>
                <w:szCs w:val="13"/>
                <w:b w:val="1"/>
                <w:bCs w:val="1"/>
                <w:color w:val="auto"/>
              </w:rPr>
              <w:t>Outstanding</w:t>
            </w:r>
          </w:p>
        </w:tc>
        <w:tc>
          <w:tcPr>
            <w:tcW w:w="1320" w:type="dxa"/>
            <w:vAlign w:val="bottom"/>
            <w:tcBorders>
              <w:bottom w:val="single" w:sz="8" w:color="004483"/>
            </w:tcBorders>
          </w:tcPr>
          <w:p>
            <w:pPr>
              <w:jc w:val="right"/>
              <w:ind w:right="69"/>
              <w:spacing w:after="0"/>
              <w:rPr>
                <w:sz w:val="20"/>
                <w:szCs w:val="20"/>
                <w:color w:val="auto"/>
              </w:rPr>
            </w:pPr>
            <w:r>
              <w:rPr>
                <w:rFonts w:ascii="Arial" w:cs="Arial" w:eastAsia="Arial" w:hAnsi="Arial"/>
                <w:sz w:val="13"/>
                <w:szCs w:val="13"/>
                <w:b w:val="1"/>
                <w:bCs w:val="1"/>
                <w:color w:val="auto"/>
              </w:rPr>
              <w:t>Life</w:t>
            </w:r>
          </w:p>
        </w:tc>
        <w:tc>
          <w:tcPr>
            <w:tcW w:w="380" w:type="dxa"/>
            <w:vAlign w:val="bottom"/>
            <w:tcBorders>
              <w:bottom w:val="single" w:sz="8" w:color="004483"/>
            </w:tcBorders>
          </w:tcPr>
          <w:p>
            <w:pPr>
              <w:spacing w:after="0"/>
              <w:rPr>
                <w:sz w:val="15"/>
                <w:szCs w:val="15"/>
                <w:color w:val="auto"/>
              </w:rPr>
            </w:pPr>
          </w:p>
        </w:tc>
        <w:tc>
          <w:tcPr>
            <w:tcW w:w="860" w:type="dxa"/>
            <w:vAlign w:val="bottom"/>
            <w:tcBorders>
              <w:bottom w:val="single" w:sz="8" w:color="004483"/>
            </w:tcBorders>
          </w:tcPr>
          <w:p>
            <w:pPr>
              <w:jc w:val="right"/>
              <w:ind w:right="27"/>
              <w:spacing w:after="0"/>
              <w:rPr>
                <w:sz w:val="20"/>
                <w:szCs w:val="20"/>
                <w:color w:val="auto"/>
              </w:rPr>
            </w:pPr>
            <w:r>
              <w:rPr>
                <w:rFonts w:ascii="Arial" w:cs="Arial" w:eastAsia="Arial" w:hAnsi="Arial"/>
                <w:sz w:val="13"/>
                <w:szCs w:val="13"/>
                <w:b w:val="1"/>
                <w:bCs w:val="1"/>
                <w:color w:val="auto"/>
              </w:rPr>
              <w:t>Price</w:t>
            </w:r>
          </w:p>
        </w:tc>
        <w:tc>
          <w:tcPr>
            <w:tcW w:w="120" w:type="dxa"/>
            <w:vAlign w:val="bottom"/>
            <w:tcBorders>
              <w:bottom w:val="single" w:sz="8" w:color="004483"/>
            </w:tcBorders>
          </w:tcPr>
          <w:p>
            <w:pPr>
              <w:spacing w:after="0"/>
              <w:rPr>
                <w:sz w:val="15"/>
                <w:szCs w:val="15"/>
                <w:color w:val="auto"/>
              </w:rPr>
            </w:pPr>
          </w:p>
        </w:tc>
        <w:tc>
          <w:tcPr>
            <w:tcW w:w="1140" w:type="dxa"/>
            <w:vAlign w:val="bottom"/>
            <w:tcBorders>
              <w:bottom w:val="single" w:sz="8" w:color="004483"/>
            </w:tcBorders>
          </w:tcPr>
          <w:p>
            <w:pPr>
              <w:jc w:val="right"/>
              <w:ind w:right="33"/>
              <w:spacing w:after="0"/>
              <w:rPr>
                <w:sz w:val="20"/>
                <w:szCs w:val="20"/>
                <w:color w:val="auto"/>
              </w:rPr>
            </w:pPr>
            <w:r>
              <w:rPr>
                <w:rFonts w:ascii="Arial" w:cs="Arial" w:eastAsia="Arial" w:hAnsi="Arial"/>
                <w:sz w:val="13"/>
                <w:szCs w:val="13"/>
                <w:b w:val="1"/>
                <w:bCs w:val="1"/>
                <w:color w:val="auto"/>
              </w:rPr>
              <w:t>Outstanding</w:t>
            </w:r>
          </w:p>
        </w:tc>
        <w:tc>
          <w:tcPr>
            <w:tcW w:w="580" w:type="dxa"/>
            <w:vAlign w:val="bottom"/>
            <w:tcBorders>
              <w:bottom w:val="single" w:sz="8" w:color="004483"/>
            </w:tcBorders>
          </w:tcPr>
          <w:p>
            <w:pPr>
              <w:spacing w:after="0"/>
              <w:rPr>
                <w:sz w:val="15"/>
                <w:szCs w:val="15"/>
                <w:color w:val="auto"/>
              </w:rPr>
            </w:pPr>
          </w:p>
        </w:tc>
        <w:tc>
          <w:tcPr>
            <w:tcW w:w="680" w:type="dxa"/>
            <w:vAlign w:val="bottom"/>
            <w:tcBorders>
              <w:bottom w:val="single" w:sz="8" w:color="004483"/>
            </w:tcBorders>
          </w:tcPr>
          <w:p>
            <w:pPr>
              <w:jc w:val="right"/>
              <w:ind w:right="27"/>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89"/>
        </w:trPr>
        <w:tc>
          <w:tcPr>
            <w:tcW w:w="4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w w:val="89"/>
              </w:rPr>
              <w:t>$33.69</w:t>
            </w:r>
          </w:p>
        </w:tc>
        <w:tc>
          <w:tcPr>
            <w:tcW w:w="4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 $37.34</w:t>
            </w:r>
          </w:p>
        </w:tc>
        <w:tc>
          <w:tcPr>
            <w:tcW w:w="118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5,800</w:t>
            </w:r>
          </w:p>
        </w:tc>
        <w:tc>
          <w:tcPr>
            <w:tcW w:w="1320" w:type="dxa"/>
            <w:vAlign w:val="bottom"/>
            <w:tcBorders>
              <w:bottom w:val="single" w:sz="8" w:color="A6A6A6"/>
            </w:tcBorders>
          </w:tcPr>
          <w:p>
            <w:pPr>
              <w:jc w:val="right"/>
              <w:ind w:right="69"/>
              <w:spacing w:after="0"/>
              <w:rPr>
                <w:sz w:val="20"/>
                <w:szCs w:val="20"/>
                <w:color w:val="auto"/>
              </w:rPr>
            </w:pPr>
            <w:r>
              <w:rPr>
                <w:rFonts w:ascii="Arial" w:cs="Arial" w:eastAsia="Arial" w:hAnsi="Arial"/>
                <w:sz w:val="16"/>
                <w:szCs w:val="16"/>
                <w:color w:val="auto"/>
              </w:rPr>
              <w:t>0.20</w:t>
            </w:r>
          </w:p>
        </w:tc>
        <w:tc>
          <w:tcPr>
            <w:tcW w:w="38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27"/>
              <w:spacing w:after="0"/>
              <w:rPr>
                <w:sz w:val="20"/>
                <w:szCs w:val="20"/>
                <w:color w:val="auto"/>
              </w:rPr>
            </w:pPr>
            <w:r>
              <w:rPr>
                <w:rFonts w:ascii="Arial" w:cs="Arial" w:eastAsia="Arial" w:hAnsi="Arial"/>
                <w:sz w:val="16"/>
                <w:szCs w:val="16"/>
                <w:color w:val="auto"/>
              </w:rPr>
              <w:t>35.46</w:t>
            </w:r>
          </w:p>
        </w:tc>
        <w:tc>
          <w:tcPr>
            <w:tcW w:w="1260" w:type="dxa"/>
            <w:vAlign w:val="bottom"/>
            <w:tcBorders>
              <w:bottom w:val="single" w:sz="8" w:color="A6A6A6"/>
            </w:tcBorders>
            <w:gridSpan w:val="2"/>
          </w:tcPr>
          <w:p>
            <w:pPr>
              <w:jc w:val="right"/>
              <w:ind w:right="33"/>
              <w:spacing w:after="0"/>
              <w:rPr>
                <w:sz w:val="20"/>
                <w:szCs w:val="20"/>
                <w:color w:val="auto"/>
              </w:rPr>
            </w:pPr>
            <w:r>
              <w:rPr>
                <w:rFonts w:ascii="Arial" w:cs="Arial" w:eastAsia="Arial" w:hAnsi="Arial"/>
                <w:sz w:val="16"/>
                <w:szCs w:val="16"/>
                <w:color w:val="auto"/>
              </w:rPr>
              <w:t>5,800</w:t>
            </w:r>
          </w:p>
        </w:tc>
        <w:tc>
          <w:tcPr>
            <w:tcW w:w="58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ind w:right="27"/>
              <w:spacing w:after="0"/>
              <w:rPr>
                <w:sz w:val="20"/>
                <w:szCs w:val="20"/>
                <w:color w:val="auto"/>
              </w:rPr>
            </w:pPr>
            <w:r>
              <w:rPr>
                <w:rFonts w:ascii="Arial" w:cs="Arial" w:eastAsia="Arial" w:hAnsi="Arial"/>
                <w:sz w:val="16"/>
                <w:szCs w:val="16"/>
                <w:color w:val="auto"/>
              </w:rPr>
              <w:t>35.46</w:t>
            </w:r>
          </w:p>
        </w:tc>
        <w:tc>
          <w:tcPr>
            <w:tcW w:w="0" w:type="dxa"/>
            <w:vAlign w:val="bottom"/>
          </w:tcPr>
          <w:p>
            <w:pPr>
              <w:spacing w:after="0"/>
              <w:rPr>
                <w:sz w:val="1"/>
                <w:szCs w:val="1"/>
                <w:color w:val="auto"/>
              </w:rPr>
            </w:pPr>
          </w:p>
        </w:tc>
      </w:tr>
      <w:tr>
        <w:trPr>
          <w:trHeight w:val="183"/>
        </w:trPr>
        <w:tc>
          <w:tcPr>
            <w:tcW w:w="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w w:val="89"/>
              </w:rPr>
              <w:t>$59.32</w:t>
            </w:r>
          </w:p>
        </w:tc>
        <w:tc>
          <w:tcPr>
            <w:tcW w:w="45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 $81.56</w:t>
            </w:r>
          </w:p>
        </w:tc>
        <w:tc>
          <w:tcPr>
            <w:tcW w:w="1180" w:type="dxa"/>
            <w:vAlign w:val="bottom"/>
            <w:tcBorders>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179,192</w:t>
            </w:r>
          </w:p>
        </w:tc>
        <w:tc>
          <w:tcPr>
            <w:tcW w:w="1320" w:type="dxa"/>
            <w:vAlign w:val="bottom"/>
            <w:tcBorders>
              <w:bottom w:val="single" w:sz="8" w:color="A6A6A6"/>
            </w:tcBorders>
          </w:tcPr>
          <w:p>
            <w:pPr>
              <w:jc w:val="right"/>
              <w:ind w:right="69"/>
              <w:spacing w:after="0" w:line="183" w:lineRule="exact"/>
              <w:rPr>
                <w:sz w:val="20"/>
                <w:szCs w:val="20"/>
                <w:color w:val="auto"/>
              </w:rPr>
            </w:pPr>
            <w:r>
              <w:rPr>
                <w:rFonts w:ascii="Arial" w:cs="Arial" w:eastAsia="Arial" w:hAnsi="Arial"/>
                <w:sz w:val="16"/>
                <w:szCs w:val="16"/>
                <w:color w:val="auto"/>
              </w:rPr>
              <w:t>7.15</w:t>
            </w:r>
          </w:p>
        </w:tc>
        <w:tc>
          <w:tcPr>
            <w:tcW w:w="38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63.43</w:t>
            </w:r>
          </w:p>
        </w:tc>
        <w:tc>
          <w:tcPr>
            <w:tcW w:w="1260" w:type="dxa"/>
            <w:vAlign w:val="bottom"/>
            <w:tcBorders>
              <w:bottom w:val="single" w:sz="8" w:color="A6A6A6"/>
            </w:tcBorders>
            <w:gridSpan w:val="2"/>
          </w:tcPr>
          <w:p>
            <w:pPr>
              <w:jc w:val="right"/>
              <w:ind w:right="33"/>
              <w:spacing w:after="0" w:line="183" w:lineRule="exact"/>
              <w:rPr>
                <w:sz w:val="20"/>
                <w:szCs w:val="20"/>
                <w:color w:val="auto"/>
              </w:rPr>
            </w:pPr>
            <w:r>
              <w:rPr>
                <w:rFonts w:ascii="Arial" w:cs="Arial" w:eastAsia="Arial" w:hAnsi="Arial"/>
                <w:sz w:val="16"/>
                <w:szCs w:val="16"/>
                <w:color w:val="auto"/>
              </w:rPr>
              <w:t>92,382</w:t>
            </w:r>
          </w:p>
        </w:tc>
        <w:tc>
          <w:tcPr>
            <w:tcW w:w="580" w:type="dxa"/>
            <w:vAlign w:val="bottom"/>
            <w:tcBorders>
              <w:bottom w:val="single" w:sz="8" w:color="A6A6A6"/>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65.88</w:t>
            </w:r>
          </w:p>
        </w:tc>
        <w:tc>
          <w:tcPr>
            <w:tcW w:w="0" w:type="dxa"/>
            <w:vAlign w:val="bottom"/>
          </w:tcPr>
          <w:p>
            <w:pPr>
              <w:spacing w:after="0"/>
              <w:rPr>
                <w:sz w:val="1"/>
                <w:szCs w:val="1"/>
                <w:color w:val="auto"/>
              </w:rPr>
            </w:pPr>
          </w:p>
        </w:tc>
      </w:tr>
      <w:tr>
        <w:trPr>
          <w:trHeight w:val="183"/>
        </w:trPr>
        <w:tc>
          <w:tcPr>
            <w:tcW w:w="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w w:val="89"/>
              </w:rPr>
              <w:t>$87.37</w:t>
            </w:r>
          </w:p>
        </w:tc>
        <w:tc>
          <w:tcPr>
            <w:tcW w:w="45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 $93.03</w:t>
            </w:r>
          </w:p>
        </w:tc>
        <w:tc>
          <w:tcPr>
            <w:tcW w:w="1180" w:type="dxa"/>
            <w:vAlign w:val="bottom"/>
            <w:tcBorders>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156,131</w:t>
            </w:r>
          </w:p>
        </w:tc>
        <w:tc>
          <w:tcPr>
            <w:tcW w:w="1320" w:type="dxa"/>
            <w:vAlign w:val="bottom"/>
            <w:tcBorders>
              <w:bottom w:val="single" w:sz="8" w:color="A6A6A6"/>
            </w:tcBorders>
          </w:tcPr>
          <w:p>
            <w:pPr>
              <w:jc w:val="right"/>
              <w:ind w:right="69"/>
              <w:spacing w:after="0" w:line="183" w:lineRule="exact"/>
              <w:rPr>
                <w:sz w:val="20"/>
                <w:szCs w:val="20"/>
                <w:color w:val="auto"/>
              </w:rPr>
            </w:pPr>
            <w:r>
              <w:rPr>
                <w:rFonts w:ascii="Arial" w:cs="Arial" w:eastAsia="Arial" w:hAnsi="Arial"/>
                <w:sz w:val="16"/>
                <w:szCs w:val="16"/>
                <w:color w:val="auto"/>
              </w:rPr>
              <w:t>6.69</w:t>
            </w:r>
          </w:p>
        </w:tc>
        <w:tc>
          <w:tcPr>
            <w:tcW w:w="38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91.44</w:t>
            </w:r>
          </w:p>
        </w:tc>
        <w:tc>
          <w:tcPr>
            <w:tcW w:w="1260" w:type="dxa"/>
            <w:vAlign w:val="bottom"/>
            <w:tcBorders>
              <w:bottom w:val="single" w:sz="8" w:color="A6A6A6"/>
            </w:tcBorders>
            <w:gridSpan w:val="2"/>
          </w:tcPr>
          <w:p>
            <w:pPr>
              <w:jc w:val="right"/>
              <w:ind w:right="33"/>
              <w:spacing w:after="0" w:line="183" w:lineRule="exact"/>
              <w:rPr>
                <w:sz w:val="20"/>
                <w:szCs w:val="20"/>
                <w:color w:val="auto"/>
              </w:rPr>
            </w:pPr>
            <w:r>
              <w:rPr>
                <w:rFonts w:ascii="Arial" w:cs="Arial" w:eastAsia="Arial" w:hAnsi="Arial"/>
                <w:sz w:val="16"/>
                <w:szCs w:val="16"/>
                <w:color w:val="auto"/>
              </w:rPr>
              <w:t>113,803</w:t>
            </w:r>
          </w:p>
        </w:tc>
        <w:tc>
          <w:tcPr>
            <w:tcW w:w="580" w:type="dxa"/>
            <w:vAlign w:val="bottom"/>
            <w:tcBorders>
              <w:bottom w:val="single" w:sz="8" w:color="A6A6A6"/>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91.40</w:t>
            </w:r>
          </w:p>
        </w:tc>
        <w:tc>
          <w:tcPr>
            <w:tcW w:w="0" w:type="dxa"/>
            <w:vAlign w:val="bottom"/>
          </w:tcPr>
          <w:p>
            <w:pPr>
              <w:spacing w:after="0"/>
              <w:rPr>
                <w:sz w:val="1"/>
                <w:szCs w:val="1"/>
                <w:color w:val="auto"/>
              </w:rPr>
            </w:pPr>
          </w:p>
        </w:tc>
      </w:tr>
      <w:tr>
        <w:trPr>
          <w:trHeight w:val="183"/>
        </w:trPr>
        <w:tc>
          <w:tcPr>
            <w:tcW w:w="4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w w:val="89"/>
              </w:rPr>
              <w:t>$99.37</w:t>
            </w:r>
          </w:p>
        </w:tc>
        <w:tc>
          <w:tcPr>
            <w:tcW w:w="450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 $143.09</w:t>
            </w:r>
          </w:p>
        </w:tc>
        <w:tc>
          <w:tcPr>
            <w:tcW w:w="1180" w:type="dxa"/>
            <w:vAlign w:val="bottom"/>
          </w:tcPr>
          <w:p>
            <w:pPr>
              <w:jc w:val="right"/>
              <w:ind w:right="46"/>
              <w:spacing w:after="0" w:line="183" w:lineRule="exact"/>
              <w:rPr>
                <w:sz w:val="20"/>
                <w:szCs w:val="20"/>
                <w:color w:val="auto"/>
              </w:rPr>
            </w:pPr>
            <w:r>
              <w:rPr>
                <w:rFonts w:ascii="Arial" w:cs="Arial" w:eastAsia="Arial" w:hAnsi="Arial"/>
                <w:sz w:val="16"/>
                <w:szCs w:val="16"/>
                <w:color w:val="auto"/>
              </w:rPr>
              <w:t>115,726</w:t>
            </w:r>
          </w:p>
        </w:tc>
        <w:tc>
          <w:tcPr>
            <w:tcW w:w="1320" w:type="dxa"/>
            <w:vAlign w:val="bottom"/>
          </w:tcPr>
          <w:p>
            <w:pPr>
              <w:jc w:val="right"/>
              <w:ind w:right="69"/>
              <w:spacing w:after="0" w:line="183" w:lineRule="exact"/>
              <w:rPr>
                <w:sz w:val="20"/>
                <w:szCs w:val="20"/>
                <w:color w:val="auto"/>
              </w:rPr>
            </w:pPr>
            <w:r>
              <w:rPr>
                <w:rFonts w:ascii="Arial" w:cs="Arial" w:eastAsia="Arial" w:hAnsi="Arial"/>
                <w:sz w:val="16"/>
                <w:szCs w:val="16"/>
                <w:color w:val="auto"/>
              </w:rPr>
              <w:t>6.23</w:t>
            </w:r>
          </w:p>
        </w:tc>
        <w:tc>
          <w:tcPr>
            <w:tcW w:w="38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27"/>
              <w:spacing w:after="0" w:line="183" w:lineRule="exact"/>
              <w:rPr>
                <w:sz w:val="20"/>
                <w:szCs w:val="20"/>
                <w:color w:val="auto"/>
              </w:rPr>
            </w:pPr>
            <w:r>
              <w:rPr>
                <w:rFonts w:ascii="Arial" w:cs="Arial" w:eastAsia="Arial" w:hAnsi="Arial"/>
                <w:sz w:val="16"/>
                <w:szCs w:val="16"/>
                <w:color w:val="auto"/>
              </w:rPr>
              <w:t>107.49</w:t>
            </w:r>
          </w:p>
        </w:tc>
        <w:tc>
          <w:tcPr>
            <w:tcW w:w="1260" w:type="dxa"/>
            <w:vAlign w:val="bottom"/>
            <w:gridSpan w:val="2"/>
          </w:tcPr>
          <w:p>
            <w:pPr>
              <w:jc w:val="right"/>
              <w:ind w:right="33"/>
              <w:spacing w:after="0" w:line="183" w:lineRule="exact"/>
              <w:rPr>
                <w:sz w:val="20"/>
                <w:szCs w:val="20"/>
                <w:color w:val="auto"/>
              </w:rPr>
            </w:pPr>
            <w:r>
              <w:rPr>
                <w:rFonts w:ascii="Arial" w:cs="Arial" w:eastAsia="Arial" w:hAnsi="Arial"/>
                <w:sz w:val="16"/>
                <w:szCs w:val="16"/>
                <w:color w:val="auto"/>
              </w:rPr>
              <w:t>102,639</w:t>
            </w:r>
          </w:p>
        </w:tc>
        <w:tc>
          <w:tcPr>
            <w:tcW w:w="580" w:type="dxa"/>
            <w:vAlign w:val="bottom"/>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27"/>
              <w:spacing w:after="0" w:line="183" w:lineRule="exact"/>
              <w:rPr>
                <w:sz w:val="20"/>
                <w:szCs w:val="20"/>
                <w:color w:val="auto"/>
              </w:rPr>
            </w:pPr>
            <w:r>
              <w:rPr>
                <w:rFonts w:ascii="Arial" w:cs="Arial" w:eastAsia="Arial" w:hAnsi="Arial"/>
                <w:sz w:val="16"/>
                <w:szCs w:val="16"/>
                <w:color w:val="auto"/>
              </w:rPr>
              <w:t>105.81</w:t>
            </w:r>
          </w:p>
        </w:tc>
        <w:tc>
          <w:tcPr>
            <w:tcW w:w="0" w:type="dxa"/>
            <w:vAlign w:val="bottom"/>
          </w:tcPr>
          <w:p>
            <w:pPr>
              <w:spacing w:after="0"/>
              <w:rPr>
                <w:sz w:val="1"/>
                <w:szCs w:val="1"/>
                <w:color w:val="auto"/>
              </w:rPr>
            </w:pPr>
          </w:p>
        </w:tc>
      </w:tr>
      <w:tr>
        <w:trPr>
          <w:trHeight w:val="27"/>
        </w:trPr>
        <w:tc>
          <w:tcPr>
            <w:tcW w:w="480" w:type="dxa"/>
            <w:vAlign w:val="bottom"/>
            <w:tcBorders>
              <w:bottom w:val="single" w:sz="8" w:color="A6A6A6"/>
            </w:tcBorders>
          </w:tcPr>
          <w:p>
            <w:pPr>
              <w:spacing w:after="0"/>
              <w:rPr>
                <w:sz w:val="2"/>
                <w:szCs w:val="2"/>
                <w:color w:val="auto"/>
              </w:rPr>
            </w:pPr>
          </w:p>
        </w:tc>
        <w:tc>
          <w:tcPr>
            <w:tcW w:w="4500" w:type="dxa"/>
            <w:vAlign w:val="bottom"/>
            <w:tcBorders>
              <w:bottom w:val="single" w:sz="8" w:color="A6A6A6"/>
            </w:tcBorders>
          </w:tcPr>
          <w:p>
            <w:pPr>
              <w:spacing w:after="0"/>
              <w:rPr>
                <w:sz w:val="2"/>
                <w:szCs w:val="2"/>
                <w:color w:val="auto"/>
              </w:rPr>
            </w:pPr>
          </w:p>
        </w:tc>
        <w:tc>
          <w:tcPr>
            <w:tcW w:w="1180" w:type="dxa"/>
            <w:vAlign w:val="bottom"/>
            <w:tcBorders>
              <w:bottom w:val="single" w:sz="8" w:color="004483"/>
            </w:tcBorders>
            <w:shd w:val="clear" w:color="auto" w:fill="004483"/>
          </w:tcPr>
          <w:p>
            <w:pPr>
              <w:spacing w:after="0"/>
              <w:rPr>
                <w:sz w:val="2"/>
                <w:szCs w:val="2"/>
                <w:color w:val="auto"/>
              </w:rPr>
            </w:pPr>
          </w:p>
        </w:tc>
        <w:tc>
          <w:tcPr>
            <w:tcW w:w="1320" w:type="dxa"/>
            <w:vAlign w:val="bottom"/>
            <w:tcBorders>
              <w:bottom w:val="single" w:sz="8" w:color="A6A6A6"/>
            </w:tcBorders>
          </w:tcPr>
          <w:p>
            <w:pPr>
              <w:spacing w:after="0"/>
              <w:rPr>
                <w:sz w:val="2"/>
                <w:szCs w:val="2"/>
                <w:color w:val="auto"/>
              </w:rPr>
            </w:pPr>
          </w:p>
        </w:tc>
        <w:tc>
          <w:tcPr>
            <w:tcW w:w="380" w:type="dxa"/>
            <w:vAlign w:val="bottom"/>
            <w:tcBorders>
              <w:bottom w:val="single" w:sz="8" w:color="A6A6A6"/>
            </w:tcBorders>
          </w:tcPr>
          <w:p>
            <w:pPr>
              <w:spacing w:after="0"/>
              <w:rPr>
                <w:sz w:val="2"/>
                <w:szCs w:val="2"/>
                <w:color w:val="auto"/>
              </w:rPr>
            </w:pPr>
          </w:p>
        </w:tc>
        <w:tc>
          <w:tcPr>
            <w:tcW w:w="860" w:type="dxa"/>
            <w:vAlign w:val="bottom"/>
            <w:tcBorders>
              <w:bottom w:val="single" w:sz="8" w:color="A6A6A6"/>
            </w:tcBorders>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140" w:type="dxa"/>
            <w:vAlign w:val="bottom"/>
            <w:tcBorders>
              <w:bottom w:val="single" w:sz="8" w:color="004483"/>
            </w:tcBorders>
            <w:shd w:val="clear" w:color="auto" w:fill="004483"/>
          </w:tcPr>
          <w:p>
            <w:pPr>
              <w:spacing w:after="0"/>
              <w:rPr>
                <w:sz w:val="2"/>
                <w:szCs w:val="2"/>
                <w:color w:val="auto"/>
              </w:rPr>
            </w:pPr>
          </w:p>
        </w:tc>
        <w:tc>
          <w:tcPr>
            <w:tcW w:w="580" w:type="dxa"/>
            <w:vAlign w:val="bottom"/>
            <w:tcBorders>
              <w:bottom w:val="single" w:sz="8" w:color="A6A6A6"/>
            </w:tcBorders>
          </w:tcPr>
          <w:p>
            <w:pPr>
              <w:spacing w:after="0"/>
              <w:rPr>
                <w:sz w:val="2"/>
                <w:szCs w:val="2"/>
                <w:color w:val="auto"/>
              </w:rPr>
            </w:pPr>
          </w:p>
        </w:tc>
        <w:tc>
          <w:tcPr>
            <w:tcW w:w="68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180" w:type="dxa"/>
            <w:vAlign w:val="bottom"/>
            <w:tcBorders>
              <w:bottom w:val="single" w:sz="8" w:color="004483"/>
            </w:tcBorders>
          </w:tcPr>
          <w:p>
            <w:pPr>
              <w:jc w:val="right"/>
              <w:ind w:right="46"/>
              <w:spacing w:after="0" w:line="183" w:lineRule="exact"/>
              <w:rPr>
                <w:sz w:val="20"/>
                <w:szCs w:val="20"/>
                <w:color w:val="auto"/>
              </w:rPr>
            </w:pPr>
            <w:r>
              <w:rPr>
                <w:rFonts w:ascii="Arial" w:cs="Arial" w:eastAsia="Arial" w:hAnsi="Arial"/>
                <w:sz w:val="16"/>
                <w:szCs w:val="16"/>
                <w:b w:val="1"/>
                <w:bCs w:val="1"/>
                <w:color w:val="auto"/>
              </w:rPr>
              <w:t>456,849</w:t>
            </w:r>
          </w:p>
        </w:tc>
        <w:tc>
          <w:tcPr>
            <w:tcW w:w="1320" w:type="dxa"/>
            <w:vAlign w:val="bottom"/>
          </w:tcPr>
          <w:p>
            <w:pPr>
              <w:jc w:val="right"/>
              <w:ind w:right="69"/>
              <w:spacing w:after="0" w:line="183" w:lineRule="exact"/>
              <w:rPr>
                <w:sz w:val="20"/>
                <w:szCs w:val="20"/>
                <w:color w:val="auto"/>
              </w:rPr>
            </w:pPr>
            <w:r>
              <w:rPr>
                <w:rFonts w:ascii="Arial" w:cs="Arial" w:eastAsia="Arial" w:hAnsi="Arial"/>
                <w:sz w:val="16"/>
                <w:szCs w:val="16"/>
                <w:b w:val="1"/>
                <w:bCs w:val="1"/>
                <w:color w:val="auto"/>
              </w:rPr>
              <w:t>6.67</w:t>
            </w:r>
          </w:p>
        </w:tc>
        <w:tc>
          <w:tcPr>
            <w:tcW w:w="380" w:type="dxa"/>
            <w:vAlign w:val="bottom"/>
          </w:tcPr>
          <w:p>
            <w:pPr>
              <w:jc w:val="right"/>
              <w:ind w:right="119"/>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7"/>
              <w:spacing w:after="0" w:line="183" w:lineRule="exact"/>
              <w:rPr>
                <w:sz w:val="20"/>
                <w:szCs w:val="20"/>
                <w:color w:val="auto"/>
              </w:rPr>
            </w:pPr>
            <w:r>
              <w:rPr>
                <w:rFonts w:ascii="Arial" w:cs="Arial" w:eastAsia="Arial" w:hAnsi="Arial"/>
                <w:sz w:val="16"/>
                <w:szCs w:val="16"/>
                <w:b w:val="1"/>
                <w:bCs w:val="1"/>
                <w:color w:val="auto"/>
              </w:rPr>
              <w:t>83.81</w:t>
            </w:r>
          </w:p>
        </w:tc>
        <w:tc>
          <w:tcPr>
            <w:tcW w:w="120" w:type="dxa"/>
            <w:vAlign w:val="bottom"/>
          </w:tcPr>
          <w:p>
            <w:pPr>
              <w:spacing w:after="0"/>
              <w:rPr>
                <w:sz w:val="15"/>
                <w:szCs w:val="15"/>
                <w:color w:val="auto"/>
              </w:rPr>
            </w:pPr>
          </w:p>
        </w:tc>
        <w:tc>
          <w:tcPr>
            <w:tcW w:w="1140" w:type="dxa"/>
            <w:vAlign w:val="bottom"/>
            <w:tcBorders>
              <w:bottom w:val="single" w:sz="8" w:color="004483"/>
            </w:tcBorders>
          </w:tcPr>
          <w:p>
            <w:pPr>
              <w:jc w:val="right"/>
              <w:ind w:right="33"/>
              <w:spacing w:after="0" w:line="183" w:lineRule="exact"/>
              <w:rPr>
                <w:sz w:val="20"/>
                <w:szCs w:val="20"/>
                <w:color w:val="auto"/>
              </w:rPr>
            </w:pPr>
            <w:r>
              <w:rPr>
                <w:rFonts w:ascii="Arial" w:cs="Arial" w:eastAsia="Arial" w:hAnsi="Arial"/>
                <w:sz w:val="16"/>
                <w:szCs w:val="16"/>
                <w:b w:val="1"/>
                <w:bCs w:val="1"/>
                <w:color w:val="auto"/>
              </w:rPr>
              <w:t>314,624</w:t>
            </w:r>
          </w:p>
        </w:tc>
        <w:tc>
          <w:tcPr>
            <w:tcW w:w="580" w:type="dxa"/>
            <w:vAlign w:val="bottom"/>
          </w:tcPr>
          <w:p>
            <w:pPr>
              <w:jc w:val="right"/>
              <w:ind w:right="299"/>
              <w:spacing w:after="0" w:line="183" w:lineRule="exact"/>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7"/>
              <w:spacing w:after="0" w:line="183" w:lineRule="exact"/>
              <w:rPr>
                <w:sz w:val="20"/>
                <w:szCs w:val="20"/>
                <w:color w:val="auto"/>
              </w:rPr>
            </w:pPr>
            <w:r>
              <w:rPr>
                <w:rFonts w:ascii="Arial" w:cs="Arial" w:eastAsia="Arial" w:hAnsi="Arial"/>
                <w:sz w:val="16"/>
                <w:szCs w:val="16"/>
                <w:b w:val="1"/>
                <w:bCs w:val="1"/>
                <w:color w:val="auto"/>
              </w:rPr>
              <w:t>87.57</w:t>
            </w:r>
          </w:p>
        </w:tc>
        <w:tc>
          <w:tcPr>
            <w:tcW w:w="0" w:type="dxa"/>
            <w:vAlign w:val="bottom"/>
          </w:tcPr>
          <w:p>
            <w:pPr>
              <w:spacing w:after="0"/>
              <w:rPr>
                <w:sz w:val="1"/>
                <w:szCs w:val="1"/>
                <w:color w:val="auto"/>
              </w:rPr>
            </w:pPr>
          </w:p>
        </w:tc>
      </w:tr>
      <w:tr>
        <w:trPr>
          <w:trHeight w:val="20"/>
        </w:trPr>
        <w:tc>
          <w:tcPr>
            <w:tcW w:w="480" w:type="dxa"/>
            <w:vAlign w:val="bottom"/>
            <w:tcBorders>
              <w:bottom w:val="single" w:sz="8" w:color="A6A6A6"/>
            </w:tcBorders>
          </w:tcPr>
          <w:p>
            <w:pPr>
              <w:spacing w:after="0" w:line="20" w:lineRule="exact"/>
              <w:rPr>
                <w:sz w:val="1"/>
                <w:szCs w:val="1"/>
                <w:color w:val="auto"/>
              </w:rPr>
            </w:pPr>
          </w:p>
        </w:tc>
        <w:tc>
          <w:tcPr>
            <w:tcW w:w="4500" w:type="dxa"/>
            <w:vAlign w:val="bottom"/>
            <w:tcBorders>
              <w:bottom w:val="single" w:sz="8" w:color="A6A6A6"/>
            </w:tcBorders>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132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580" w:type="dxa"/>
            <w:vAlign w:val="bottom"/>
            <w:tcBorders>
              <w:bottom w:val="single" w:sz="8" w:color="A6A6A6"/>
            </w:tcBorders>
          </w:tcPr>
          <w:p>
            <w:pPr>
              <w:spacing w:after="0" w:line="20" w:lineRule="exact"/>
              <w:rPr>
                <w:sz w:val="1"/>
                <w:szCs w:val="1"/>
                <w:color w:val="auto"/>
              </w:rPr>
            </w:pPr>
          </w:p>
        </w:tc>
        <w:tc>
          <w:tcPr>
            <w:tcW w:w="68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At March 31, 2022, the aggregate intrinsic value for outstanding and exercisable options was approximately $20.4 million and $12.8 million, respectively. The total intrinsic value of options exercised during the fiscal years ended March 31, 2022, 2021, and 2020 was approximately $15.7 million, $26.4 million and $2.2 million, respectively.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004483"/>
        </w:rPr>
        <w:t>RESTRICTED STOCK</w:t>
      </w:r>
    </w:p>
    <w:p>
      <w:pPr>
        <w:spacing w:after="0" w:line="13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In May 2021, the Compensation Committee approved the granting to certain officers and key employees an aggregate of 52,577 shares of performance vesting restricted stock that would be earned only if certain performance conditions were satisfied (the Fiscal 2022 Employee Restricted Stock Performance Award). The performance criterion for the Fiscal 2022 Employee Restricted Stock Performance Award is based upon the achievement of certain levels of return on equity (as defined in the agreement), ranging from 10.0% to 20.0%, for the fiscal year ended March 31, 2022. All restricted shares would be earned if the return on equity was 20.0% or greater, and the percentage of shares earned would be reduced proportionately to approximately 66.7% if the return on equity was 10.0%. If the Company did not achieve a return on equity of at least 10.0%, all awards would be forfeited. During fiscal 2022, the return on equity exceeded 20.0%; therefore all 52,577 shares were earned. Restrictions on the earned shares will lapse ratably over four years, with the first fourth lapsing promptly following the determination date and the remaining restrictions lapsing on March 31, 2023 through 2025. The Compensation Committee also approved the granting of 43,816 shares of time-vesting restricted stock to the same officers and key employees, which vest ratably over four years (the Fiscal 2022 Employee Restricted Stock Time-Vesting Award). Both of the Fiscal 2022 Employee Restricted Stock Performance Award and the Fiscal 2022 Employee Restricted Stock Time-Vesting Award were valued at the closing price of the stock on the date of grant and are being expensed over a four-year period.</w:t>
      </w:r>
    </w:p>
    <w:p>
      <w:pPr>
        <w:spacing w:after="0" w:line="10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August 2021, we granted to members of the Board of Directors 15,720 shares of restricted stock (the Fiscal 220Board of Directors Restricted Stock Award), which vested six months after the grant date. The Fiscal 2022 Board of Directors Restricted Stock Awards was valued at the closing price of the stock on the date of the grant and was expensed over a six-month period.</w:t>
      </w:r>
    </w:p>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The fair value of restricted stock is estimated based on the stock price at the date of the grant. The following table summarizes the activity for nonvested restricted shares during the fiscal years ended March 31, 2022,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20" w:type="dxa"/>
            <w:vAlign w:val="bottom"/>
          </w:tcPr>
          <w:p>
            <w:pPr>
              <w:spacing w:after="0"/>
              <w:rPr>
                <w:sz w:val="13"/>
                <w:szCs w:val="13"/>
                <w:color w:val="auto"/>
              </w:rPr>
            </w:pPr>
          </w:p>
        </w:tc>
        <w:tc>
          <w:tcPr>
            <w:tcW w:w="860" w:type="dxa"/>
            <w:vAlign w:val="bottom"/>
            <w:shd w:val="clear" w:color="auto" w:fill="004483"/>
          </w:tcPr>
          <w:p>
            <w:pPr>
              <w:spacing w:after="0"/>
              <w:rPr>
                <w:sz w:val="13"/>
                <w:szCs w:val="13"/>
                <w:color w:val="auto"/>
              </w:rPr>
            </w:pPr>
          </w:p>
        </w:tc>
        <w:tc>
          <w:tcPr>
            <w:tcW w:w="140" w:type="dxa"/>
            <w:vAlign w:val="bottom"/>
            <w:shd w:val="clear" w:color="auto" w:fill="004483"/>
          </w:tcPr>
          <w:p>
            <w:pPr>
              <w:spacing w:after="0"/>
              <w:rPr>
                <w:sz w:val="13"/>
                <w:szCs w:val="13"/>
                <w:color w:val="auto"/>
              </w:rPr>
            </w:pPr>
          </w:p>
        </w:tc>
        <w:tc>
          <w:tcPr>
            <w:tcW w:w="340" w:type="dxa"/>
            <w:vAlign w:val="bottom"/>
            <w:shd w:val="clear" w:color="auto" w:fill="004483"/>
          </w:tcPr>
          <w:p>
            <w:pPr>
              <w:spacing w:after="0"/>
              <w:rPr>
                <w:sz w:val="13"/>
                <w:szCs w:val="13"/>
                <w:color w:val="auto"/>
              </w:rPr>
            </w:pPr>
          </w:p>
        </w:tc>
        <w:tc>
          <w:tcPr>
            <w:tcW w:w="7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2020" w:type="dxa"/>
            <w:vAlign w:val="bottom"/>
            <w:gridSpan w:val="4"/>
            <w:shd w:val="clear" w:color="auto" w:fill="004483"/>
          </w:tcPr>
          <w:p>
            <w:pPr>
              <w:jc w:val="right"/>
              <w:ind w:right="148"/>
              <w:spacing w:after="0"/>
              <w:rPr>
                <w:sz w:val="20"/>
                <w:szCs w:val="20"/>
                <w:color w:val="auto"/>
              </w:rPr>
            </w:pPr>
            <w:r>
              <w:rPr>
                <w:rFonts w:ascii="Arial" w:cs="Arial" w:eastAsia="Arial" w:hAnsi="Arial"/>
                <w:sz w:val="13"/>
                <w:szCs w:val="13"/>
                <w:b w:val="1"/>
                <w:bCs w:val="1"/>
                <w:color w:val="FFFFFF"/>
                <w:w w:val="93"/>
              </w:rPr>
              <w:t>For the Years Ended March 31,</w:t>
            </w:r>
          </w:p>
        </w:tc>
        <w:tc>
          <w:tcPr>
            <w:tcW w:w="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8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300" w:type="dxa"/>
            <w:vAlign w:val="bottom"/>
            <w:shd w:val="clear" w:color="auto" w:fill="004483"/>
          </w:tcPr>
          <w:p>
            <w:pPr>
              <w:spacing w:after="0"/>
              <w:rPr>
                <w:sz w:val="13"/>
                <w:szCs w:val="13"/>
                <w:color w:val="auto"/>
              </w:rPr>
            </w:pPr>
          </w:p>
        </w:tc>
        <w:tc>
          <w:tcPr>
            <w:tcW w:w="7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34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2022</w:t>
            </w:r>
          </w:p>
        </w:tc>
        <w:tc>
          <w:tcPr>
            <w:tcW w:w="740" w:type="dxa"/>
            <w:vAlign w:val="bottom"/>
          </w:tcPr>
          <w:p>
            <w:pPr>
              <w:spacing w:after="0"/>
              <w:rPr>
                <w:sz w:val="14"/>
                <w:szCs w:val="14"/>
                <w:color w:val="auto"/>
              </w:rPr>
            </w:pPr>
          </w:p>
        </w:tc>
        <w:tc>
          <w:tcPr>
            <w:tcW w:w="1500" w:type="dxa"/>
            <w:vAlign w:val="bottom"/>
            <w:gridSpan w:val="5"/>
          </w:tcPr>
          <w:p>
            <w:pPr>
              <w:ind w:left="1100"/>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4"/>
                <w:szCs w:val="14"/>
                <w:color w:val="auto"/>
              </w:rPr>
            </w:pPr>
          </w:p>
        </w:tc>
        <w:tc>
          <w:tcPr>
            <w:tcW w:w="1460" w:type="dxa"/>
            <w:vAlign w:val="bottom"/>
            <w:gridSpan w:val="5"/>
          </w:tcPr>
          <w:p>
            <w:pPr>
              <w:ind w:left="1080"/>
              <w:spacing w:after="0"/>
              <w:rPr>
                <w:sz w:val="20"/>
                <w:szCs w:val="20"/>
                <w:color w:val="auto"/>
              </w:rPr>
            </w:pPr>
            <w:r>
              <w:rPr>
                <w:rFonts w:ascii="Arial" w:cs="Arial" w:eastAsia="Arial" w:hAnsi="Arial"/>
                <w:sz w:val="13"/>
                <w:szCs w:val="13"/>
                <w:b w:val="1"/>
                <w:bCs w:val="1"/>
                <w:color w:val="auto"/>
              </w:rPr>
              <w:t>2020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860" w:type="dxa"/>
            <w:vAlign w:val="bottom"/>
            <w:tcBorders>
              <w:top w:val="single" w:sz="8" w:color="004483"/>
            </w:tcBorders>
          </w:tcPr>
          <w:p>
            <w:pPr>
              <w:spacing w:after="0"/>
              <w:rPr>
                <w:sz w:val="9"/>
                <w:szCs w:val="9"/>
                <w:color w:val="auto"/>
              </w:rPr>
            </w:pPr>
          </w:p>
        </w:tc>
        <w:tc>
          <w:tcPr>
            <w:tcW w:w="140" w:type="dxa"/>
            <w:vAlign w:val="bottom"/>
            <w:tcBorders>
              <w:top w:val="single" w:sz="8" w:color="004483"/>
            </w:tcBorders>
          </w:tcPr>
          <w:p>
            <w:pPr>
              <w:spacing w:after="0"/>
              <w:rPr>
                <w:sz w:val="9"/>
                <w:szCs w:val="9"/>
                <w:color w:val="auto"/>
              </w:rPr>
            </w:pPr>
          </w:p>
        </w:tc>
        <w:tc>
          <w:tcPr>
            <w:tcW w:w="340" w:type="dxa"/>
            <w:vAlign w:val="bottom"/>
            <w:tcBorders>
              <w:top w:val="single" w:sz="8" w:color="004483"/>
            </w:tcBorders>
          </w:tcPr>
          <w:p>
            <w:pPr>
              <w:spacing w:after="0"/>
              <w:rPr>
                <w:sz w:val="9"/>
                <w:szCs w:val="9"/>
                <w:color w:val="auto"/>
              </w:rPr>
            </w:pPr>
          </w:p>
        </w:tc>
        <w:tc>
          <w:tcPr>
            <w:tcW w:w="740" w:type="dxa"/>
            <w:vAlign w:val="bottom"/>
            <w:tcBorders>
              <w:top w:val="single" w:sz="8" w:color="004483"/>
            </w:tcBorders>
          </w:tcPr>
          <w:p>
            <w:pPr>
              <w:jc w:val="right"/>
              <w:spacing w:after="0" w:line="108" w:lineRule="exact"/>
              <w:rPr>
                <w:sz w:val="20"/>
                <w:szCs w:val="20"/>
                <w:color w:val="auto"/>
              </w:rPr>
            </w:pPr>
            <w:r>
              <w:rPr>
                <w:rFonts w:ascii="Arial" w:cs="Arial" w:eastAsia="Arial" w:hAnsi="Arial"/>
                <w:sz w:val="12"/>
                <w:szCs w:val="12"/>
                <w:b w:val="1"/>
                <w:bCs w:val="1"/>
                <w:color w:val="auto"/>
              </w:rPr>
              <w:t>Weighted-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top w:val="single" w:sz="8" w:color="004483"/>
            </w:tcBorders>
          </w:tcPr>
          <w:p>
            <w:pPr>
              <w:spacing w:after="0"/>
              <w:rPr>
                <w:sz w:val="9"/>
                <w:szCs w:val="9"/>
                <w:color w:val="auto"/>
              </w:rPr>
            </w:pPr>
          </w:p>
        </w:tc>
        <w:tc>
          <w:tcPr>
            <w:tcW w:w="100" w:type="dxa"/>
            <w:vAlign w:val="bottom"/>
            <w:tcBorders>
              <w:top w:val="single" w:sz="8" w:color="004483"/>
            </w:tcBorders>
          </w:tcPr>
          <w:p>
            <w:pPr>
              <w:spacing w:after="0"/>
              <w:rPr>
                <w:sz w:val="9"/>
                <w:szCs w:val="9"/>
                <w:color w:val="auto"/>
              </w:rPr>
            </w:pPr>
          </w:p>
        </w:tc>
        <w:tc>
          <w:tcPr>
            <w:tcW w:w="320" w:type="dxa"/>
            <w:vAlign w:val="bottom"/>
            <w:tcBorders>
              <w:top w:val="single" w:sz="8" w:color="004483"/>
            </w:tcBorders>
          </w:tcPr>
          <w:p>
            <w:pPr>
              <w:spacing w:after="0"/>
              <w:rPr>
                <w:sz w:val="9"/>
                <w:szCs w:val="9"/>
                <w:color w:val="auto"/>
              </w:rPr>
            </w:pPr>
          </w:p>
        </w:tc>
        <w:tc>
          <w:tcPr>
            <w:tcW w:w="740" w:type="dxa"/>
            <w:vAlign w:val="bottom"/>
            <w:tcBorders>
              <w:top w:val="single" w:sz="8" w:color="004483"/>
            </w:tcBorders>
          </w:tcPr>
          <w:p>
            <w:pPr>
              <w:jc w:val="right"/>
              <w:spacing w:after="0" w:line="108" w:lineRule="exact"/>
              <w:rPr>
                <w:sz w:val="20"/>
                <w:szCs w:val="20"/>
                <w:color w:val="auto"/>
              </w:rPr>
            </w:pPr>
            <w:r>
              <w:rPr>
                <w:rFonts w:ascii="Arial" w:cs="Arial" w:eastAsia="Arial" w:hAnsi="Arial"/>
                <w:sz w:val="12"/>
                <w:szCs w:val="12"/>
                <w:b w:val="1"/>
                <w:bCs w:val="1"/>
                <w:color w:val="auto"/>
              </w:rPr>
              <w:t>Weighted-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top w:val="single" w:sz="8" w:color="004483"/>
            </w:tcBorders>
          </w:tcPr>
          <w:p>
            <w:pPr>
              <w:spacing w:after="0"/>
              <w:rPr>
                <w:sz w:val="9"/>
                <w:szCs w:val="9"/>
                <w:color w:val="auto"/>
              </w:rPr>
            </w:pPr>
          </w:p>
        </w:tc>
        <w:tc>
          <w:tcPr>
            <w:tcW w:w="120" w:type="dxa"/>
            <w:vAlign w:val="bottom"/>
            <w:tcBorders>
              <w:top w:val="single" w:sz="8" w:color="004483"/>
            </w:tcBorders>
          </w:tcPr>
          <w:p>
            <w:pPr>
              <w:spacing w:after="0"/>
              <w:rPr>
                <w:sz w:val="9"/>
                <w:szCs w:val="9"/>
                <w:color w:val="auto"/>
              </w:rPr>
            </w:pPr>
          </w:p>
        </w:tc>
        <w:tc>
          <w:tcPr>
            <w:tcW w:w="300" w:type="dxa"/>
            <w:vAlign w:val="bottom"/>
            <w:tcBorders>
              <w:top w:val="single" w:sz="8" w:color="004483"/>
            </w:tcBorders>
          </w:tcPr>
          <w:p>
            <w:pPr>
              <w:spacing w:after="0"/>
              <w:rPr>
                <w:sz w:val="9"/>
                <w:szCs w:val="9"/>
                <w:color w:val="auto"/>
              </w:rPr>
            </w:pPr>
          </w:p>
        </w:tc>
        <w:tc>
          <w:tcPr>
            <w:tcW w:w="740" w:type="dxa"/>
            <w:vAlign w:val="bottom"/>
            <w:tcBorders>
              <w:top w:val="single" w:sz="8" w:color="004483"/>
            </w:tcBorders>
          </w:tcPr>
          <w:p>
            <w:pPr>
              <w:jc w:val="right"/>
              <w:spacing w:after="0" w:line="108" w:lineRule="exact"/>
              <w:rPr>
                <w:sz w:val="20"/>
                <w:szCs w:val="20"/>
                <w:color w:val="auto"/>
              </w:rPr>
            </w:pPr>
            <w:r>
              <w:rPr>
                <w:rFonts w:ascii="Arial" w:cs="Arial" w:eastAsia="Arial" w:hAnsi="Arial"/>
                <w:sz w:val="12"/>
                <w:szCs w:val="12"/>
                <w:b w:val="1"/>
                <w:bCs w:val="1"/>
                <w:color w:val="auto"/>
              </w:rPr>
              <w:t>Weighted-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1000" w:type="dxa"/>
            <w:vAlign w:val="bottom"/>
            <w:gridSpan w:val="2"/>
            <w:vMerge w:val="restart"/>
          </w:tcPr>
          <w:p>
            <w:pPr>
              <w:jc w:val="right"/>
              <w:ind w:right="59"/>
              <w:spacing w:after="0"/>
              <w:rPr>
                <w:sz w:val="20"/>
                <w:szCs w:val="20"/>
                <w:color w:val="auto"/>
              </w:rPr>
            </w:pPr>
            <w:r>
              <w:rPr>
                <w:rFonts w:ascii="Arial" w:cs="Arial" w:eastAsia="Arial" w:hAnsi="Arial"/>
                <w:sz w:val="13"/>
                <w:szCs w:val="13"/>
                <w:b w:val="1"/>
                <w:bCs w:val="1"/>
                <w:color w:val="auto"/>
              </w:rPr>
              <w:t>Number</w:t>
            </w:r>
          </w:p>
        </w:tc>
        <w:tc>
          <w:tcPr>
            <w:tcW w:w="3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39"/>
              <w:spacing w:after="0"/>
              <w:rPr>
                <w:sz w:val="20"/>
                <w:szCs w:val="20"/>
                <w:color w:val="auto"/>
              </w:rPr>
            </w:pPr>
            <w:r>
              <w:rPr>
                <w:rFonts w:ascii="Arial" w:cs="Arial" w:eastAsia="Arial" w:hAnsi="Arial"/>
                <w:sz w:val="13"/>
                <w:szCs w:val="13"/>
                <w:b w:val="1"/>
                <w:bCs w:val="1"/>
                <w:color w:val="auto"/>
              </w:rPr>
              <w:t>Number</w:t>
            </w:r>
          </w:p>
        </w:tc>
        <w:tc>
          <w:tcPr>
            <w:tcW w:w="3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39"/>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0"/>
                <w:szCs w:val="10"/>
                <w:color w:val="auto"/>
              </w:rPr>
            </w:pP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Grant 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3"/>
                <w:szCs w:val="13"/>
                <w:b w:val="1"/>
                <w:bCs w:val="1"/>
                <w:color w:val="auto"/>
              </w:rPr>
              <w:t>of Shares</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of Shares</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of Shares</w:t>
            </w:r>
          </w:p>
        </w:tc>
        <w:tc>
          <w:tcPr>
            <w:tcW w:w="3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89"/>
        </w:trPr>
        <w:tc>
          <w:tcPr>
            <w:tcW w:w="46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Nonvested Restricted Stock at Beginning of Year</w:t>
            </w:r>
          </w:p>
        </w:tc>
        <w:tc>
          <w:tcPr>
            <w:tcW w:w="8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267,090</w:t>
            </w:r>
          </w:p>
        </w:tc>
        <w:tc>
          <w:tcPr>
            <w:tcW w:w="140" w:type="dxa"/>
            <w:vAlign w:val="bottom"/>
          </w:tcPr>
          <w:p>
            <w:pPr>
              <w:spacing w:after="0"/>
              <w:rPr>
                <w:sz w:val="16"/>
                <w:szCs w:val="16"/>
                <w:color w:val="auto"/>
              </w:rPr>
            </w:pPr>
          </w:p>
        </w:tc>
        <w:tc>
          <w:tcPr>
            <w:tcW w:w="340" w:type="dxa"/>
            <w:vAlign w:val="bottom"/>
            <w:tcBorders>
              <w:top w:val="single" w:sz="8" w:color="004483"/>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62.56</w:t>
            </w:r>
          </w:p>
        </w:tc>
        <w:tc>
          <w:tcPr>
            <w:tcW w:w="120" w:type="dxa"/>
            <w:vAlign w:val="bottom"/>
          </w:tcPr>
          <w:p>
            <w:pPr>
              <w:spacing w:after="0"/>
              <w:rPr>
                <w:sz w:val="16"/>
                <w:szCs w:val="16"/>
                <w:color w:val="auto"/>
              </w:rPr>
            </w:pPr>
          </w:p>
        </w:tc>
        <w:tc>
          <w:tcPr>
            <w:tcW w:w="96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233,120</w:t>
            </w:r>
          </w:p>
        </w:tc>
        <w:tc>
          <w:tcPr>
            <w:tcW w:w="100" w:type="dxa"/>
            <w:vAlign w:val="bottom"/>
          </w:tcPr>
          <w:p>
            <w:pPr>
              <w:spacing w:after="0"/>
              <w:rPr>
                <w:sz w:val="16"/>
                <w:szCs w:val="16"/>
                <w:color w:val="auto"/>
              </w:rPr>
            </w:pPr>
          </w:p>
        </w:tc>
        <w:tc>
          <w:tcPr>
            <w:tcW w:w="320" w:type="dxa"/>
            <w:vAlign w:val="bottom"/>
            <w:tcBorders>
              <w:top w:val="single" w:sz="8" w:color="004483"/>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75.35</w:t>
            </w:r>
          </w:p>
        </w:tc>
        <w:tc>
          <w:tcPr>
            <w:tcW w:w="80" w:type="dxa"/>
            <w:vAlign w:val="bottom"/>
          </w:tcPr>
          <w:p>
            <w:pPr>
              <w:spacing w:after="0"/>
              <w:rPr>
                <w:sz w:val="16"/>
                <w:szCs w:val="16"/>
                <w:color w:val="auto"/>
              </w:rPr>
            </w:pPr>
          </w:p>
        </w:tc>
        <w:tc>
          <w:tcPr>
            <w:tcW w:w="96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300,115</w:t>
            </w:r>
          </w:p>
        </w:tc>
        <w:tc>
          <w:tcPr>
            <w:tcW w:w="120" w:type="dxa"/>
            <w:vAlign w:val="bottom"/>
          </w:tcPr>
          <w:p>
            <w:pPr>
              <w:spacing w:after="0"/>
              <w:rPr>
                <w:sz w:val="16"/>
                <w:szCs w:val="16"/>
                <w:color w:val="auto"/>
              </w:rPr>
            </w:pPr>
          </w:p>
        </w:tc>
        <w:tc>
          <w:tcPr>
            <w:tcW w:w="300" w:type="dxa"/>
            <w:vAlign w:val="bottom"/>
            <w:tcBorders>
              <w:top w:val="single" w:sz="8" w:color="004483"/>
              <w:bottom w:val="single" w:sz="8" w:color="A6A6A6"/>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78.94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Granted</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113,414</w:t>
            </w:r>
          </w:p>
        </w:tc>
        <w:tc>
          <w:tcPr>
            <w:tcW w:w="140" w:type="dxa"/>
            <w:vAlign w:val="bottom"/>
          </w:tcPr>
          <w:p>
            <w:pPr>
              <w:spacing w:after="0"/>
              <w:rPr>
                <w:sz w:val="15"/>
                <w:szCs w:val="15"/>
                <w:color w:val="auto"/>
              </w:rPr>
            </w:pPr>
          </w:p>
        </w:tc>
        <w:tc>
          <w:tcPr>
            <w:tcW w:w="340" w:type="dxa"/>
            <w:vAlign w:val="bottom"/>
            <w:tcBorders>
              <w:bottom w:val="single" w:sz="8" w:color="A6A6A6"/>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139.91</w:t>
            </w:r>
          </w:p>
        </w:tc>
        <w:tc>
          <w:tcPr>
            <w:tcW w:w="120" w:type="dxa"/>
            <w:vAlign w:val="bottom"/>
          </w:tcPr>
          <w:p>
            <w:pPr>
              <w:spacing w:after="0"/>
              <w:rPr>
                <w:sz w:val="15"/>
                <w:szCs w:val="15"/>
                <w:color w:val="auto"/>
              </w:rPr>
            </w:pPr>
          </w:p>
        </w:tc>
        <w:tc>
          <w:tcPr>
            <w:tcW w:w="9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179,377</w:t>
            </w:r>
          </w:p>
        </w:tc>
        <w:tc>
          <w:tcPr>
            <w:tcW w:w="100" w:type="dxa"/>
            <w:vAlign w:val="bottom"/>
          </w:tcPr>
          <w:p>
            <w:pPr>
              <w:spacing w:after="0"/>
              <w:rPr>
                <w:sz w:val="15"/>
                <w:szCs w:val="15"/>
                <w:color w:val="auto"/>
              </w:rPr>
            </w:pPr>
          </w:p>
        </w:tc>
        <w:tc>
          <w:tcPr>
            <w:tcW w:w="320" w:type="dxa"/>
            <w:vAlign w:val="bottom"/>
            <w:tcBorders>
              <w:bottom w:val="single" w:sz="8" w:color="A6A6A6"/>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63.83</w:t>
            </w:r>
          </w:p>
        </w:tc>
        <w:tc>
          <w:tcPr>
            <w:tcW w:w="80" w:type="dxa"/>
            <w:vAlign w:val="bottom"/>
          </w:tcPr>
          <w:p>
            <w:pPr>
              <w:spacing w:after="0"/>
              <w:rPr>
                <w:sz w:val="15"/>
                <w:szCs w:val="15"/>
                <w:color w:val="auto"/>
              </w:rPr>
            </w:pPr>
          </w:p>
        </w:tc>
        <w:tc>
          <w:tcPr>
            <w:tcW w:w="9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118,292</w:t>
            </w:r>
          </w:p>
        </w:tc>
        <w:tc>
          <w:tcPr>
            <w:tcW w:w="120" w:type="dxa"/>
            <w:vAlign w:val="bottom"/>
          </w:tcPr>
          <w:p>
            <w:pPr>
              <w:spacing w:after="0"/>
              <w:rPr>
                <w:sz w:val="15"/>
                <w:szCs w:val="15"/>
                <w:color w:val="auto"/>
              </w:rPr>
            </w:pPr>
          </w:p>
        </w:tc>
        <w:tc>
          <w:tcPr>
            <w:tcW w:w="3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Vested</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(116,507</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6A6A6"/>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87.47</w:t>
            </w:r>
          </w:p>
        </w:tc>
        <w:tc>
          <w:tcPr>
            <w:tcW w:w="120" w:type="dxa"/>
            <w:vAlign w:val="bottom"/>
          </w:tcPr>
          <w:p>
            <w:pPr>
              <w:spacing w:after="0"/>
              <w:rPr>
                <w:sz w:val="15"/>
                <w:szCs w:val="15"/>
                <w:color w:val="auto"/>
              </w:rPr>
            </w:pPr>
          </w:p>
        </w:tc>
        <w:tc>
          <w:tcPr>
            <w:tcW w:w="9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(136,280</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6A6A6"/>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78.89</w:t>
            </w:r>
          </w:p>
        </w:tc>
        <w:tc>
          <w:tcPr>
            <w:tcW w:w="80" w:type="dxa"/>
            <w:vAlign w:val="bottom"/>
          </w:tcPr>
          <w:p>
            <w:pPr>
              <w:spacing w:after="0"/>
              <w:rPr>
                <w:sz w:val="15"/>
                <w:szCs w:val="15"/>
                <w:color w:val="auto"/>
              </w:rPr>
            </w:pPr>
          </w:p>
        </w:tc>
        <w:tc>
          <w:tcPr>
            <w:tcW w:w="9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(169,347</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6A6A6"/>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92.98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Cancelled</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(5,218</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75.10</w:t>
            </w:r>
          </w:p>
        </w:tc>
        <w:tc>
          <w:tcPr>
            <w:tcW w:w="120" w:type="dxa"/>
            <w:vAlign w:val="bottom"/>
          </w:tcPr>
          <w:p>
            <w:pPr>
              <w:spacing w:after="0"/>
              <w:rPr>
                <w:sz w:val="15"/>
                <w:szCs w:val="15"/>
                <w:color w:val="auto"/>
              </w:rPr>
            </w:pPr>
          </w:p>
        </w:tc>
        <w:tc>
          <w:tcPr>
            <w:tcW w:w="9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(9,127</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71.46</w:t>
            </w:r>
          </w:p>
        </w:tc>
        <w:tc>
          <w:tcPr>
            <w:tcW w:w="80" w:type="dxa"/>
            <w:vAlign w:val="bottom"/>
          </w:tcPr>
          <w:p>
            <w:pPr>
              <w:spacing w:after="0"/>
              <w:rPr>
                <w:sz w:val="15"/>
                <w:szCs w:val="15"/>
                <w:color w:val="auto"/>
              </w:rPr>
            </w:pPr>
          </w:p>
        </w:tc>
        <w:tc>
          <w:tcPr>
            <w:tcW w:w="9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(15,940</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58.64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A6A6A6"/>
            </w:tcBorders>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6A6A6"/>
            </w:tcBorders>
          </w:tcPr>
          <w:p>
            <w:pPr>
              <w:spacing w:after="0"/>
              <w:rPr>
                <w:sz w:val="2"/>
                <w:szCs w:val="2"/>
                <w:color w:val="auto"/>
              </w:rPr>
            </w:pPr>
          </w:p>
        </w:tc>
        <w:tc>
          <w:tcPr>
            <w:tcW w:w="740" w:type="dxa"/>
            <w:vAlign w:val="bottom"/>
            <w:tcBorders>
              <w:bottom w:val="single" w:sz="8" w:color="A6A6A6"/>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tcBorders>
              <w:bottom w:val="single" w:sz="8" w:color="A6A6A6"/>
            </w:tcBorders>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6A6A6"/>
            </w:tcBorders>
          </w:tcPr>
          <w:p>
            <w:pPr>
              <w:spacing w:after="0"/>
              <w:rPr>
                <w:sz w:val="2"/>
                <w:szCs w:val="2"/>
                <w:color w:val="auto"/>
              </w:rPr>
            </w:pPr>
          </w:p>
        </w:tc>
        <w:tc>
          <w:tcPr>
            <w:tcW w:w="740" w:type="dxa"/>
            <w:vAlign w:val="bottom"/>
            <w:tcBorders>
              <w:bottom w:val="single" w:sz="8" w:color="A6A6A6"/>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84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6A6A6"/>
            </w:tcBorders>
          </w:tcPr>
          <w:p>
            <w:pPr>
              <w:spacing w:after="0"/>
              <w:rPr>
                <w:sz w:val="2"/>
                <w:szCs w:val="2"/>
                <w:color w:val="auto"/>
              </w:rPr>
            </w:pPr>
          </w:p>
        </w:tc>
        <w:tc>
          <w:tcPr>
            <w:tcW w:w="74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Nonvested Restricted Stock at End of Year</w:t>
            </w: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258,779</w:t>
            </w:r>
          </w:p>
        </w:tc>
        <w:tc>
          <w:tcPr>
            <w:tcW w:w="140" w:type="dxa"/>
            <w:vAlign w:val="bottom"/>
          </w:tcPr>
          <w:p>
            <w:pPr>
              <w:spacing w:after="0"/>
              <w:rPr>
                <w:sz w:val="15"/>
                <w:szCs w:val="15"/>
                <w:color w:val="auto"/>
              </w:rPr>
            </w:pPr>
          </w:p>
        </w:tc>
        <w:tc>
          <w:tcPr>
            <w:tcW w:w="34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102.45</w:t>
            </w: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267,090</w:t>
            </w:r>
          </w:p>
        </w:tc>
        <w:tc>
          <w:tcPr>
            <w:tcW w:w="100" w:type="dxa"/>
            <w:vAlign w:val="bottom"/>
          </w:tcPr>
          <w:p>
            <w:pPr>
              <w:spacing w:after="0"/>
              <w:rPr>
                <w:sz w:val="15"/>
                <w:szCs w:val="15"/>
                <w:color w:val="auto"/>
              </w:rPr>
            </w:pPr>
          </w:p>
        </w:tc>
        <w:tc>
          <w:tcPr>
            <w:tcW w:w="32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62.56</w:t>
            </w: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233,120</w:t>
            </w:r>
          </w:p>
        </w:tc>
        <w:tc>
          <w:tcPr>
            <w:tcW w:w="120" w:type="dxa"/>
            <w:vAlign w:val="bottom"/>
          </w:tcPr>
          <w:p>
            <w:pPr>
              <w:spacing w:after="0"/>
              <w:rPr>
                <w:sz w:val="15"/>
                <w:szCs w:val="15"/>
                <w:color w:val="auto"/>
              </w:rPr>
            </w:pPr>
          </w:p>
        </w:tc>
        <w:tc>
          <w:tcPr>
            <w:tcW w:w="3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75.35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Expense related to restricted shares was $10.9 million, $10.4 million, and $15.3 million in fiscal years ended March 31, 2022, 2021, and 2020, respectively. At March 31, 2022, there were approximately 259,000 shares with remaining restrictions, for which $17.2 million of unearned compensation will be recognized over a weighted-average period of 2.4 years.</w:t>
      </w:r>
    </w:p>
    <w:p>
      <w:pPr>
        <w:spacing w:after="0" w:line="9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3,377,416 at March 31, 2022. Of the available shares, a total of 1,008,690 shares can be used for future restricted stock and restricted stock unit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spacing w:after="0"/>
        <w:rPr>
          <w:sz w:val="20"/>
          <w:szCs w:val="20"/>
          <w:color w:val="auto"/>
        </w:rPr>
      </w:pPr>
      <w:r>
        <w:rPr>
          <w:rFonts w:ascii="Arial" w:cs="Arial" w:eastAsia="Arial" w:hAnsi="Arial"/>
          <w:sz w:val="20"/>
          <w:szCs w:val="20"/>
          <w:b w:val="1"/>
          <w:bCs w:val="1"/>
          <w:color w:val="004483"/>
        </w:rPr>
        <w:t>(M) NET INTEREST EXPENSE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within Interest Expense,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1000" w:type="dxa"/>
            <w:vAlign w:val="bottom"/>
            <w:tcBorders>
              <w:right w:val="single" w:sz="8" w:color="004483"/>
            </w:tcBorders>
            <w:shd w:val="clear" w:color="auto" w:fill="004483"/>
          </w:tcPr>
          <w:p>
            <w:pPr>
              <w:spacing w:after="0"/>
              <w:rPr>
                <w:sz w:val="13"/>
                <w:szCs w:val="13"/>
                <w:color w:val="auto"/>
              </w:rPr>
            </w:pPr>
          </w:p>
        </w:tc>
        <w:tc>
          <w:tcPr>
            <w:tcW w:w="1780" w:type="dxa"/>
            <w:vAlign w:val="bottom"/>
            <w:gridSpan w:val="4"/>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7"/>
              </w:rPr>
              <w:t>For the Years Ended March 31,</w:t>
            </w:r>
          </w:p>
        </w:tc>
        <w:tc>
          <w:tcPr>
            <w:tcW w:w="500" w:type="dxa"/>
            <w:vAlign w:val="bottom"/>
            <w:shd w:val="clear" w:color="auto" w:fill="004483"/>
          </w:tcPr>
          <w:p>
            <w:pPr>
              <w:spacing w:after="0"/>
              <w:rPr>
                <w:sz w:val="13"/>
                <w:szCs w:val="13"/>
                <w:color w:val="auto"/>
              </w:rPr>
            </w:pPr>
          </w:p>
        </w:tc>
        <w:tc>
          <w:tcPr>
            <w:tcW w:w="980" w:type="dxa"/>
            <w:vAlign w:val="bottom"/>
            <w:shd w:val="clear" w:color="auto" w:fill="004483"/>
          </w:tcPr>
          <w:p>
            <w:pPr>
              <w:spacing w:after="0"/>
              <w:rPr>
                <w:sz w:val="13"/>
                <w:szCs w:val="13"/>
                <w:color w:val="auto"/>
              </w:rPr>
            </w:pPr>
          </w:p>
        </w:tc>
      </w:tr>
      <w:tr>
        <w:trPr>
          <w:trHeight w:val="134"/>
        </w:trPr>
        <w:tc>
          <w:tcPr>
            <w:tcW w:w="6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jc w:val="right"/>
              <w:ind w:right="43"/>
              <w:spacing w:after="0" w:line="134"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5"/>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jc w:val="right"/>
              <w:ind w:right="43"/>
              <w:spacing w:after="0" w:line="134" w:lineRule="exact"/>
              <w:rPr>
                <w:sz w:val="20"/>
                <w:szCs w:val="20"/>
                <w:color w:val="auto"/>
              </w:rPr>
            </w:pPr>
            <w:r>
              <w:rPr>
                <w:rFonts w:ascii="Arial" w:cs="Arial" w:eastAsia="Arial" w:hAnsi="Arial"/>
                <w:sz w:val="13"/>
                <w:szCs w:val="13"/>
                <w:b w:val="1"/>
                <w:bCs w:val="1"/>
                <w:color w:val="auto"/>
              </w:rPr>
              <w:t>2020</w:t>
            </w:r>
          </w:p>
        </w:tc>
      </w:tr>
      <w:tr>
        <w:trPr>
          <w:trHeight w:val="183"/>
        </w:trPr>
        <w:tc>
          <w:tcPr>
            <w:tcW w:w="648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50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r>
      <w:tr>
        <w:trPr>
          <w:trHeight w:val="189"/>
        </w:trPr>
        <w:tc>
          <w:tcPr>
            <w:tcW w:w="6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 Income</w:t>
            </w:r>
          </w:p>
        </w:tc>
        <w:tc>
          <w:tcPr>
            <w:tcW w:w="500" w:type="dxa"/>
            <w:vAlign w:val="bottom"/>
            <w:tcBorders>
              <w:bottom w:val="single" w:sz="8" w:color="A6A6A6"/>
            </w:tcBorders>
          </w:tcPr>
          <w:p>
            <w:pPr>
              <w:jc w:val="right"/>
              <w:ind w:right="34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(39 )</w:t>
            </w: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(66 )</w:t>
            </w:r>
          </w:p>
        </w:tc>
        <w:tc>
          <w:tcPr>
            <w:tcW w:w="160" w:type="dxa"/>
            <w:vAlign w:val="bottom"/>
            <w:tcBorders>
              <w:bottom w:val="single" w:sz="8" w:color="A6A6A6"/>
            </w:tcBorders>
          </w:tcPr>
          <w:p>
            <w:pPr>
              <w:spacing w:after="0"/>
              <w:rPr>
                <w:sz w:val="16"/>
                <w:szCs w:val="16"/>
                <w:color w:val="auto"/>
              </w:rPr>
            </w:pPr>
          </w:p>
        </w:tc>
        <w:tc>
          <w:tcPr>
            <w:tcW w:w="500" w:type="dxa"/>
            <w:vAlign w:val="bottom"/>
            <w:tcBorders>
              <w:bottom w:val="single" w:sz="8" w:color="A6A6A6"/>
            </w:tcBorders>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(34 )</w:t>
            </w:r>
          </w:p>
        </w:tc>
      </w:tr>
      <w:tr>
        <w:trPr>
          <w:trHeight w:val="183"/>
        </w:trPr>
        <w:tc>
          <w:tcPr>
            <w:tcW w:w="6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 Expense</w:t>
            </w:r>
          </w:p>
        </w:tc>
        <w:tc>
          <w:tcPr>
            <w:tcW w:w="500" w:type="dxa"/>
            <w:vAlign w:val="bottom"/>
            <w:tcBorders>
              <w:bottom w:val="single" w:sz="8" w:color="A6A6A6"/>
            </w:tcBorders>
          </w:tcPr>
          <w:p>
            <w:pPr>
              <w:spacing w:after="0"/>
              <w:rPr>
                <w:sz w:val="15"/>
                <w:szCs w:val="15"/>
                <w:color w:val="auto"/>
              </w:rPr>
            </w:pPr>
          </w:p>
        </w:tc>
        <w:tc>
          <w:tcPr>
            <w:tcW w:w="100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21,637</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5"/>
              <w:spacing w:after="0" w:line="183" w:lineRule="exact"/>
              <w:rPr>
                <w:sz w:val="20"/>
                <w:szCs w:val="20"/>
                <w:color w:val="auto"/>
              </w:rPr>
            </w:pPr>
            <w:r>
              <w:rPr>
                <w:rFonts w:ascii="Arial" w:cs="Arial" w:eastAsia="Arial" w:hAnsi="Arial"/>
                <w:sz w:val="16"/>
                <w:szCs w:val="16"/>
                <w:color w:val="auto"/>
              </w:rPr>
              <w:t>40,624</w:t>
            </w:r>
          </w:p>
        </w:tc>
        <w:tc>
          <w:tcPr>
            <w:tcW w:w="16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ind w:right="43"/>
              <w:spacing w:after="0" w:line="183" w:lineRule="exact"/>
              <w:rPr>
                <w:sz w:val="20"/>
                <w:szCs w:val="20"/>
                <w:color w:val="auto"/>
              </w:rPr>
            </w:pPr>
            <w:r>
              <w:rPr>
                <w:rFonts w:ascii="Arial" w:cs="Arial" w:eastAsia="Arial" w:hAnsi="Arial"/>
                <w:sz w:val="16"/>
                <w:szCs w:val="16"/>
                <w:color w:val="auto"/>
              </w:rPr>
              <w:t>36,956</w:t>
            </w: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color w:val="004483"/>
              </w:rPr>
              <w:t>Other Expenses</w:t>
            </w:r>
          </w:p>
        </w:tc>
        <w:tc>
          <w:tcPr>
            <w:tcW w:w="500" w:type="dxa"/>
            <w:vAlign w:val="bottom"/>
          </w:tcPr>
          <w:p>
            <w:pPr>
              <w:spacing w:after="0"/>
              <w:rPr>
                <w:sz w:val="15"/>
                <w:szCs w:val="15"/>
                <w:color w:val="auto"/>
              </w:rPr>
            </w:pPr>
          </w:p>
        </w:tc>
        <w:tc>
          <w:tcPr>
            <w:tcW w:w="1000" w:type="dxa"/>
            <w:vAlign w:val="bottom"/>
          </w:tcPr>
          <w:p>
            <w:pPr>
              <w:jc w:val="right"/>
              <w:ind w:right="43"/>
              <w:spacing w:after="0" w:line="183" w:lineRule="exact"/>
              <w:rPr>
                <w:sz w:val="20"/>
                <w:szCs w:val="20"/>
                <w:color w:val="auto"/>
              </w:rPr>
            </w:pPr>
            <w:r>
              <w:rPr>
                <w:rFonts w:ascii="Arial" w:cs="Arial" w:eastAsia="Arial" w:hAnsi="Arial"/>
                <w:sz w:val="16"/>
                <w:szCs w:val="16"/>
                <w:color w:val="auto"/>
              </w:rPr>
              <w:t>9,275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45"/>
              <w:spacing w:after="0" w:line="183" w:lineRule="exact"/>
              <w:rPr>
                <w:sz w:val="20"/>
                <w:szCs w:val="20"/>
                <w:color w:val="auto"/>
              </w:rPr>
            </w:pPr>
            <w:r>
              <w:rPr>
                <w:rFonts w:ascii="Arial" w:cs="Arial" w:eastAsia="Arial" w:hAnsi="Arial"/>
                <w:sz w:val="16"/>
                <w:szCs w:val="16"/>
                <w:color w:val="auto"/>
              </w:rPr>
              <w:t>3,862</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43"/>
              <w:spacing w:after="0" w:line="183" w:lineRule="exact"/>
              <w:rPr>
                <w:sz w:val="20"/>
                <w:szCs w:val="20"/>
                <w:color w:val="auto"/>
              </w:rPr>
            </w:pPr>
            <w:r>
              <w:rPr>
                <w:rFonts w:ascii="Arial" w:cs="Arial" w:eastAsia="Arial" w:hAnsi="Arial"/>
                <w:sz w:val="16"/>
                <w:szCs w:val="16"/>
                <w:color w:val="auto"/>
              </w:rPr>
              <w:t>1,499</w:t>
            </w:r>
          </w:p>
        </w:tc>
      </w:tr>
      <w:tr>
        <w:trPr>
          <w:trHeight w:val="27"/>
        </w:trPr>
        <w:tc>
          <w:tcPr>
            <w:tcW w:w="648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100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Interest Expense, net</w:t>
            </w:r>
          </w:p>
        </w:tc>
        <w:tc>
          <w:tcPr>
            <w:tcW w:w="500" w:type="dxa"/>
            <w:vAlign w:val="bottom"/>
            <w:tcBorders>
              <w:bottom w:val="single" w:sz="8" w:color="004483"/>
            </w:tcBorders>
          </w:tcPr>
          <w:p>
            <w:pPr>
              <w:jc w:val="right"/>
              <w:ind w:right="3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b w:val="1"/>
                <w:bCs w:val="1"/>
                <w:color w:val="auto"/>
              </w:rPr>
              <w:t>30,873</w:t>
            </w: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ind w:right="45"/>
              <w:spacing w:after="0" w:line="183" w:lineRule="exact"/>
              <w:rPr>
                <w:sz w:val="20"/>
                <w:szCs w:val="20"/>
                <w:color w:val="auto"/>
              </w:rPr>
            </w:pPr>
            <w:r>
              <w:rPr>
                <w:rFonts w:ascii="Arial" w:cs="Arial" w:eastAsia="Arial" w:hAnsi="Arial"/>
                <w:sz w:val="16"/>
                <w:szCs w:val="16"/>
                <w:b w:val="1"/>
                <w:bCs w:val="1"/>
                <w:color w:val="auto"/>
              </w:rPr>
              <w:t>44,420</w:t>
            </w:r>
          </w:p>
        </w:tc>
        <w:tc>
          <w:tcPr>
            <w:tcW w:w="160" w:type="dxa"/>
            <w:vAlign w:val="bottom"/>
          </w:tcPr>
          <w:p>
            <w:pPr>
              <w:spacing w:after="0"/>
              <w:rPr>
                <w:sz w:val="15"/>
                <w:szCs w:val="15"/>
                <w:color w:val="auto"/>
              </w:rPr>
            </w:pPr>
          </w:p>
        </w:tc>
        <w:tc>
          <w:tcPr>
            <w:tcW w:w="50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ind w:right="43"/>
              <w:spacing w:after="0" w:line="183" w:lineRule="exact"/>
              <w:rPr>
                <w:sz w:val="20"/>
                <w:szCs w:val="20"/>
                <w:color w:val="auto"/>
              </w:rPr>
            </w:pPr>
            <w:r>
              <w:rPr>
                <w:rFonts w:ascii="Arial" w:cs="Arial" w:eastAsia="Arial" w:hAnsi="Arial"/>
                <w:sz w:val="16"/>
                <w:szCs w:val="16"/>
                <w:b w:val="1"/>
                <w:bCs w:val="1"/>
                <w:color w:val="auto"/>
              </w:rPr>
              <w:t>38,421</w:t>
            </w:r>
          </w:p>
        </w:tc>
      </w:tr>
      <w:tr>
        <w:trPr>
          <w:trHeight w:val="20"/>
        </w:trPr>
        <w:tc>
          <w:tcPr>
            <w:tcW w:w="648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Interest Income includes interest earned on investments of excess Cash and Cash Equivalents and Restricted Cash. Components of Interest Expense include interest associated with the Revolving Credit Facility, Term Loan (retired in July 2021), Senior Unsecured Notes, Private Placement Senior Unsecured Notes (retired in October 2019), and commitment fees based on the unused portion of the Revolving Credit Facility. Other Expenses include amortization of debt issuance costs and Revolving Credit Facility and Term Loan costs.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(N) PENSION AND PROFIT SHARING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offer our employees multiple retirement and profit sharing plans.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Pension Plans</w:t>
      </w:r>
    </w:p>
    <w:p>
      <w:pPr>
        <w:spacing w:after="0" w:line="14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have several defined benefit and defined contribution retirement plans that together cover substantially all of our employees. Benefits paid under the defined benefit plans covering certain hourly employees are based on years of service and each employee’s qualifying compensation over the last few years of employment. During fiscal 2020, the last of our pension plans that was still accruing benefits was frozen; therefore, none of our pension plans are accruing additional benefits. Our funding policy is to generally contribute amounts to ensure our pension assets are consistent with our pension liabilities. The annual measurement date is March 31 for the benefit obligations, fair value of plan assets, and the funded status of the defined benefit plans.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9" w:name="page90"/>
    <w:bookmarkEnd w:id="89"/>
    <w:p>
      <w:pPr>
        <w:ind w:right="440"/>
        <w:spacing w:after="0" w:line="293" w:lineRule="auto"/>
        <w:rPr>
          <w:sz w:val="20"/>
          <w:szCs w:val="20"/>
          <w:color w:val="auto"/>
        </w:rPr>
      </w:pPr>
      <w:r>
        <w:rPr>
          <w:rFonts w:ascii="Arial" w:cs="Arial" w:eastAsia="Arial" w:hAnsi="Arial"/>
          <w:sz w:val="18"/>
          <w:szCs w:val="18"/>
          <w:color w:val="auto"/>
        </w:rPr>
        <w:t>The following table provides a reconciliation of the Benefit Obligations and Fair Values of Plan Assets for all defined benefit plans for the years ended March 31, 2022 and 2021, as well as a statement of the funded status for the same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2320" w:type="dxa"/>
            <w:vAlign w:val="bottom"/>
            <w:gridSpan w:val="3"/>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rPr>
              <w:t>For the Years Ended March 31,</w:t>
            </w:r>
          </w:p>
        </w:tc>
        <w:tc>
          <w:tcPr>
            <w:tcW w:w="80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tcPr>
          <w:p>
            <w:pPr>
              <w:jc w:val="right"/>
              <w:ind w:right="41"/>
              <w:spacing w:after="0" w:line="134"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520" w:type="dxa"/>
            <w:vAlign w:val="bottom"/>
            <w:tcBorders>
              <w:bottom w:val="single" w:sz="8" w:color="004483"/>
            </w:tcBorders>
          </w:tcPr>
          <w:p>
            <w:pPr>
              <w:spacing w:after="0"/>
              <w:rPr>
                <w:sz w:val="15"/>
                <w:szCs w:val="15"/>
                <w:color w:val="auto"/>
              </w:rPr>
            </w:pPr>
          </w:p>
        </w:tc>
        <w:tc>
          <w:tcPr>
            <w:tcW w:w="2320" w:type="dxa"/>
            <w:vAlign w:val="bottom"/>
            <w:tcBorders>
              <w:bottom w:val="single" w:sz="8" w:color="004483"/>
            </w:tcBorders>
            <w:gridSpan w:val="3"/>
          </w:tcPr>
          <w:p>
            <w:pPr>
              <w:jc w:val="right"/>
              <w:ind w:right="439"/>
              <w:spacing w:after="0"/>
              <w:rPr>
                <w:sz w:val="20"/>
                <w:szCs w:val="20"/>
                <w:color w:val="auto"/>
              </w:rPr>
            </w:pPr>
            <w:r>
              <w:rPr>
                <w:rFonts w:ascii="Arial" w:cs="Arial" w:eastAsia="Arial" w:hAnsi="Arial"/>
                <w:sz w:val="13"/>
                <w:szCs w:val="13"/>
                <w:color w:val="auto"/>
              </w:rPr>
              <w:t>(dollars in thousands)</w:t>
            </w:r>
          </w:p>
        </w:tc>
        <w:tc>
          <w:tcPr>
            <w:tcW w:w="80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Reconciliation of Benefit Obligations</w:t>
            </w:r>
          </w:p>
        </w:tc>
        <w:tc>
          <w:tcPr>
            <w:tcW w:w="520" w:type="dxa"/>
            <w:vAlign w:val="bottom"/>
            <w:tcBorders>
              <w:bottom w:val="single" w:sz="8" w:color="A6A6A6"/>
            </w:tcBorders>
          </w:tcPr>
          <w:p>
            <w:pPr>
              <w:spacing w:after="0"/>
              <w:rPr>
                <w:sz w:val="16"/>
                <w:szCs w:val="16"/>
                <w:color w:val="auto"/>
              </w:rPr>
            </w:pPr>
          </w:p>
        </w:tc>
        <w:tc>
          <w:tcPr>
            <w:tcW w:w="1220" w:type="dxa"/>
            <w:vAlign w:val="bottom"/>
            <w:tcBorders>
              <w:bottom w:val="single" w:sz="8" w:color="A6A6A6"/>
            </w:tcBorders>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92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spacing w:after="0"/>
              <w:rPr>
                <w:sz w:val="16"/>
                <w:szCs w:val="16"/>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Benefit Obligation at April 1,</w:t>
            </w:r>
          </w:p>
        </w:tc>
        <w:tc>
          <w:tcPr>
            <w:tcW w:w="520" w:type="dxa"/>
            <w:vAlign w:val="bottom"/>
            <w:tcBorders>
              <w:bottom w:val="single" w:sz="8" w:color="A6A6A6"/>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35,844</w:t>
            </w:r>
          </w:p>
        </w:tc>
        <w:tc>
          <w:tcPr>
            <w:tcW w:w="1100" w:type="dxa"/>
            <w:vAlign w:val="bottom"/>
            <w:tcBorders>
              <w:bottom w:val="single" w:sz="8" w:color="A6A6A6"/>
            </w:tcBorders>
            <w:gridSpan w:val="2"/>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36,701</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Service Cost - Benefits Earned During the Period</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Interest Cost on Projected Benefit Obligation</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1,167</w:t>
            </w: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1,216</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Actuarial (Gain) Loss</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(1,776 )</w:t>
            </w: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1,714</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Benefits Paid</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(1,326 )</w:t>
            </w: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(1,251 )</w:t>
            </w:r>
          </w:p>
        </w:tc>
      </w:tr>
      <w:tr>
        <w:trPr>
          <w:trHeight w:val="209"/>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Sale of Business</w:t>
            </w:r>
          </w:p>
        </w:tc>
        <w:tc>
          <w:tcPr>
            <w:tcW w:w="5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(2,536 )</w:t>
            </w:r>
          </w:p>
        </w:tc>
      </w:tr>
      <w:tr>
        <w:trPr>
          <w:trHeight w:val="209"/>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Benefit Obligation at March 31,</w:t>
            </w:r>
          </w:p>
        </w:tc>
        <w:tc>
          <w:tcPr>
            <w:tcW w:w="520" w:type="dxa"/>
            <w:vAlign w:val="bottom"/>
            <w:tcBorders>
              <w:bottom w:val="single" w:sz="8" w:color="004483"/>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33,909</w:t>
            </w: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004483"/>
            </w:tcBorders>
          </w:tcPr>
          <w:p>
            <w:pPr>
              <w:jc w:val="right"/>
              <w:ind w:right="73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35,844</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Reconciliation of Fair Value of Plan Assets</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Fair Value of Plan Assets at April 1,</w:t>
            </w:r>
          </w:p>
        </w:tc>
        <w:tc>
          <w:tcPr>
            <w:tcW w:w="520" w:type="dxa"/>
            <w:vAlign w:val="bottom"/>
            <w:tcBorders>
              <w:bottom w:val="single" w:sz="8" w:color="A6A6A6"/>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37,907</w:t>
            </w:r>
          </w:p>
        </w:tc>
        <w:tc>
          <w:tcPr>
            <w:tcW w:w="1100" w:type="dxa"/>
            <w:vAlign w:val="bottom"/>
            <w:tcBorders>
              <w:bottom w:val="single" w:sz="8" w:color="A6A6A6"/>
            </w:tcBorders>
            <w:gridSpan w:val="2"/>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39,009</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Actual Return on Plan Assets</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(268 )</w:t>
            </w: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2,939</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Benefits Paid</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(1,326 )</w:t>
            </w: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(1,251 )</w:t>
            </w:r>
          </w:p>
        </w:tc>
      </w:tr>
      <w:tr>
        <w:trPr>
          <w:trHeight w:val="210"/>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Sale of Business</w:t>
            </w:r>
          </w:p>
        </w:tc>
        <w:tc>
          <w:tcPr>
            <w:tcW w:w="5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(2,790 )</w:t>
            </w:r>
          </w:p>
        </w:tc>
      </w:tr>
      <w:tr>
        <w:trPr>
          <w:trHeight w:val="209"/>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Fair Value of Plan Assets at March 31,</w:t>
            </w:r>
          </w:p>
        </w:tc>
        <w:tc>
          <w:tcPr>
            <w:tcW w:w="5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36,313</w:t>
            </w: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37,907</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Funded Status -</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r>
      <w:tr>
        <w:trPr>
          <w:trHeight w:val="183"/>
        </w:trPr>
        <w:tc>
          <w:tcPr>
            <w:tcW w:w="760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Funded Status at March 31,</w:t>
            </w:r>
          </w:p>
        </w:tc>
        <w:tc>
          <w:tcPr>
            <w:tcW w:w="520" w:type="dxa"/>
            <w:vAlign w:val="bottom"/>
          </w:tcPr>
          <w:p>
            <w:pPr>
              <w:jc w:val="right"/>
              <w:ind w:right="339"/>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1"/>
              <w:spacing w:after="0" w:line="183" w:lineRule="exact"/>
              <w:rPr>
                <w:sz w:val="20"/>
                <w:szCs w:val="20"/>
                <w:color w:val="auto"/>
              </w:rPr>
            </w:pPr>
            <w:r>
              <w:rPr>
                <w:rFonts w:ascii="Arial" w:cs="Arial" w:eastAsia="Arial" w:hAnsi="Arial"/>
                <w:sz w:val="16"/>
                <w:szCs w:val="16"/>
                <w:b w:val="1"/>
                <w:bCs w:val="1"/>
                <w:color w:val="auto"/>
              </w:rPr>
              <w:t>2,404</w:t>
            </w:r>
          </w:p>
        </w:tc>
        <w:tc>
          <w:tcPr>
            <w:tcW w:w="1100" w:type="dxa"/>
            <w:vAlign w:val="bottom"/>
            <w:gridSpan w:val="2"/>
          </w:tcPr>
          <w:p>
            <w:pPr>
              <w:jc w:val="right"/>
              <w:ind w:right="739"/>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0"/>
              <w:spacing w:after="0" w:line="183" w:lineRule="exact"/>
              <w:rPr>
                <w:sz w:val="20"/>
                <w:szCs w:val="20"/>
                <w:color w:val="auto"/>
              </w:rPr>
            </w:pPr>
            <w:r>
              <w:rPr>
                <w:rFonts w:ascii="Arial" w:cs="Arial" w:eastAsia="Arial" w:hAnsi="Arial"/>
                <w:sz w:val="16"/>
                <w:szCs w:val="16"/>
                <w:b w:val="1"/>
                <w:bCs w:val="1"/>
                <w:color w:val="auto"/>
              </w:rPr>
              <w:t>2,063</w:t>
            </w:r>
          </w:p>
        </w:tc>
      </w:tr>
      <w:tr>
        <w:trPr>
          <w:trHeight w:val="20"/>
        </w:trPr>
        <w:tc>
          <w:tcPr>
            <w:tcW w:w="7600" w:type="dxa"/>
            <w:vAlign w:val="bottom"/>
            <w:tcBorders>
              <w:bottom w:val="single" w:sz="8" w:color="A6A6A6"/>
            </w:tcBorders>
          </w:tcPr>
          <w:p>
            <w:pPr>
              <w:spacing w:after="0" w:line="20" w:lineRule="exact"/>
              <w:rPr>
                <w:sz w:val="1"/>
                <w:szCs w:val="1"/>
                <w:color w:val="auto"/>
              </w:rPr>
            </w:pPr>
          </w:p>
        </w:tc>
        <w:tc>
          <w:tcPr>
            <w:tcW w:w="520" w:type="dxa"/>
            <w:vAlign w:val="bottom"/>
            <w:tcBorders>
              <w:top w:val="single" w:sz="8" w:color="004483"/>
              <w:bottom w:val="single" w:sz="8" w:color="004483"/>
            </w:tcBorders>
          </w:tcPr>
          <w:p>
            <w:pPr>
              <w:spacing w:after="0" w:line="20" w:lineRule="exact"/>
              <w:rPr>
                <w:sz w:val="1"/>
                <w:szCs w:val="1"/>
                <w:color w:val="auto"/>
              </w:rPr>
            </w:pPr>
          </w:p>
        </w:tc>
        <w:tc>
          <w:tcPr>
            <w:tcW w:w="1220" w:type="dxa"/>
            <w:vAlign w:val="bottom"/>
            <w:tcBorders>
              <w:top w:val="single" w:sz="8" w:color="004483"/>
              <w:bottom w:val="single" w:sz="8" w:color="004483"/>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920" w:type="dxa"/>
            <w:vAlign w:val="bottom"/>
            <w:tcBorders>
              <w:top w:val="single" w:sz="8" w:color="004483"/>
              <w:bottom w:val="single" w:sz="8" w:color="004483"/>
            </w:tcBorders>
          </w:tcPr>
          <w:p>
            <w:pPr>
              <w:spacing w:after="0" w:line="20" w:lineRule="exact"/>
              <w:rPr>
                <w:sz w:val="1"/>
                <w:szCs w:val="1"/>
                <w:color w:val="auto"/>
              </w:rPr>
            </w:pPr>
          </w:p>
        </w:tc>
        <w:tc>
          <w:tcPr>
            <w:tcW w:w="800" w:type="dxa"/>
            <w:vAlign w:val="bottom"/>
            <w:tcBorders>
              <w:top w:val="single" w:sz="8" w:color="004483"/>
              <w:bottom w:val="single" w:sz="8" w:color="004483"/>
            </w:tcBorders>
          </w:tcPr>
          <w:p>
            <w:pPr>
              <w:spacing w:after="0" w:line="20" w:lineRule="exact"/>
              <w:rPr>
                <w:sz w:val="1"/>
                <w:szCs w:val="1"/>
                <w:color w:val="auto"/>
              </w:rPr>
            </w:pPr>
          </w:p>
        </w:tc>
      </w:tr>
      <w:tr>
        <w:trPr>
          <w:trHeight w:val="169"/>
        </w:trPr>
        <w:tc>
          <w:tcPr>
            <w:tcW w:w="7600" w:type="dxa"/>
            <w:vAlign w:val="bottom"/>
            <w:tcBorders>
              <w:bottom w:val="single" w:sz="8" w:color="A6A6A6"/>
            </w:tcBorders>
          </w:tcPr>
          <w:p>
            <w:pPr>
              <w:ind w:left="20"/>
              <w:spacing w:after="0" w:line="170" w:lineRule="exact"/>
              <w:rPr>
                <w:sz w:val="20"/>
                <w:szCs w:val="20"/>
                <w:color w:val="auto"/>
              </w:rPr>
            </w:pPr>
            <w:r>
              <w:rPr>
                <w:rFonts w:ascii="Arial" w:cs="Arial" w:eastAsia="Arial" w:hAnsi="Arial"/>
                <w:sz w:val="16"/>
                <w:szCs w:val="16"/>
                <w:b w:val="1"/>
                <w:bCs w:val="1"/>
                <w:color w:val="auto"/>
              </w:rPr>
              <w:t>Amounts Recognized in the Balance Sheet Consist of</w:t>
            </w:r>
          </w:p>
        </w:tc>
        <w:tc>
          <w:tcPr>
            <w:tcW w:w="520" w:type="dxa"/>
            <w:vAlign w:val="bottom"/>
            <w:tcBorders>
              <w:bottom w:val="single" w:sz="8" w:color="A6A6A6"/>
            </w:tcBorders>
          </w:tcPr>
          <w:p>
            <w:pPr>
              <w:spacing w:after="0"/>
              <w:rPr>
                <w:sz w:val="14"/>
                <w:szCs w:val="14"/>
                <w:color w:val="auto"/>
              </w:rPr>
            </w:pPr>
          </w:p>
        </w:tc>
        <w:tc>
          <w:tcPr>
            <w:tcW w:w="1220" w:type="dxa"/>
            <w:vAlign w:val="bottom"/>
            <w:tcBorders>
              <w:bottom w:val="single" w:sz="8" w:color="A6A6A6"/>
            </w:tcBorders>
          </w:tcPr>
          <w:p>
            <w:pPr>
              <w:spacing w:after="0"/>
              <w:rPr>
                <w:sz w:val="14"/>
                <w:szCs w:val="14"/>
                <w:color w:val="auto"/>
              </w:rPr>
            </w:pPr>
          </w:p>
        </w:tc>
        <w:tc>
          <w:tcPr>
            <w:tcW w:w="180" w:type="dxa"/>
            <w:vAlign w:val="bottom"/>
            <w:tcBorders>
              <w:bottom w:val="single" w:sz="8" w:color="A6A6A6"/>
            </w:tcBorders>
          </w:tcPr>
          <w:p>
            <w:pPr>
              <w:spacing w:after="0"/>
              <w:rPr>
                <w:sz w:val="14"/>
                <w:szCs w:val="14"/>
                <w:color w:val="auto"/>
              </w:rPr>
            </w:pPr>
          </w:p>
        </w:tc>
        <w:tc>
          <w:tcPr>
            <w:tcW w:w="920" w:type="dxa"/>
            <w:vAlign w:val="bottom"/>
            <w:tcBorders>
              <w:bottom w:val="single" w:sz="8" w:color="A6A6A6"/>
            </w:tcBorders>
          </w:tcPr>
          <w:p>
            <w:pPr>
              <w:spacing w:after="0"/>
              <w:rPr>
                <w:sz w:val="14"/>
                <w:szCs w:val="14"/>
                <w:color w:val="auto"/>
              </w:rPr>
            </w:pPr>
          </w:p>
        </w:tc>
        <w:tc>
          <w:tcPr>
            <w:tcW w:w="800" w:type="dxa"/>
            <w:vAlign w:val="bottom"/>
            <w:tcBorders>
              <w:bottom w:val="single" w:sz="8" w:color="A6A6A6"/>
            </w:tcBorders>
          </w:tcPr>
          <w:p>
            <w:pPr>
              <w:spacing w:after="0"/>
              <w:rPr>
                <w:sz w:val="14"/>
                <w:szCs w:val="14"/>
                <w:color w:val="auto"/>
              </w:rPr>
            </w:pP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Assets</w:t>
            </w:r>
          </w:p>
        </w:tc>
        <w:tc>
          <w:tcPr>
            <w:tcW w:w="520" w:type="dxa"/>
            <w:vAlign w:val="bottom"/>
            <w:tcBorders>
              <w:bottom w:val="single" w:sz="8" w:color="A6A6A6"/>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2,404</w:t>
            </w:r>
          </w:p>
        </w:tc>
        <w:tc>
          <w:tcPr>
            <w:tcW w:w="1100" w:type="dxa"/>
            <w:vAlign w:val="bottom"/>
            <w:tcBorders>
              <w:bottom w:val="single" w:sz="8" w:color="A6A6A6"/>
            </w:tcBorders>
            <w:gridSpan w:val="2"/>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2,063</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Accumulated Other Comprehensive Losses:</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spacing w:after="0"/>
              <w:rPr>
                <w:sz w:val="15"/>
                <w:szCs w:val="15"/>
                <w:color w:val="auto"/>
              </w:rPr>
            </w:pPr>
          </w:p>
        </w:tc>
      </w:tr>
      <w:tr>
        <w:trPr>
          <w:trHeight w:val="183"/>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Actuarial Loss</w:t>
            </w:r>
          </w:p>
        </w:tc>
        <w:tc>
          <w:tcPr>
            <w:tcW w:w="5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4,172</w:t>
            </w: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4,524</w:t>
            </w:r>
          </w:p>
        </w:tc>
      </w:tr>
      <w:tr>
        <w:trPr>
          <w:trHeight w:val="210"/>
        </w:trPr>
        <w:tc>
          <w:tcPr>
            <w:tcW w:w="760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Prior Service Cost</w:t>
            </w:r>
          </w:p>
        </w:tc>
        <w:tc>
          <w:tcPr>
            <w:tcW w:w="5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92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76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Accumulated Other Comprehensive Losses</w:t>
            </w:r>
          </w:p>
        </w:tc>
        <w:tc>
          <w:tcPr>
            <w:tcW w:w="520" w:type="dxa"/>
            <w:vAlign w:val="bottom"/>
            <w:tcBorders>
              <w:bottom w:val="single" w:sz="8" w:color="A6A6A6"/>
            </w:tcBorders>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6A6A6"/>
            </w:tcBorders>
          </w:tcPr>
          <w:p>
            <w:pPr>
              <w:jc w:val="right"/>
              <w:ind w:right="41"/>
              <w:spacing w:after="0" w:line="183" w:lineRule="exact"/>
              <w:rPr>
                <w:sz w:val="20"/>
                <w:szCs w:val="20"/>
                <w:color w:val="auto"/>
              </w:rPr>
            </w:pPr>
            <w:r>
              <w:rPr>
                <w:rFonts w:ascii="Arial" w:cs="Arial" w:eastAsia="Arial" w:hAnsi="Arial"/>
                <w:sz w:val="16"/>
                <w:szCs w:val="16"/>
                <w:color w:val="auto"/>
              </w:rPr>
              <w:t>4,172</w:t>
            </w:r>
          </w:p>
        </w:tc>
        <w:tc>
          <w:tcPr>
            <w:tcW w:w="18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ind w:right="73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6A6A6"/>
            </w:tcBorders>
          </w:tcPr>
          <w:p>
            <w:pPr>
              <w:jc w:val="right"/>
              <w:ind w:right="40"/>
              <w:spacing w:after="0" w:line="183" w:lineRule="exact"/>
              <w:rPr>
                <w:sz w:val="20"/>
                <w:szCs w:val="20"/>
                <w:color w:val="auto"/>
              </w:rPr>
            </w:pPr>
            <w:r>
              <w:rPr>
                <w:rFonts w:ascii="Arial" w:cs="Arial" w:eastAsia="Arial" w:hAnsi="Arial"/>
                <w:sz w:val="16"/>
                <w:szCs w:val="16"/>
                <w:color w:val="auto"/>
              </w:rPr>
              <w:t>4,524</w:t>
            </w:r>
          </w:p>
        </w:tc>
      </w:tr>
      <w:tr>
        <w:trPr>
          <w:trHeight w:val="183"/>
        </w:trPr>
        <w:tc>
          <w:tcPr>
            <w:tcW w:w="7600" w:type="dxa"/>
            <w:vAlign w:val="bottom"/>
          </w:tcPr>
          <w:p>
            <w:pPr>
              <w:ind w:left="380"/>
              <w:spacing w:after="0" w:line="183" w:lineRule="exact"/>
              <w:rPr>
                <w:sz w:val="20"/>
                <w:szCs w:val="20"/>
                <w:color w:val="auto"/>
              </w:rPr>
            </w:pPr>
            <w:r>
              <w:rPr>
                <w:rFonts w:ascii="Arial" w:cs="Arial" w:eastAsia="Arial" w:hAnsi="Arial"/>
                <w:sz w:val="16"/>
                <w:szCs w:val="16"/>
                <w:color w:val="004483"/>
              </w:rPr>
              <w:t>Tax impact</w:t>
            </w:r>
          </w:p>
        </w:tc>
        <w:tc>
          <w:tcPr>
            <w:tcW w:w="52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(997 )</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(1,084 )</w:t>
            </w:r>
          </w:p>
        </w:tc>
      </w:tr>
      <w:tr>
        <w:trPr>
          <w:trHeight w:val="27"/>
        </w:trPr>
        <w:tc>
          <w:tcPr>
            <w:tcW w:w="760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92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r>
      <w:tr>
        <w:trPr>
          <w:trHeight w:val="183"/>
        </w:trPr>
        <w:tc>
          <w:tcPr>
            <w:tcW w:w="760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Accumulated Other Comprehensive Losses, net of tax</w:t>
            </w:r>
          </w:p>
        </w:tc>
        <w:tc>
          <w:tcPr>
            <w:tcW w:w="520" w:type="dxa"/>
            <w:vAlign w:val="bottom"/>
            <w:tcBorders>
              <w:bottom w:val="single" w:sz="8" w:color="004483"/>
            </w:tcBorders>
          </w:tcPr>
          <w:p>
            <w:pPr>
              <w:jc w:val="right"/>
              <w:ind w:right="339"/>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3,175</w:t>
            </w:r>
          </w:p>
        </w:tc>
        <w:tc>
          <w:tcPr>
            <w:tcW w:w="180" w:type="dxa"/>
            <w:vAlign w:val="bottom"/>
          </w:tcPr>
          <w:p>
            <w:pPr>
              <w:spacing w:after="0"/>
              <w:rPr>
                <w:sz w:val="15"/>
                <w:szCs w:val="15"/>
                <w:color w:val="auto"/>
              </w:rPr>
            </w:pPr>
          </w:p>
        </w:tc>
        <w:tc>
          <w:tcPr>
            <w:tcW w:w="920" w:type="dxa"/>
            <w:vAlign w:val="bottom"/>
            <w:tcBorders>
              <w:bottom w:val="single" w:sz="8" w:color="004483"/>
            </w:tcBorders>
          </w:tcPr>
          <w:p>
            <w:pPr>
              <w:jc w:val="right"/>
              <w:ind w:right="73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ind w:right="40"/>
              <w:spacing w:after="0" w:line="183" w:lineRule="exact"/>
              <w:rPr>
                <w:sz w:val="20"/>
                <w:szCs w:val="20"/>
                <w:color w:val="auto"/>
              </w:rPr>
            </w:pPr>
            <w:r>
              <w:rPr>
                <w:rFonts w:ascii="Arial" w:cs="Arial" w:eastAsia="Arial" w:hAnsi="Arial"/>
                <w:sz w:val="16"/>
                <w:szCs w:val="16"/>
                <w:b w:val="1"/>
                <w:bCs w:val="1"/>
                <w:color w:val="auto"/>
              </w:rPr>
              <w:t>3,440</w:t>
            </w:r>
          </w:p>
        </w:tc>
      </w:tr>
      <w:tr>
        <w:trPr>
          <w:trHeight w:val="20"/>
        </w:trPr>
        <w:tc>
          <w:tcPr>
            <w:tcW w:w="760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Projected Benefit Obligation, Accumulated Benefit Obligation, and Fair Value of Plan Assets at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2060" w:type="dxa"/>
            <w:vAlign w:val="bottom"/>
            <w:gridSpan w:val="2"/>
            <w:shd w:val="clear" w:color="auto" w:fill="004483"/>
          </w:tcPr>
          <w:p>
            <w:pPr>
              <w:jc w:val="right"/>
              <w:ind w:right="579"/>
              <w:spacing w:after="0"/>
              <w:rPr>
                <w:sz w:val="20"/>
                <w:szCs w:val="20"/>
                <w:color w:val="auto"/>
              </w:rPr>
            </w:pPr>
            <w:r>
              <w:rPr>
                <w:rFonts w:ascii="Arial" w:cs="Arial" w:eastAsia="Arial" w:hAnsi="Arial"/>
                <w:sz w:val="13"/>
                <w:szCs w:val="13"/>
                <w:b w:val="1"/>
                <w:bCs w:val="1"/>
                <w:color w:val="FFFFFF"/>
              </w:rPr>
              <w:t>March 31,</w:t>
            </w:r>
          </w:p>
        </w:tc>
        <w:tc>
          <w:tcPr>
            <w:tcW w:w="94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jc w:val="right"/>
              <w:ind w:right="88"/>
              <w:spacing w:after="0" w:line="134" w:lineRule="exact"/>
              <w:rPr>
                <w:sz w:val="20"/>
                <w:szCs w:val="20"/>
                <w:color w:val="auto"/>
              </w:rPr>
            </w:pPr>
            <w:r>
              <w:rPr>
                <w:rFonts w:ascii="Arial" w:cs="Arial" w:eastAsia="Arial" w:hAnsi="Arial"/>
                <w:sz w:val="13"/>
                <w:szCs w:val="13"/>
                <w:b w:val="1"/>
                <w:bCs w:val="1"/>
                <w:color w:val="auto"/>
              </w:rPr>
              <w:t>2022</w:t>
            </w:r>
          </w:p>
        </w:tc>
        <w:tc>
          <w:tcPr>
            <w:tcW w:w="920" w:type="dxa"/>
            <w:vAlign w:val="bottom"/>
          </w:tcPr>
          <w:p>
            <w:pPr>
              <w:spacing w:after="0"/>
              <w:rPr>
                <w:sz w:val="11"/>
                <w:szCs w:val="11"/>
                <w:color w:val="auto"/>
              </w:rPr>
            </w:pPr>
          </w:p>
        </w:tc>
        <w:tc>
          <w:tcPr>
            <w:tcW w:w="940" w:type="dxa"/>
            <w:vAlign w:val="bottom"/>
          </w:tcPr>
          <w:p>
            <w:pPr>
              <w:jc w:val="right"/>
              <w:ind w:right="44"/>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64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2"/>
          </w:tcPr>
          <w:p>
            <w:pPr>
              <w:jc w:val="right"/>
              <w:ind w:right="299"/>
              <w:spacing w:after="0"/>
              <w:rPr>
                <w:sz w:val="20"/>
                <w:szCs w:val="20"/>
                <w:color w:val="auto"/>
              </w:rPr>
            </w:pPr>
            <w:r>
              <w:rPr>
                <w:rFonts w:ascii="Arial" w:cs="Arial" w:eastAsia="Arial" w:hAnsi="Arial"/>
                <w:sz w:val="13"/>
                <w:szCs w:val="13"/>
                <w:color w:val="auto"/>
              </w:rPr>
              <w:t>(dollars in thousands)</w:t>
            </w:r>
          </w:p>
        </w:tc>
        <w:tc>
          <w:tcPr>
            <w:tcW w:w="94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Projected Benefit Obligation</w:t>
            </w:r>
          </w:p>
        </w:tc>
        <w:tc>
          <w:tcPr>
            <w:tcW w:w="64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88"/>
              <w:spacing w:after="0"/>
              <w:rPr>
                <w:sz w:val="20"/>
                <w:szCs w:val="20"/>
                <w:color w:val="auto"/>
              </w:rPr>
            </w:pPr>
            <w:r>
              <w:rPr>
                <w:rFonts w:ascii="Arial" w:cs="Arial" w:eastAsia="Arial" w:hAnsi="Arial"/>
                <w:sz w:val="16"/>
                <w:szCs w:val="16"/>
                <w:color w:val="auto"/>
              </w:rPr>
              <w:t>33,909</w:t>
            </w:r>
          </w:p>
        </w:tc>
        <w:tc>
          <w:tcPr>
            <w:tcW w:w="920" w:type="dxa"/>
            <w:vAlign w:val="bottom"/>
            <w:tcBorders>
              <w:bottom w:val="single" w:sz="8" w:color="A6A6A6"/>
            </w:tcBorders>
          </w:tcPr>
          <w:p>
            <w:pPr>
              <w:jc w:val="right"/>
              <w:ind w:right="5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ind w:right="44"/>
              <w:spacing w:after="0"/>
              <w:rPr>
                <w:sz w:val="20"/>
                <w:szCs w:val="20"/>
                <w:color w:val="auto"/>
              </w:rPr>
            </w:pPr>
            <w:r>
              <w:rPr>
                <w:rFonts w:ascii="Arial" w:cs="Arial" w:eastAsia="Arial" w:hAnsi="Arial"/>
                <w:sz w:val="16"/>
                <w:szCs w:val="16"/>
                <w:color w:val="auto"/>
              </w:rPr>
              <w:t>35,844</w:t>
            </w: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Accumulated Benefit Obligation</w:t>
            </w:r>
          </w:p>
        </w:tc>
        <w:tc>
          <w:tcPr>
            <w:tcW w:w="640" w:type="dxa"/>
            <w:vAlign w:val="bottom"/>
            <w:tcBorders>
              <w:bottom w:val="single" w:sz="8" w:color="A6A6A6"/>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ind w:right="88"/>
              <w:spacing w:after="0" w:line="183" w:lineRule="exact"/>
              <w:rPr>
                <w:sz w:val="20"/>
                <w:szCs w:val="20"/>
                <w:color w:val="auto"/>
              </w:rPr>
            </w:pPr>
            <w:r>
              <w:rPr>
                <w:rFonts w:ascii="Arial" w:cs="Arial" w:eastAsia="Arial" w:hAnsi="Arial"/>
                <w:sz w:val="16"/>
                <w:szCs w:val="16"/>
                <w:color w:val="auto"/>
              </w:rPr>
              <w:t>33,909</w:t>
            </w:r>
          </w:p>
        </w:tc>
        <w:tc>
          <w:tcPr>
            <w:tcW w:w="920" w:type="dxa"/>
            <w:vAlign w:val="bottom"/>
            <w:tcBorders>
              <w:bottom w:val="single" w:sz="8" w:color="A6A6A6"/>
            </w:tcBorders>
          </w:tcPr>
          <w:p>
            <w:pPr>
              <w:jc w:val="right"/>
              <w:ind w:right="59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35,844</w:t>
            </w:r>
          </w:p>
        </w:tc>
      </w:tr>
      <w:tr>
        <w:trPr>
          <w:trHeight w:val="183"/>
        </w:trPr>
        <w:tc>
          <w:tcPr>
            <w:tcW w:w="760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b w:val="1"/>
                <w:bCs w:val="1"/>
                <w:color w:val="004483"/>
              </w:rPr>
              <w:t>Fair Value of Plan Assets</w:t>
            </w:r>
          </w:p>
        </w:tc>
        <w:tc>
          <w:tcPr>
            <w:tcW w:w="640" w:type="dxa"/>
            <w:vAlign w:val="bottom"/>
            <w:tcBorders>
              <w:bottom w:val="single" w:sz="8" w:color="A3A3A3"/>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3A3A3"/>
            </w:tcBorders>
          </w:tcPr>
          <w:p>
            <w:pPr>
              <w:jc w:val="right"/>
              <w:ind w:right="88"/>
              <w:spacing w:after="0" w:line="183" w:lineRule="exact"/>
              <w:rPr>
                <w:sz w:val="20"/>
                <w:szCs w:val="20"/>
                <w:color w:val="auto"/>
              </w:rPr>
            </w:pPr>
            <w:r>
              <w:rPr>
                <w:rFonts w:ascii="Arial" w:cs="Arial" w:eastAsia="Arial" w:hAnsi="Arial"/>
                <w:sz w:val="16"/>
                <w:szCs w:val="16"/>
                <w:color w:val="auto"/>
              </w:rPr>
              <w:t>36,313</w:t>
            </w:r>
          </w:p>
        </w:tc>
        <w:tc>
          <w:tcPr>
            <w:tcW w:w="920" w:type="dxa"/>
            <w:vAlign w:val="bottom"/>
            <w:tcBorders>
              <w:bottom w:val="single" w:sz="8" w:color="A3A3A3"/>
            </w:tcBorders>
          </w:tcPr>
          <w:p>
            <w:pPr>
              <w:jc w:val="right"/>
              <w:ind w:right="59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3A3A3"/>
            </w:tcBorders>
          </w:tcPr>
          <w:p>
            <w:pPr>
              <w:jc w:val="right"/>
              <w:ind w:right="44"/>
              <w:spacing w:after="0" w:line="183" w:lineRule="exact"/>
              <w:rPr>
                <w:sz w:val="20"/>
                <w:szCs w:val="20"/>
                <w:color w:val="auto"/>
              </w:rPr>
            </w:pPr>
            <w:r>
              <w:rPr>
                <w:rFonts w:ascii="Arial" w:cs="Arial" w:eastAsia="Arial" w:hAnsi="Arial"/>
                <w:sz w:val="16"/>
                <w:szCs w:val="16"/>
                <w:color w:val="auto"/>
              </w:rPr>
              <w:t>37,907</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for the fiscal years ended March 31, 2022, 2021, and 2020, included the following components: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980" w:type="dxa"/>
            <w:vAlign w:val="bottom"/>
            <w:tcBorders>
              <w:right w:val="single" w:sz="8" w:color="004483"/>
            </w:tcBorders>
            <w:shd w:val="clear" w:color="auto" w:fill="004483"/>
          </w:tcPr>
          <w:p>
            <w:pPr>
              <w:spacing w:after="0"/>
              <w:rPr>
                <w:sz w:val="13"/>
                <w:szCs w:val="13"/>
                <w:color w:val="auto"/>
              </w:rPr>
            </w:pPr>
          </w:p>
        </w:tc>
        <w:tc>
          <w:tcPr>
            <w:tcW w:w="1780" w:type="dxa"/>
            <w:vAlign w:val="bottom"/>
            <w:gridSpan w:val="4"/>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7"/>
              </w:rPr>
              <w:t>For the Years Ended March 31,</w:t>
            </w:r>
          </w:p>
        </w:tc>
        <w:tc>
          <w:tcPr>
            <w:tcW w:w="520" w:type="dxa"/>
            <w:vAlign w:val="bottom"/>
            <w:shd w:val="clear" w:color="auto" w:fill="004483"/>
          </w:tcPr>
          <w:p>
            <w:pPr>
              <w:spacing w:after="0"/>
              <w:rPr>
                <w:sz w:val="13"/>
                <w:szCs w:val="13"/>
                <w:color w:val="auto"/>
              </w:rPr>
            </w:pPr>
          </w:p>
        </w:tc>
        <w:tc>
          <w:tcPr>
            <w:tcW w:w="960" w:type="dxa"/>
            <w:vAlign w:val="bottom"/>
            <w:shd w:val="clear" w:color="auto" w:fill="004483"/>
          </w:tcPr>
          <w:p>
            <w:pPr>
              <w:spacing w:after="0"/>
              <w:rPr>
                <w:sz w:val="13"/>
                <w:szCs w:val="13"/>
                <w:color w:val="auto"/>
              </w:rPr>
            </w:pPr>
          </w:p>
        </w:tc>
      </w:tr>
      <w:tr>
        <w:trPr>
          <w:trHeight w:val="134"/>
        </w:trPr>
        <w:tc>
          <w:tcPr>
            <w:tcW w:w="6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right"/>
              <w:ind w:right="42"/>
              <w:spacing w:after="0" w:line="134"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ind w:right="44"/>
              <w:spacing w:after="0" w:line="134"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jc w:val="right"/>
              <w:ind w:right="42"/>
              <w:spacing w:after="0" w:line="134" w:lineRule="exact"/>
              <w:rPr>
                <w:sz w:val="20"/>
                <w:szCs w:val="20"/>
                <w:color w:val="auto"/>
              </w:rPr>
            </w:pPr>
            <w:r>
              <w:rPr>
                <w:rFonts w:ascii="Arial" w:cs="Arial" w:eastAsia="Arial" w:hAnsi="Arial"/>
                <w:sz w:val="13"/>
                <w:szCs w:val="13"/>
                <w:b w:val="1"/>
                <w:bCs w:val="1"/>
                <w:color w:val="auto"/>
              </w:rPr>
              <w:t>2020</w:t>
            </w:r>
          </w:p>
        </w:tc>
      </w:tr>
      <w:tr>
        <w:trPr>
          <w:trHeight w:val="183"/>
        </w:trPr>
        <w:tc>
          <w:tcPr>
            <w:tcW w:w="6480" w:type="dxa"/>
            <w:vAlign w:val="bottom"/>
            <w:tcBorders>
              <w:bottom w:val="single" w:sz="8" w:color="004483"/>
            </w:tcBorders>
          </w:tcPr>
          <w:p>
            <w:pPr>
              <w:spacing w:after="0"/>
              <w:rPr>
                <w:sz w:val="15"/>
                <w:szCs w:val="15"/>
                <w:color w:val="auto"/>
              </w:rPr>
            </w:pPr>
          </w:p>
        </w:tc>
        <w:tc>
          <w:tcPr>
            <w:tcW w:w="52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520" w:type="dxa"/>
            <w:vAlign w:val="bottom"/>
            <w:tcBorders>
              <w:bottom w:val="single" w:sz="8" w:color="004483"/>
            </w:tcBorders>
            <w:gridSpan w:val="2"/>
          </w:tcPr>
          <w:p>
            <w:pPr>
              <w:jc w:val="center"/>
              <w:ind w:right="400"/>
              <w:spacing w:after="0"/>
              <w:rPr>
                <w:sz w:val="20"/>
                <w:szCs w:val="20"/>
                <w:color w:val="auto"/>
              </w:rPr>
            </w:pPr>
            <w:r>
              <w:rPr>
                <w:rFonts w:ascii="Arial" w:cs="Arial" w:eastAsia="Arial" w:hAnsi="Arial"/>
                <w:sz w:val="13"/>
                <w:szCs w:val="13"/>
                <w:color w:val="auto"/>
                <w:w w:val="86"/>
              </w:rPr>
              <w:t>(dollars in thousands)</w:t>
            </w:r>
          </w:p>
        </w:tc>
        <w:tc>
          <w:tcPr>
            <w:tcW w:w="52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r>
      <w:tr>
        <w:trPr>
          <w:trHeight w:val="189"/>
        </w:trPr>
        <w:tc>
          <w:tcPr>
            <w:tcW w:w="64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Service Cost - Benefits Earned During the Period</w:t>
            </w:r>
          </w:p>
        </w:tc>
        <w:tc>
          <w:tcPr>
            <w:tcW w:w="520" w:type="dxa"/>
            <w:vAlign w:val="bottom"/>
            <w:tcBorders>
              <w:bottom w:val="single" w:sz="8" w:color="A6A6A6"/>
            </w:tcBorders>
          </w:tcPr>
          <w:p>
            <w:pPr>
              <w:jc w:val="right"/>
              <w:ind w:right="3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6A6A6"/>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339</w:t>
            </w:r>
          </w:p>
        </w:tc>
      </w:tr>
      <w:tr>
        <w:trPr>
          <w:trHeight w:val="183"/>
        </w:trPr>
        <w:tc>
          <w:tcPr>
            <w:tcW w:w="6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Interest Cost of Projected Benefit Obligation</w:t>
            </w:r>
          </w:p>
        </w:tc>
        <w:tc>
          <w:tcPr>
            <w:tcW w:w="5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1,167</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1,216</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1,351</w:t>
            </w:r>
          </w:p>
        </w:tc>
      </w:tr>
      <w:tr>
        <w:trPr>
          <w:trHeight w:val="183"/>
        </w:trPr>
        <w:tc>
          <w:tcPr>
            <w:tcW w:w="6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Expected Return on Plan Assets</w:t>
            </w:r>
          </w:p>
        </w:tc>
        <w:tc>
          <w:tcPr>
            <w:tcW w:w="5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(1,299 )</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(1,419 )</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(1,702 )</w:t>
            </w:r>
          </w:p>
        </w:tc>
      </w:tr>
      <w:tr>
        <w:trPr>
          <w:trHeight w:val="183"/>
        </w:trPr>
        <w:tc>
          <w:tcPr>
            <w:tcW w:w="6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Recognized Net Actuarial Loss</w:t>
            </w:r>
          </w:p>
        </w:tc>
        <w:tc>
          <w:tcPr>
            <w:tcW w:w="520" w:type="dxa"/>
            <w:vAlign w:val="bottom"/>
            <w:tcBorders>
              <w:bottom w:val="single" w:sz="8" w:color="A6A6A6"/>
            </w:tcBorders>
          </w:tcPr>
          <w:p>
            <w:pPr>
              <w:spacing w:after="0"/>
              <w:rPr>
                <w:sz w:val="15"/>
                <w:szCs w:val="15"/>
                <w:color w:val="auto"/>
              </w:rPr>
            </w:pPr>
          </w:p>
        </w:tc>
        <w:tc>
          <w:tcPr>
            <w:tcW w:w="9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143</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360" w:type="dxa"/>
            <w:vAlign w:val="bottom"/>
            <w:tcBorders>
              <w:bottom w:val="single" w:sz="8" w:color="A6A6A6"/>
            </w:tcBorders>
          </w:tcPr>
          <w:p>
            <w:pPr>
              <w:jc w:val="right"/>
              <w:ind w:right="44"/>
              <w:spacing w:after="0" w:line="183" w:lineRule="exact"/>
              <w:rPr>
                <w:sz w:val="20"/>
                <w:szCs w:val="20"/>
                <w:color w:val="auto"/>
              </w:rPr>
            </w:pPr>
            <w:r>
              <w:rPr>
                <w:rFonts w:ascii="Arial" w:cs="Arial" w:eastAsia="Arial" w:hAnsi="Arial"/>
                <w:sz w:val="16"/>
                <w:szCs w:val="16"/>
                <w:color w:val="auto"/>
              </w:rPr>
              <w:t>133</w:t>
            </w:r>
          </w:p>
        </w:tc>
        <w:tc>
          <w:tcPr>
            <w:tcW w:w="160" w:type="dxa"/>
            <w:vAlign w:val="bottom"/>
            <w:tcBorders>
              <w:bottom w:val="single" w:sz="8" w:color="A6A6A6"/>
            </w:tcBorders>
          </w:tcPr>
          <w:p>
            <w:pPr>
              <w:spacing w:after="0"/>
              <w:rPr>
                <w:sz w:val="15"/>
                <w:szCs w:val="15"/>
                <w:color w:val="auto"/>
              </w:rPr>
            </w:pPr>
          </w:p>
        </w:tc>
        <w:tc>
          <w:tcPr>
            <w:tcW w:w="52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153</w:t>
            </w: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Amortization of Prior-Service Cost</w:t>
            </w:r>
          </w:p>
        </w:tc>
        <w:tc>
          <w:tcPr>
            <w:tcW w:w="520" w:type="dxa"/>
            <w:vAlign w:val="bottom"/>
          </w:tcPr>
          <w:p>
            <w:pPr>
              <w:spacing w:after="0"/>
              <w:rPr>
                <w:sz w:val="15"/>
                <w:szCs w:val="15"/>
                <w:color w:val="auto"/>
              </w:rPr>
            </w:pPr>
          </w:p>
        </w:tc>
        <w:tc>
          <w:tcPr>
            <w:tcW w:w="980" w:type="dxa"/>
            <w:vAlign w:val="bottom"/>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5"/>
                <w:szCs w:val="15"/>
                <w:color w:val="auto"/>
              </w:rPr>
            </w:pPr>
          </w:p>
        </w:tc>
        <w:tc>
          <w:tcPr>
            <w:tcW w:w="960" w:type="dxa"/>
            <w:vAlign w:val="bottom"/>
          </w:tcPr>
          <w:p>
            <w:pPr>
              <w:jc w:val="right"/>
              <w:ind w:right="42"/>
              <w:spacing w:after="0" w:line="183" w:lineRule="exact"/>
              <w:rPr>
                <w:sz w:val="20"/>
                <w:szCs w:val="20"/>
                <w:color w:val="auto"/>
              </w:rPr>
            </w:pPr>
            <w:r>
              <w:rPr>
                <w:rFonts w:ascii="Arial" w:cs="Arial" w:eastAsia="Arial" w:hAnsi="Arial"/>
                <w:sz w:val="16"/>
                <w:szCs w:val="16"/>
                <w:color w:val="auto"/>
              </w:rPr>
              <w:t>19</w:t>
            </w:r>
          </w:p>
        </w:tc>
      </w:tr>
      <w:tr>
        <w:trPr>
          <w:trHeight w:val="27"/>
        </w:trPr>
        <w:tc>
          <w:tcPr>
            <w:tcW w:w="648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right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520" w:type="dxa"/>
            <w:vAlign w:val="bottom"/>
            <w:tcBorders>
              <w:bottom w:val="single" w:sz="8" w:color="004483"/>
            </w:tcBorders>
            <w:shd w:val="clear" w:color="auto" w:fill="004483"/>
          </w:tcPr>
          <w:p>
            <w:pPr>
              <w:spacing w:after="0"/>
              <w:rPr>
                <w:sz w:val="2"/>
                <w:szCs w:val="2"/>
                <w:color w:val="auto"/>
              </w:rPr>
            </w:pPr>
          </w:p>
        </w:tc>
        <w:tc>
          <w:tcPr>
            <w:tcW w:w="960" w:type="dxa"/>
            <w:vAlign w:val="bottom"/>
            <w:tcBorders>
              <w:bottom w:val="single" w:sz="8" w:color="004483"/>
            </w:tcBorders>
            <w:shd w:val="clear" w:color="auto" w:fill="004483"/>
          </w:tcPr>
          <w:p>
            <w:pPr>
              <w:spacing w:after="0"/>
              <w:rPr>
                <w:sz w:val="2"/>
                <w:szCs w:val="2"/>
                <w:color w:val="auto"/>
              </w:rPr>
            </w:pPr>
          </w:p>
        </w:tc>
      </w:tr>
      <w:tr>
        <w:trPr>
          <w:trHeight w:val="183"/>
        </w:trPr>
        <w:tc>
          <w:tcPr>
            <w:tcW w:w="6480" w:type="dxa"/>
            <w:vAlign w:val="bottom"/>
          </w:tcPr>
          <w:p>
            <w:pPr>
              <w:ind w:left="200"/>
              <w:spacing w:after="0" w:line="183" w:lineRule="exact"/>
              <w:rPr>
                <w:sz w:val="20"/>
                <w:szCs w:val="20"/>
                <w:color w:val="auto"/>
              </w:rPr>
            </w:pPr>
            <w:r>
              <w:rPr>
                <w:rFonts w:ascii="Arial" w:cs="Arial" w:eastAsia="Arial" w:hAnsi="Arial"/>
                <w:sz w:val="16"/>
                <w:szCs w:val="16"/>
                <w:b w:val="1"/>
                <w:bCs w:val="1"/>
                <w:color w:val="004483"/>
              </w:rPr>
              <w:t>Net Periodic Pension Cost</w:t>
            </w:r>
          </w:p>
        </w:tc>
        <w:tc>
          <w:tcPr>
            <w:tcW w:w="520" w:type="dxa"/>
            <w:vAlign w:val="bottom"/>
            <w:tcBorders>
              <w:bottom w:val="single" w:sz="8" w:color="004483"/>
            </w:tcBorders>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11</w:t>
            </w: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(70 )</w:t>
            </w:r>
          </w:p>
        </w:tc>
        <w:tc>
          <w:tcPr>
            <w:tcW w:w="160" w:type="dxa"/>
            <w:vAlign w:val="bottom"/>
          </w:tcPr>
          <w:p>
            <w:pPr>
              <w:spacing w:after="0"/>
              <w:rPr>
                <w:sz w:val="15"/>
                <w:szCs w:val="15"/>
                <w:color w:val="auto"/>
              </w:rPr>
            </w:pPr>
          </w:p>
        </w:tc>
        <w:tc>
          <w:tcPr>
            <w:tcW w:w="520" w:type="dxa"/>
            <w:vAlign w:val="bottom"/>
            <w:tcBorders>
              <w:bottom w:val="single" w:sz="8" w:color="004483"/>
            </w:tcBorders>
          </w:tcPr>
          <w:p>
            <w:pPr>
              <w:jc w:val="right"/>
              <w:ind w:right="339"/>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160</w:t>
            </w:r>
          </w:p>
        </w:tc>
      </w:tr>
      <w:tr>
        <w:trPr>
          <w:trHeight w:val="20"/>
        </w:trPr>
        <w:tc>
          <w:tcPr>
            <w:tcW w:w="648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r>
    </w:tbl>
    <w:p>
      <w:pPr>
        <w:spacing w:after="0" w:line="121"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color w:val="auto"/>
        </w:rPr>
        <w:t>Expected benefit payments over the next five years, and the following five years under the pension plans are expected to be as follows (dollars in thousands):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7"/>
        </w:trPr>
        <w:tc>
          <w:tcPr>
            <w:tcW w:w="496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Fiscal Years</w:t>
            </w:r>
          </w:p>
        </w:tc>
        <w:tc>
          <w:tcPr>
            <w:tcW w:w="5060" w:type="dxa"/>
            <w:vAlign w:val="bottom"/>
            <w:tcBorders>
              <w:bottom w:val="single" w:sz="8" w:color="004483"/>
            </w:tcBorders>
          </w:tcPr>
          <w:p>
            <w:pPr>
              <w:spacing w:after="0"/>
              <w:rPr>
                <w:sz w:val="16"/>
                <w:szCs w:val="16"/>
                <w:color w:val="auto"/>
              </w:rPr>
            </w:pPr>
          </w:p>
        </w:tc>
        <w:tc>
          <w:tcPr>
            <w:tcW w:w="1220" w:type="dxa"/>
            <w:vAlign w:val="bottom"/>
            <w:tcBorders>
              <w:bottom w:val="single" w:sz="8" w:color="004483"/>
            </w:tcBorders>
          </w:tcPr>
          <w:p>
            <w:pPr>
              <w:jc w:val="right"/>
              <w:ind w:right="42"/>
              <w:spacing w:after="0"/>
              <w:rPr>
                <w:sz w:val="20"/>
                <w:szCs w:val="20"/>
                <w:color w:val="auto"/>
              </w:rPr>
            </w:pPr>
            <w:r>
              <w:rPr>
                <w:rFonts w:ascii="Arial" w:cs="Arial" w:eastAsia="Arial" w:hAnsi="Arial"/>
                <w:sz w:val="13"/>
                <w:szCs w:val="13"/>
                <w:b w:val="1"/>
                <w:bCs w:val="1"/>
                <w:color w:val="auto"/>
              </w:rPr>
              <w:t>Total</w:t>
            </w:r>
          </w:p>
        </w:tc>
      </w:tr>
      <w:tr>
        <w:trPr>
          <w:trHeight w:val="18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2023</w:t>
            </w:r>
          </w:p>
        </w:tc>
        <w:tc>
          <w:tcPr>
            <w:tcW w:w="506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1,688</w:t>
            </w: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2024</w:t>
            </w:r>
          </w:p>
        </w:tc>
        <w:tc>
          <w:tcPr>
            <w:tcW w:w="5060" w:type="dxa"/>
            <w:vAlign w:val="bottom"/>
            <w:tcBorders>
              <w:bottom w:val="single" w:sz="8" w:color="A6A6A6"/>
            </w:tcBorders>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1,702</w:t>
            </w: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2025</w:t>
            </w:r>
          </w:p>
        </w:tc>
        <w:tc>
          <w:tcPr>
            <w:tcW w:w="5060" w:type="dxa"/>
            <w:vAlign w:val="bottom"/>
            <w:tcBorders>
              <w:bottom w:val="single" w:sz="8" w:color="A6A6A6"/>
            </w:tcBorders>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1,810</w:t>
            </w: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2026</w:t>
            </w:r>
          </w:p>
        </w:tc>
        <w:tc>
          <w:tcPr>
            <w:tcW w:w="5060" w:type="dxa"/>
            <w:vAlign w:val="bottom"/>
            <w:tcBorders>
              <w:bottom w:val="single" w:sz="8" w:color="A6A6A6"/>
            </w:tcBorders>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1,868</w:t>
            </w: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2027</w:t>
            </w:r>
          </w:p>
        </w:tc>
        <w:tc>
          <w:tcPr>
            <w:tcW w:w="5060" w:type="dxa"/>
            <w:vAlign w:val="bottom"/>
            <w:tcBorders>
              <w:bottom w:val="single" w:sz="8" w:color="A6A6A6"/>
            </w:tcBorders>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1,941</w:t>
            </w:r>
          </w:p>
        </w:tc>
      </w:tr>
      <w:tr>
        <w:trPr>
          <w:trHeight w:val="183"/>
        </w:trPr>
        <w:tc>
          <w:tcPr>
            <w:tcW w:w="496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b w:val="1"/>
                <w:bCs w:val="1"/>
                <w:color w:val="004483"/>
              </w:rPr>
              <w:t>2028-2032</w:t>
            </w:r>
          </w:p>
        </w:tc>
        <w:tc>
          <w:tcPr>
            <w:tcW w:w="5060" w:type="dxa"/>
            <w:vAlign w:val="bottom"/>
            <w:tcBorders>
              <w:bottom w:val="single" w:sz="8" w:color="A3A3A3"/>
            </w:tcBorders>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3A3A3"/>
            </w:tcBorders>
          </w:tcPr>
          <w:p>
            <w:pPr>
              <w:jc w:val="right"/>
              <w:ind w:right="42"/>
              <w:spacing w:after="0" w:line="183" w:lineRule="exact"/>
              <w:rPr>
                <w:sz w:val="20"/>
                <w:szCs w:val="20"/>
                <w:color w:val="auto"/>
              </w:rPr>
            </w:pPr>
            <w:r>
              <w:rPr>
                <w:rFonts w:ascii="Arial" w:cs="Arial" w:eastAsia="Arial" w:hAnsi="Arial"/>
                <w:sz w:val="16"/>
                <w:szCs w:val="16"/>
                <w:color w:val="auto"/>
              </w:rPr>
              <w:t>9,776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assumptions used in the actuarial calculations of the present value of Net Periodic Benefit Costs 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Benefit Obligations: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0" w:type="dxa"/>
            <w:vAlign w:val="bottom"/>
          </w:tcPr>
          <w:p>
            <w:pPr>
              <w:spacing w:after="0"/>
              <w:rPr>
                <w:sz w:val="13"/>
                <w:szCs w:val="13"/>
                <w:color w:val="auto"/>
              </w:rPr>
            </w:pPr>
          </w:p>
        </w:tc>
        <w:tc>
          <w:tcPr>
            <w:tcW w:w="1140" w:type="dxa"/>
            <w:vAlign w:val="bottom"/>
            <w:shd w:val="clear" w:color="auto" w:fill="004483"/>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2000" w:type="dxa"/>
            <w:vAlign w:val="bottom"/>
            <w:shd w:val="clear" w:color="auto" w:fill="004483"/>
          </w:tcPr>
          <w:p>
            <w:pPr>
              <w:jc w:val="right"/>
              <w:ind w:right="1067"/>
              <w:spacing w:after="0"/>
              <w:rPr>
                <w:sz w:val="20"/>
                <w:szCs w:val="20"/>
                <w:color w:val="auto"/>
              </w:rPr>
            </w:pPr>
            <w:r>
              <w:rPr>
                <w:rFonts w:ascii="Arial" w:cs="Arial" w:eastAsia="Arial" w:hAnsi="Arial"/>
                <w:sz w:val="13"/>
                <w:szCs w:val="13"/>
                <w:b w:val="1"/>
                <w:bCs w:val="1"/>
                <w:color w:val="FFFFFF"/>
              </w:rPr>
              <w:t>March 31,</w:t>
            </w:r>
          </w:p>
        </w:tc>
        <w:tc>
          <w:tcPr>
            <w:tcW w:w="1120" w:type="dxa"/>
            <w:vAlign w:val="bottom"/>
            <w:shd w:val="clear" w:color="auto" w:fill="004483"/>
          </w:tcPr>
          <w:p>
            <w:pPr>
              <w:spacing w:after="0"/>
              <w:rPr>
                <w:sz w:val="13"/>
                <w:szCs w:val="13"/>
                <w:color w:val="auto"/>
              </w:rPr>
            </w:pPr>
          </w:p>
        </w:tc>
      </w:tr>
      <w:tr>
        <w:trPr>
          <w:trHeight w:val="169"/>
        </w:trPr>
        <w:tc>
          <w:tcPr>
            <w:tcW w:w="6400" w:type="dxa"/>
            <w:vAlign w:val="bottom"/>
            <w:tcBorders>
              <w:bottom w:val="single" w:sz="8" w:color="004483"/>
            </w:tcBorders>
          </w:tcPr>
          <w:p>
            <w:pPr>
              <w:spacing w:after="0"/>
              <w:rPr>
                <w:sz w:val="14"/>
                <w:szCs w:val="14"/>
                <w:color w:val="auto"/>
              </w:rPr>
            </w:pPr>
          </w:p>
        </w:tc>
        <w:tc>
          <w:tcPr>
            <w:tcW w:w="1720" w:type="dxa"/>
            <w:vAlign w:val="bottom"/>
            <w:tcBorders>
              <w:bottom w:val="single" w:sz="8" w:color="004483"/>
            </w:tcBorders>
            <w:gridSpan w:val="2"/>
          </w:tcPr>
          <w:p>
            <w:pPr>
              <w:jc w:val="right"/>
              <w:ind w:right="460"/>
              <w:spacing w:after="0"/>
              <w:rPr>
                <w:sz w:val="20"/>
                <w:szCs w:val="20"/>
                <w:color w:val="auto"/>
              </w:rPr>
            </w:pPr>
            <w:r>
              <w:rPr>
                <w:rFonts w:ascii="Arial" w:cs="Arial" w:eastAsia="Arial" w:hAnsi="Arial"/>
                <w:sz w:val="13"/>
                <w:szCs w:val="13"/>
                <w:b w:val="1"/>
                <w:bCs w:val="1"/>
                <w:color w:val="auto"/>
              </w:rPr>
              <w:t>2022</w:t>
            </w:r>
          </w:p>
        </w:tc>
        <w:tc>
          <w:tcPr>
            <w:tcW w:w="2000" w:type="dxa"/>
            <w:vAlign w:val="bottom"/>
            <w:tcBorders>
              <w:bottom w:val="single" w:sz="8" w:color="004483"/>
            </w:tcBorders>
          </w:tcPr>
          <w:p>
            <w:pPr>
              <w:jc w:val="right"/>
              <w:ind w:right="707"/>
              <w:spacing w:after="0"/>
              <w:rPr>
                <w:sz w:val="20"/>
                <w:szCs w:val="20"/>
                <w:color w:val="auto"/>
              </w:rPr>
            </w:pPr>
            <w:r>
              <w:rPr>
                <w:rFonts w:ascii="Arial" w:cs="Arial" w:eastAsia="Arial" w:hAnsi="Arial"/>
                <w:sz w:val="13"/>
                <w:szCs w:val="13"/>
                <w:b w:val="1"/>
                <w:bCs w:val="1"/>
                <w:color w:val="auto"/>
              </w:rPr>
              <w:t>2021</w:t>
            </w:r>
          </w:p>
        </w:tc>
        <w:tc>
          <w:tcPr>
            <w:tcW w:w="1120" w:type="dxa"/>
            <w:vAlign w:val="bottom"/>
            <w:tcBorders>
              <w:bottom w:val="single" w:sz="8" w:color="004483"/>
            </w:tcBorders>
          </w:tcPr>
          <w:p>
            <w:pPr>
              <w:jc w:val="right"/>
              <w:ind w:right="184"/>
              <w:spacing w:after="0"/>
              <w:rPr>
                <w:sz w:val="20"/>
                <w:szCs w:val="20"/>
                <w:color w:val="auto"/>
              </w:rPr>
            </w:pPr>
            <w:r>
              <w:rPr>
                <w:rFonts w:ascii="Arial" w:cs="Arial" w:eastAsia="Arial" w:hAnsi="Arial"/>
                <w:sz w:val="13"/>
                <w:szCs w:val="13"/>
                <w:b w:val="1"/>
                <w:bCs w:val="1"/>
                <w:color w:val="auto"/>
              </w:rPr>
              <w:t>2020</w:t>
            </w:r>
          </w:p>
        </w:tc>
      </w:tr>
      <w:tr>
        <w:trPr>
          <w:trHeight w:val="189"/>
        </w:trPr>
        <w:tc>
          <w:tcPr>
            <w:tcW w:w="64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Net Periodic Benefit Costs -</w:t>
            </w:r>
          </w:p>
        </w:tc>
        <w:tc>
          <w:tcPr>
            <w:tcW w:w="1140" w:type="dxa"/>
            <w:vAlign w:val="bottom"/>
            <w:tcBorders>
              <w:bottom w:val="single" w:sz="8" w:color="A6A6A6"/>
            </w:tcBorders>
          </w:tcPr>
          <w:p>
            <w:pPr>
              <w:spacing w:after="0"/>
              <w:rPr>
                <w:sz w:val="16"/>
                <w:szCs w:val="16"/>
                <w:color w:val="auto"/>
              </w:rPr>
            </w:pPr>
          </w:p>
        </w:tc>
        <w:tc>
          <w:tcPr>
            <w:tcW w:w="580" w:type="dxa"/>
            <w:vAlign w:val="bottom"/>
            <w:tcBorders>
              <w:bottom w:val="single" w:sz="8" w:color="A6A6A6"/>
            </w:tcBorders>
          </w:tcPr>
          <w:p>
            <w:pPr>
              <w:spacing w:after="0"/>
              <w:rPr>
                <w:sz w:val="16"/>
                <w:szCs w:val="16"/>
                <w:color w:val="auto"/>
              </w:rPr>
            </w:pPr>
          </w:p>
        </w:tc>
        <w:tc>
          <w:tcPr>
            <w:tcW w:w="200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b w:val="1"/>
                <w:bCs w:val="1"/>
                <w:color w:val="004483"/>
              </w:rPr>
              <w:t>Discount Rate</w:t>
            </w:r>
          </w:p>
        </w:tc>
        <w:tc>
          <w:tcPr>
            <w:tcW w:w="1720" w:type="dxa"/>
            <w:vAlign w:val="bottom"/>
            <w:tcBorders>
              <w:bottom w:val="single" w:sz="8" w:color="A6A6A6"/>
            </w:tcBorders>
            <w:gridSpan w:val="2"/>
          </w:tcPr>
          <w:p>
            <w:pPr>
              <w:jc w:val="right"/>
              <w:ind w:right="300"/>
              <w:spacing w:after="0" w:line="183" w:lineRule="exact"/>
              <w:rPr>
                <w:sz w:val="20"/>
                <w:szCs w:val="20"/>
                <w:color w:val="auto"/>
              </w:rPr>
            </w:pPr>
            <w:r>
              <w:rPr>
                <w:rFonts w:ascii="Arial" w:cs="Arial" w:eastAsia="Arial" w:hAnsi="Arial"/>
                <w:sz w:val="16"/>
                <w:szCs w:val="16"/>
                <w:color w:val="auto"/>
              </w:rPr>
              <w:t>3.33 %</w:t>
            </w:r>
          </w:p>
        </w:tc>
        <w:tc>
          <w:tcPr>
            <w:tcW w:w="2000" w:type="dxa"/>
            <w:vAlign w:val="bottom"/>
            <w:tcBorders>
              <w:bottom w:val="single" w:sz="8" w:color="A6A6A6"/>
            </w:tcBorders>
          </w:tcPr>
          <w:p>
            <w:pPr>
              <w:jc w:val="right"/>
              <w:ind w:right="547"/>
              <w:spacing w:after="0" w:line="183" w:lineRule="exact"/>
              <w:rPr>
                <w:sz w:val="20"/>
                <w:szCs w:val="20"/>
                <w:color w:val="auto"/>
              </w:rPr>
            </w:pPr>
            <w:r>
              <w:rPr>
                <w:rFonts w:ascii="Arial" w:cs="Arial" w:eastAsia="Arial" w:hAnsi="Arial"/>
                <w:sz w:val="16"/>
                <w:szCs w:val="16"/>
                <w:color w:val="auto"/>
              </w:rPr>
              <w:t>3.64 %</w:t>
            </w:r>
          </w:p>
        </w:tc>
        <w:tc>
          <w:tcPr>
            <w:tcW w:w="1120" w:type="dxa"/>
            <w:vAlign w:val="bottom"/>
            <w:tcBorders>
              <w:bottom w:val="single" w:sz="8" w:color="A6A6A6"/>
            </w:tcBorders>
          </w:tcPr>
          <w:p>
            <w:pPr>
              <w:jc w:val="right"/>
              <w:ind w:right="24"/>
              <w:spacing w:after="0" w:line="183" w:lineRule="exact"/>
              <w:rPr>
                <w:sz w:val="20"/>
                <w:szCs w:val="20"/>
                <w:color w:val="auto"/>
              </w:rPr>
            </w:pPr>
            <w:r>
              <w:rPr>
                <w:rFonts w:ascii="Arial" w:cs="Arial" w:eastAsia="Arial" w:hAnsi="Arial"/>
                <w:sz w:val="16"/>
                <w:szCs w:val="16"/>
                <w:color w:val="auto"/>
              </w:rPr>
              <w:t>4.09 %</w:t>
            </w: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b w:val="1"/>
                <w:bCs w:val="1"/>
                <w:color w:val="004483"/>
              </w:rPr>
              <w:t>Expected Return on Plan Assets</w:t>
            </w:r>
          </w:p>
        </w:tc>
        <w:tc>
          <w:tcPr>
            <w:tcW w:w="1720" w:type="dxa"/>
            <w:vAlign w:val="bottom"/>
            <w:tcBorders>
              <w:bottom w:val="single" w:sz="8" w:color="A6A6A6"/>
            </w:tcBorders>
            <w:gridSpan w:val="2"/>
          </w:tcPr>
          <w:p>
            <w:pPr>
              <w:jc w:val="right"/>
              <w:ind w:right="300"/>
              <w:spacing w:after="0" w:line="183" w:lineRule="exact"/>
              <w:rPr>
                <w:sz w:val="20"/>
                <w:szCs w:val="20"/>
                <w:color w:val="auto"/>
              </w:rPr>
            </w:pPr>
            <w:r>
              <w:rPr>
                <w:rFonts w:ascii="Arial" w:cs="Arial" w:eastAsia="Arial" w:hAnsi="Arial"/>
                <w:sz w:val="16"/>
                <w:szCs w:val="16"/>
                <w:color w:val="auto"/>
              </w:rPr>
              <w:t>3.50 %</w:t>
            </w:r>
          </w:p>
        </w:tc>
        <w:tc>
          <w:tcPr>
            <w:tcW w:w="2000" w:type="dxa"/>
            <w:vAlign w:val="bottom"/>
            <w:tcBorders>
              <w:bottom w:val="single" w:sz="8" w:color="A6A6A6"/>
            </w:tcBorders>
          </w:tcPr>
          <w:p>
            <w:pPr>
              <w:jc w:val="right"/>
              <w:ind w:right="547"/>
              <w:spacing w:after="0" w:line="183" w:lineRule="exact"/>
              <w:rPr>
                <w:sz w:val="20"/>
                <w:szCs w:val="20"/>
                <w:color w:val="auto"/>
              </w:rPr>
            </w:pPr>
            <w:r>
              <w:rPr>
                <w:rFonts w:ascii="Arial" w:cs="Arial" w:eastAsia="Arial" w:hAnsi="Arial"/>
                <w:sz w:val="16"/>
                <w:szCs w:val="16"/>
                <w:color w:val="auto"/>
              </w:rPr>
              <w:t>4.00 %</w:t>
            </w:r>
          </w:p>
        </w:tc>
        <w:tc>
          <w:tcPr>
            <w:tcW w:w="1120" w:type="dxa"/>
            <w:vAlign w:val="bottom"/>
            <w:tcBorders>
              <w:bottom w:val="single" w:sz="8" w:color="A6A6A6"/>
            </w:tcBorders>
          </w:tcPr>
          <w:p>
            <w:pPr>
              <w:jc w:val="right"/>
              <w:ind w:right="24"/>
              <w:spacing w:after="0" w:line="183" w:lineRule="exact"/>
              <w:rPr>
                <w:sz w:val="20"/>
                <w:szCs w:val="20"/>
                <w:color w:val="auto"/>
              </w:rPr>
            </w:pPr>
            <w:r>
              <w:rPr>
                <w:rFonts w:ascii="Arial" w:cs="Arial" w:eastAsia="Arial" w:hAnsi="Arial"/>
                <w:sz w:val="16"/>
                <w:szCs w:val="16"/>
                <w:color w:val="auto"/>
              </w:rPr>
              <w:t>4.75 %</w:t>
            </w:r>
          </w:p>
        </w:tc>
      </w:tr>
      <w:tr>
        <w:trPr>
          <w:trHeight w:val="183"/>
        </w:trPr>
        <w:tc>
          <w:tcPr>
            <w:tcW w:w="64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b w:val="1"/>
                <w:bCs w:val="1"/>
                <w:color w:val="004483"/>
              </w:rPr>
              <w:t>Rate of Compensation Increase</w:t>
            </w:r>
          </w:p>
        </w:tc>
        <w:tc>
          <w:tcPr>
            <w:tcW w:w="1720" w:type="dxa"/>
            <w:vAlign w:val="bottom"/>
            <w:tcBorders>
              <w:bottom w:val="single" w:sz="8" w:color="A3A3A3"/>
            </w:tcBorders>
            <w:gridSpan w:val="2"/>
          </w:tcPr>
          <w:p>
            <w:pPr>
              <w:jc w:val="right"/>
              <w:ind w:right="460"/>
              <w:spacing w:after="0" w:line="183" w:lineRule="exact"/>
              <w:rPr>
                <w:sz w:val="20"/>
                <w:szCs w:val="20"/>
                <w:color w:val="auto"/>
              </w:rPr>
            </w:pPr>
            <w:r>
              <w:rPr>
                <w:rFonts w:ascii="Arial" w:cs="Arial" w:eastAsia="Arial" w:hAnsi="Arial"/>
                <w:sz w:val="16"/>
                <w:szCs w:val="16"/>
                <w:color w:val="auto"/>
              </w:rPr>
              <w:t>n/a</w:t>
            </w:r>
          </w:p>
        </w:tc>
        <w:tc>
          <w:tcPr>
            <w:tcW w:w="2000" w:type="dxa"/>
            <w:vAlign w:val="bottom"/>
            <w:tcBorders>
              <w:bottom w:val="single" w:sz="8" w:color="A3A3A3"/>
            </w:tcBorders>
          </w:tcPr>
          <w:p>
            <w:pPr>
              <w:jc w:val="right"/>
              <w:ind w:right="707"/>
              <w:spacing w:after="0" w:line="183" w:lineRule="exact"/>
              <w:rPr>
                <w:sz w:val="20"/>
                <w:szCs w:val="20"/>
                <w:color w:val="auto"/>
              </w:rPr>
            </w:pPr>
            <w:r>
              <w:rPr>
                <w:rFonts w:ascii="Arial" w:cs="Arial" w:eastAsia="Arial" w:hAnsi="Arial"/>
                <w:sz w:val="16"/>
                <w:szCs w:val="16"/>
                <w:color w:val="auto"/>
              </w:rPr>
              <w:t>n/a</w:t>
            </w:r>
          </w:p>
        </w:tc>
        <w:tc>
          <w:tcPr>
            <w:tcW w:w="1120" w:type="dxa"/>
            <w:vAlign w:val="bottom"/>
            <w:tcBorders>
              <w:bottom w:val="single" w:sz="8" w:color="A3A3A3"/>
            </w:tcBorders>
          </w:tcPr>
          <w:p>
            <w:pPr>
              <w:jc w:val="right"/>
              <w:ind w:right="24"/>
              <w:spacing w:after="0" w:line="183" w:lineRule="exact"/>
              <w:rPr>
                <w:sz w:val="20"/>
                <w:szCs w:val="20"/>
                <w:color w:val="auto"/>
              </w:rPr>
            </w:pPr>
            <w:r>
              <w:rPr>
                <w:rFonts w:ascii="Arial" w:cs="Arial" w:eastAsia="Arial" w:hAnsi="Arial"/>
                <w:sz w:val="16"/>
                <w:szCs w:val="16"/>
                <w:color w:val="auto"/>
              </w:rPr>
              <w:t>3.50 %</w:t>
            </w:r>
          </w:p>
        </w:tc>
      </w:tr>
      <w:tr>
        <w:trPr>
          <w:trHeight w:val="196"/>
        </w:trPr>
        <w:tc>
          <w:tcPr>
            <w:tcW w:w="6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48"/>
        </w:trPr>
        <w:tc>
          <w:tcPr>
            <w:tcW w:w="6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shd w:val="clear" w:color="auto" w:fill="004483"/>
          </w:tcPr>
          <w:p>
            <w:pPr>
              <w:spacing w:after="0"/>
              <w:rPr>
                <w:sz w:val="12"/>
                <w:szCs w:val="12"/>
                <w:color w:val="auto"/>
              </w:rPr>
            </w:pPr>
          </w:p>
        </w:tc>
        <w:tc>
          <w:tcPr>
            <w:tcW w:w="2000" w:type="dxa"/>
            <w:vAlign w:val="bottom"/>
            <w:shd w:val="clear" w:color="auto" w:fill="004483"/>
          </w:tcPr>
          <w:p>
            <w:pPr>
              <w:jc w:val="right"/>
              <w:ind w:right="507"/>
              <w:spacing w:after="0"/>
              <w:rPr>
                <w:sz w:val="20"/>
                <w:szCs w:val="20"/>
                <w:color w:val="auto"/>
              </w:rPr>
            </w:pPr>
            <w:r>
              <w:rPr>
                <w:rFonts w:ascii="Arial" w:cs="Arial" w:eastAsia="Arial" w:hAnsi="Arial"/>
                <w:sz w:val="13"/>
                <w:szCs w:val="13"/>
                <w:b w:val="1"/>
                <w:bCs w:val="1"/>
                <w:color w:val="FFFFFF"/>
              </w:rPr>
              <w:t>March 31,</w:t>
            </w:r>
          </w:p>
        </w:tc>
        <w:tc>
          <w:tcPr>
            <w:tcW w:w="1120" w:type="dxa"/>
            <w:vAlign w:val="bottom"/>
            <w:shd w:val="clear" w:color="auto" w:fill="004483"/>
          </w:tcPr>
          <w:p>
            <w:pPr>
              <w:spacing w:after="0"/>
              <w:rPr>
                <w:sz w:val="12"/>
                <w:szCs w:val="12"/>
                <w:color w:val="auto"/>
              </w:rPr>
            </w:pPr>
          </w:p>
        </w:tc>
      </w:tr>
      <w:tr>
        <w:trPr>
          <w:trHeight w:val="169"/>
        </w:trPr>
        <w:tc>
          <w:tcPr>
            <w:tcW w:w="6400" w:type="dxa"/>
            <w:vAlign w:val="bottom"/>
            <w:tcBorders>
              <w:bottom w:val="single" w:sz="8" w:color="004483"/>
            </w:tcBorders>
          </w:tcPr>
          <w:p>
            <w:pPr>
              <w:spacing w:after="0"/>
              <w:rPr>
                <w:sz w:val="14"/>
                <w:szCs w:val="14"/>
                <w:color w:val="auto"/>
              </w:rPr>
            </w:pPr>
          </w:p>
        </w:tc>
        <w:tc>
          <w:tcPr>
            <w:tcW w:w="1140" w:type="dxa"/>
            <w:vAlign w:val="bottom"/>
            <w:tcBorders>
              <w:bottom w:val="single" w:sz="8" w:color="004483"/>
            </w:tcBorders>
          </w:tcPr>
          <w:p>
            <w:pPr>
              <w:spacing w:after="0"/>
              <w:rPr>
                <w:sz w:val="14"/>
                <w:szCs w:val="14"/>
                <w:color w:val="auto"/>
              </w:rPr>
            </w:pPr>
          </w:p>
        </w:tc>
        <w:tc>
          <w:tcPr>
            <w:tcW w:w="580" w:type="dxa"/>
            <w:vAlign w:val="bottom"/>
            <w:tcBorders>
              <w:bottom w:val="single" w:sz="8" w:color="004483"/>
            </w:tcBorders>
          </w:tcPr>
          <w:p>
            <w:pPr>
              <w:spacing w:after="0"/>
              <w:rPr>
                <w:sz w:val="14"/>
                <w:szCs w:val="14"/>
                <w:color w:val="auto"/>
              </w:rPr>
            </w:pPr>
          </w:p>
        </w:tc>
        <w:tc>
          <w:tcPr>
            <w:tcW w:w="2000" w:type="dxa"/>
            <w:vAlign w:val="bottom"/>
            <w:tcBorders>
              <w:bottom w:val="single" w:sz="8" w:color="004483"/>
            </w:tcBorders>
          </w:tcPr>
          <w:p>
            <w:pPr>
              <w:jc w:val="right"/>
              <w:ind w:right="1007"/>
              <w:spacing w:after="0"/>
              <w:rPr>
                <w:sz w:val="20"/>
                <w:szCs w:val="20"/>
                <w:color w:val="auto"/>
              </w:rPr>
            </w:pPr>
            <w:r>
              <w:rPr>
                <w:rFonts w:ascii="Arial" w:cs="Arial" w:eastAsia="Arial" w:hAnsi="Arial"/>
                <w:sz w:val="13"/>
                <w:szCs w:val="13"/>
                <w:b w:val="1"/>
                <w:bCs w:val="1"/>
                <w:color w:val="auto"/>
              </w:rPr>
              <w:t>2022</w:t>
            </w:r>
          </w:p>
        </w:tc>
        <w:tc>
          <w:tcPr>
            <w:tcW w:w="1120" w:type="dxa"/>
            <w:vAlign w:val="bottom"/>
            <w:tcBorders>
              <w:bottom w:val="single" w:sz="8" w:color="004483"/>
            </w:tcBorders>
          </w:tcPr>
          <w:p>
            <w:pPr>
              <w:jc w:val="right"/>
              <w:ind w:right="184"/>
              <w:spacing w:after="0"/>
              <w:rPr>
                <w:sz w:val="20"/>
                <w:szCs w:val="20"/>
                <w:color w:val="auto"/>
              </w:rPr>
            </w:pPr>
            <w:r>
              <w:rPr>
                <w:rFonts w:ascii="Arial" w:cs="Arial" w:eastAsia="Arial" w:hAnsi="Arial"/>
                <w:sz w:val="13"/>
                <w:szCs w:val="13"/>
                <w:b w:val="1"/>
                <w:bCs w:val="1"/>
                <w:color w:val="auto"/>
              </w:rPr>
              <w:t>2021</w:t>
            </w:r>
          </w:p>
        </w:tc>
      </w:tr>
      <w:tr>
        <w:trPr>
          <w:trHeight w:val="189"/>
        </w:trPr>
        <w:tc>
          <w:tcPr>
            <w:tcW w:w="64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Benefit Obligations -</w:t>
            </w:r>
          </w:p>
        </w:tc>
        <w:tc>
          <w:tcPr>
            <w:tcW w:w="1140" w:type="dxa"/>
            <w:vAlign w:val="bottom"/>
            <w:tcBorders>
              <w:bottom w:val="single" w:sz="8" w:color="A6A6A6"/>
            </w:tcBorders>
          </w:tcPr>
          <w:p>
            <w:pPr>
              <w:spacing w:after="0"/>
              <w:rPr>
                <w:sz w:val="16"/>
                <w:szCs w:val="16"/>
                <w:color w:val="auto"/>
              </w:rPr>
            </w:pPr>
          </w:p>
        </w:tc>
        <w:tc>
          <w:tcPr>
            <w:tcW w:w="580" w:type="dxa"/>
            <w:vAlign w:val="bottom"/>
            <w:tcBorders>
              <w:bottom w:val="single" w:sz="8" w:color="A6A6A6"/>
            </w:tcBorders>
          </w:tcPr>
          <w:p>
            <w:pPr>
              <w:spacing w:after="0"/>
              <w:rPr>
                <w:sz w:val="16"/>
                <w:szCs w:val="16"/>
                <w:color w:val="auto"/>
              </w:rPr>
            </w:pPr>
          </w:p>
        </w:tc>
        <w:tc>
          <w:tcPr>
            <w:tcW w:w="2000" w:type="dxa"/>
            <w:vAlign w:val="bottom"/>
            <w:tcBorders>
              <w:bottom w:val="single" w:sz="8" w:color="A6A6A6"/>
            </w:tcBorders>
          </w:tcPr>
          <w:p>
            <w:pPr>
              <w:spacing w:after="0"/>
              <w:rPr>
                <w:sz w:val="16"/>
                <w:szCs w:val="16"/>
                <w:color w:val="auto"/>
              </w:rPr>
            </w:pPr>
          </w:p>
        </w:tc>
        <w:tc>
          <w:tcPr>
            <w:tcW w:w="1120" w:type="dxa"/>
            <w:vAlign w:val="bottom"/>
            <w:tcBorders>
              <w:bottom w:val="single" w:sz="8" w:color="A6A6A6"/>
            </w:tcBorders>
          </w:tcPr>
          <w:p>
            <w:pPr>
              <w:spacing w:after="0"/>
              <w:rPr>
                <w:sz w:val="16"/>
                <w:szCs w:val="16"/>
                <w:color w:val="auto"/>
              </w:rPr>
            </w:pP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b w:val="1"/>
                <w:bCs w:val="1"/>
                <w:color w:val="004483"/>
              </w:rPr>
              <w:t>Discount Rate</w:t>
            </w:r>
          </w:p>
        </w:tc>
        <w:tc>
          <w:tcPr>
            <w:tcW w:w="1140" w:type="dxa"/>
            <w:vAlign w:val="bottom"/>
            <w:tcBorders>
              <w:bottom w:val="single" w:sz="8" w:color="A6A6A6"/>
            </w:tcBorders>
          </w:tcPr>
          <w:p>
            <w:pPr>
              <w:spacing w:after="0"/>
              <w:rPr>
                <w:sz w:val="15"/>
                <w:szCs w:val="15"/>
                <w:color w:val="auto"/>
              </w:rPr>
            </w:pPr>
          </w:p>
        </w:tc>
        <w:tc>
          <w:tcPr>
            <w:tcW w:w="580" w:type="dxa"/>
            <w:vAlign w:val="bottom"/>
            <w:tcBorders>
              <w:bottom w:val="single" w:sz="8" w:color="A6A6A6"/>
            </w:tcBorders>
          </w:tcPr>
          <w:p>
            <w:pPr>
              <w:spacing w:after="0"/>
              <w:rPr>
                <w:sz w:val="15"/>
                <w:szCs w:val="15"/>
                <w:color w:val="auto"/>
              </w:rPr>
            </w:pPr>
          </w:p>
        </w:tc>
        <w:tc>
          <w:tcPr>
            <w:tcW w:w="2000" w:type="dxa"/>
            <w:vAlign w:val="bottom"/>
            <w:tcBorders>
              <w:bottom w:val="single" w:sz="8" w:color="A6A6A6"/>
            </w:tcBorders>
          </w:tcPr>
          <w:p>
            <w:pPr>
              <w:jc w:val="right"/>
              <w:ind w:right="847"/>
              <w:spacing w:after="0" w:line="183" w:lineRule="exact"/>
              <w:rPr>
                <w:sz w:val="20"/>
                <w:szCs w:val="20"/>
                <w:color w:val="auto"/>
              </w:rPr>
            </w:pPr>
            <w:r>
              <w:rPr>
                <w:rFonts w:ascii="Arial" w:cs="Arial" w:eastAsia="Arial" w:hAnsi="Arial"/>
                <w:sz w:val="16"/>
                <w:szCs w:val="16"/>
                <w:color w:val="auto"/>
              </w:rPr>
              <w:t>3.75 %</w:t>
            </w:r>
          </w:p>
        </w:tc>
        <w:tc>
          <w:tcPr>
            <w:tcW w:w="1120" w:type="dxa"/>
            <w:vAlign w:val="bottom"/>
            <w:tcBorders>
              <w:bottom w:val="single" w:sz="8" w:color="A6A6A6"/>
            </w:tcBorders>
          </w:tcPr>
          <w:p>
            <w:pPr>
              <w:jc w:val="right"/>
              <w:ind w:right="24"/>
              <w:spacing w:after="0" w:line="183" w:lineRule="exact"/>
              <w:rPr>
                <w:sz w:val="20"/>
                <w:szCs w:val="20"/>
                <w:color w:val="auto"/>
              </w:rPr>
            </w:pPr>
            <w:r>
              <w:rPr>
                <w:rFonts w:ascii="Arial" w:cs="Arial" w:eastAsia="Arial" w:hAnsi="Arial"/>
                <w:sz w:val="16"/>
                <w:szCs w:val="16"/>
                <w:color w:val="auto"/>
              </w:rPr>
              <w:t>3.33 %</w:t>
            </w:r>
          </w:p>
        </w:tc>
      </w:tr>
      <w:tr>
        <w:trPr>
          <w:trHeight w:val="183"/>
        </w:trPr>
        <w:tc>
          <w:tcPr>
            <w:tcW w:w="64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b w:val="1"/>
                <w:bCs w:val="1"/>
                <w:color w:val="004483"/>
              </w:rPr>
              <w:t>Rate of Compensation Increase</w:t>
            </w:r>
          </w:p>
        </w:tc>
        <w:tc>
          <w:tcPr>
            <w:tcW w:w="1140" w:type="dxa"/>
            <w:vAlign w:val="bottom"/>
            <w:tcBorders>
              <w:bottom w:val="single" w:sz="8" w:color="A3A3A3"/>
            </w:tcBorders>
          </w:tcPr>
          <w:p>
            <w:pPr>
              <w:spacing w:after="0"/>
              <w:rPr>
                <w:sz w:val="15"/>
                <w:szCs w:val="15"/>
                <w:color w:val="auto"/>
              </w:rPr>
            </w:pPr>
          </w:p>
        </w:tc>
        <w:tc>
          <w:tcPr>
            <w:tcW w:w="580" w:type="dxa"/>
            <w:vAlign w:val="bottom"/>
            <w:tcBorders>
              <w:bottom w:val="single" w:sz="8" w:color="A3A3A3"/>
            </w:tcBorders>
          </w:tcPr>
          <w:p>
            <w:pPr>
              <w:spacing w:after="0"/>
              <w:rPr>
                <w:sz w:val="15"/>
                <w:szCs w:val="15"/>
                <w:color w:val="auto"/>
              </w:rPr>
            </w:pPr>
          </w:p>
        </w:tc>
        <w:tc>
          <w:tcPr>
            <w:tcW w:w="2000" w:type="dxa"/>
            <w:vAlign w:val="bottom"/>
            <w:tcBorders>
              <w:bottom w:val="single" w:sz="8" w:color="A3A3A3"/>
            </w:tcBorders>
          </w:tcPr>
          <w:p>
            <w:pPr>
              <w:jc w:val="right"/>
              <w:ind w:right="1007"/>
              <w:spacing w:after="0" w:line="183" w:lineRule="exact"/>
              <w:rPr>
                <w:sz w:val="20"/>
                <w:szCs w:val="20"/>
                <w:color w:val="auto"/>
              </w:rPr>
            </w:pPr>
            <w:r>
              <w:rPr>
                <w:rFonts w:ascii="Arial" w:cs="Arial" w:eastAsia="Arial" w:hAnsi="Arial"/>
                <w:sz w:val="16"/>
                <w:szCs w:val="16"/>
                <w:color w:val="auto"/>
              </w:rPr>
              <w:t>n/a</w:t>
            </w:r>
          </w:p>
        </w:tc>
        <w:tc>
          <w:tcPr>
            <w:tcW w:w="1120" w:type="dxa"/>
            <w:vAlign w:val="bottom"/>
            <w:tcBorders>
              <w:bottom w:val="single" w:sz="8" w:color="A3A3A3"/>
            </w:tcBorders>
          </w:tcPr>
          <w:p>
            <w:pPr>
              <w:jc w:val="right"/>
              <w:ind w:right="184"/>
              <w:spacing w:after="0" w:line="183" w:lineRule="exact"/>
              <w:rPr>
                <w:sz w:val="20"/>
                <w:szCs w:val="20"/>
                <w:color w:val="auto"/>
              </w:rPr>
            </w:pPr>
            <w:r>
              <w:rPr>
                <w:rFonts w:ascii="Arial" w:cs="Arial" w:eastAsia="Arial" w:hAnsi="Arial"/>
                <w:sz w:val="16"/>
                <w:szCs w:val="16"/>
                <w:color w:val="auto"/>
              </w:rPr>
              <w:t>n/a</w:t>
            </w:r>
          </w:p>
        </w:tc>
      </w:tr>
    </w:tbl>
    <w:p>
      <w:pPr>
        <w:spacing w:after="0" w:line="215" w:lineRule="exact"/>
        <w:rPr>
          <w:sz w:val="20"/>
          <w:szCs w:val="20"/>
          <w:color w:val="auto"/>
        </w:rPr>
      </w:pPr>
    </w:p>
    <w:p>
      <w:pPr>
        <w:ind w:right="140"/>
        <w:spacing w:after="0" w:line="304" w:lineRule="auto"/>
        <w:rPr>
          <w:sz w:val="20"/>
          <w:szCs w:val="20"/>
          <w:color w:val="auto"/>
        </w:rPr>
      </w:pPr>
      <w:r>
        <w:rPr>
          <w:rFonts w:ascii="Arial" w:cs="Arial" w:eastAsia="Arial" w:hAnsi="Arial"/>
          <w:sz w:val="17"/>
          <w:szCs w:val="17"/>
          <w:color w:val="auto"/>
        </w:rPr>
        <w:t>The expected long-term rate of return on plan assets is an assumption reflecting the anticipated weighted-average rate of earnings on the portfolio over the long term. To determine this rate, we developed estimates of the key components underlying capital asset returns that include: market-based estimates of inflation, real risk-free rates of return, yield curve structure, credit-risk premiums, and equity risk premiums. Because all of our pension plans were frozen beginning in fiscal 2021, the rate of compensation increase is not applicable. We used these components as appropriate to develop benchmark estimates for the expected long-term management approach that we employ.</w:t>
      </w:r>
    </w:p>
    <w:p>
      <w:pPr>
        <w:spacing w:after="0" w:line="85"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The pension plans’ approximate weighted-average asset allocation at March 31, 2022 and 2021, and the range of target allocation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396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auto"/>
              </w:rPr>
              <w:t>Range of</w:t>
            </w:r>
          </w:p>
        </w:tc>
        <w:tc>
          <w:tcPr>
            <w:tcW w:w="2600" w:type="dxa"/>
            <w:vAlign w:val="bottom"/>
            <w:gridSpan w:val="3"/>
            <w:shd w:val="clear" w:color="auto" w:fill="004483"/>
          </w:tcPr>
          <w:p>
            <w:pPr>
              <w:ind w:left="420"/>
              <w:spacing w:after="0"/>
              <w:rPr>
                <w:sz w:val="20"/>
                <w:szCs w:val="20"/>
                <w:color w:val="auto"/>
              </w:rPr>
            </w:pPr>
            <w:r>
              <w:rPr>
                <w:rFonts w:ascii="Arial" w:cs="Arial" w:eastAsia="Arial" w:hAnsi="Arial"/>
                <w:sz w:val="13"/>
                <w:szCs w:val="13"/>
                <w:b w:val="1"/>
                <w:bCs w:val="1"/>
                <w:color w:val="FFFFFF"/>
                <w:w w:val="89"/>
              </w:rPr>
              <w:t>Percentage of Plan Assets at March 31,</w:t>
            </w:r>
          </w:p>
        </w:tc>
        <w:tc>
          <w:tcPr>
            <w:tcW w:w="6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80" w:type="dxa"/>
            <w:vAlign w:val="bottom"/>
          </w:tcPr>
          <w:p>
            <w:pPr>
              <w:spacing w:after="0"/>
              <w:rPr>
                <w:sz w:val="9"/>
                <w:szCs w:val="9"/>
                <w:color w:val="auto"/>
              </w:rPr>
            </w:pPr>
          </w:p>
        </w:tc>
        <w:tc>
          <w:tcPr>
            <w:tcW w:w="3960" w:type="dxa"/>
            <w:vAlign w:val="bottom"/>
            <w:gridSpan w:val="3"/>
            <w:vMerge w:val="continue"/>
          </w:tcPr>
          <w:p>
            <w:pPr>
              <w:spacing w:after="0"/>
              <w:rPr>
                <w:sz w:val="9"/>
                <w:szCs w:val="9"/>
                <w:color w:val="auto"/>
              </w:rPr>
            </w:pPr>
          </w:p>
        </w:tc>
        <w:tc>
          <w:tcPr>
            <w:tcW w:w="1520" w:type="dxa"/>
            <w:vAlign w:val="bottom"/>
            <w:vMerge w:val="restart"/>
          </w:tcPr>
          <w:p>
            <w:pPr>
              <w:jc w:val="right"/>
              <w:ind w:right="185"/>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vMerge w:val="restart"/>
          </w:tcPr>
          <w:p>
            <w:pPr>
              <w:jc w:val="right"/>
              <w:ind w:right="18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004483"/>
            </w:tcBorders>
          </w:tcPr>
          <w:p>
            <w:pPr>
              <w:spacing w:after="0"/>
              <w:rPr>
                <w:sz w:val="15"/>
                <w:szCs w:val="15"/>
                <w:color w:val="auto"/>
              </w:rPr>
            </w:pPr>
          </w:p>
        </w:tc>
        <w:tc>
          <w:tcPr>
            <w:tcW w:w="3960" w:type="dxa"/>
            <w:vAlign w:val="bottom"/>
            <w:tcBorders>
              <w:bottom w:val="single" w:sz="8" w:color="004483"/>
            </w:tcBorders>
            <w:gridSpan w:val="3"/>
          </w:tcPr>
          <w:p>
            <w:pPr>
              <w:jc w:val="right"/>
              <w:ind w:right="160"/>
              <w:spacing w:after="0"/>
              <w:rPr>
                <w:sz w:val="20"/>
                <w:szCs w:val="20"/>
                <w:color w:val="auto"/>
              </w:rPr>
            </w:pPr>
            <w:r>
              <w:rPr>
                <w:rFonts w:ascii="Arial" w:cs="Arial" w:eastAsia="Arial" w:hAnsi="Arial"/>
                <w:sz w:val="13"/>
                <w:szCs w:val="13"/>
                <w:b w:val="1"/>
                <w:bCs w:val="1"/>
                <w:color w:val="auto"/>
              </w:rPr>
              <w:t>Target Allocation</w:t>
            </w:r>
          </w:p>
        </w:tc>
        <w:tc>
          <w:tcPr>
            <w:tcW w:w="1520" w:type="dxa"/>
            <w:vAlign w:val="bottom"/>
            <w:tcBorders>
              <w:bottom w:val="single" w:sz="8" w:color="004483"/>
            </w:tcBorders>
            <w:vMerge w:val="continue"/>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92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Asset Category -</w:t>
            </w:r>
          </w:p>
        </w:tc>
        <w:tc>
          <w:tcPr>
            <w:tcW w:w="3360" w:type="dxa"/>
            <w:vAlign w:val="bottom"/>
            <w:tcBorders>
              <w:bottom w:val="single" w:sz="8" w:color="A6A6A6"/>
            </w:tcBorders>
          </w:tcPr>
          <w:p>
            <w:pPr>
              <w:spacing w:after="0"/>
              <w:rPr>
                <w:sz w:val="16"/>
                <w:szCs w:val="16"/>
                <w:color w:val="auto"/>
              </w:rPr>
            </w:pPr>
          </w:p>
        </w:tc>
        <w:tc>
          <w:tcPr>
            <w:tcW w:w="46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520" w:type="dxa"/>
            <w:vAlign w:val="bottom"/>
            <w:tcBorders>
              <w:bottom w:val="single" w:sz="8" w:color="A6A6A6"/>
            </w:tcBorders>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920" w:type="dxa"/>
            <w:vAlign w:val="bottom"/>
            <w:tcBorders>
              <w:bottom w:val="single" w:sz="8" w:color="A6A6A6"/>
            </w:tcBorders>
          </w:tcPr>
          <w:p>
            <w:pPr>
              <w:spacing w:after="0"/>
              <w:rPr>
                <w:sz w:val="16"/>
                <w:szCs w:val="16"/>
                <w:color w:val="auto"/>
              </w:rPr>
            </w:pPr>
          </w:p>
        </w:tc>
        <w:tc>
          <w:tcPr>
            <w:tcW w:w="600" w:type="dxa"/>
            <w:vAlign w:val="bottom"/>
            <w:tcBorders>
              <w:bottom w:val="single" w:sz="8" w:color="A6A6A6"/>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Equity Securities</w:t>
            </w:r>
          </w:p>
        </w:tc>
        <w:tc>
          <w:tcPr>
            <w:tcW w:w="3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w:t>
            </w:r>
          </w:p>
        </w:tc>
        <w:tc>
          <w:tcPr>
            <w:tcW w:w="600" w:type="dxa"/>
            <w:vAlign w:val="bottom"/>
            <w:tcBorders>
              <w:bottom w:val="single" w:sz="8" w:color="A6A6A6"/>
            </w:tcBorders>
            <w:gridSpan w:val="2"/>
          </w:tcPr>
          <w:p>
            <w:pPr>
              <w:jc w:val="right"/>
              <w:ind w:right="160"/>
              <w:spacing w:after="0" w:line="183" w:lineRule="exact"/>
              <w:rPr>
                <w:sz w:val="20"/>
                <w:szCs w:val="20"/>
                <w:color w:val="auto"/>
              </w:rPr>
            </w:pPr>
            <w:r>
              <w:rPr>
                <w:rFonts w:ascii="Arial" w:cs="Arial" w:eastAsia="Arial" w:hAnsi="Arial"/>
                <w:sz w:val="16"/>
                <w:szCs w:val="16"/>
                <w:color w:val="auto"/>
                <w:w w:val="92"/>
              </w:rPr>
              <w:t>– 20%</w:t>
            </w:r>
          </w:p>
        </w:tc>
        <w:tc>
          <w:tcPr>
            <w:tcW w:w="1520" w:type="dxa"/>
            <w:vAlign w:val="bottom"/>
            <w:tcBorders>
              <w:bottom w:val="single" w:sz="8" w:color="A6A6A6"/>
            </w:tcBorders>
          </w:tcPr>
          <w:p>
            <w:pPr>
              <w:jc w:val="right"/>
              <w:ind w:right="25"/>
              <w:spacing w:after="0" w:line="183" w:lineRule="exact"/>
              <w:rPr>
                <w:sz w:val="20"/>
                <w:szCs w:val="20"/>
                <w:color w:val="auto"/>
              </w:rPr>
            </w:pPr>
            <w:r>
              <w:rPr>
                <w:rFonts w:ascii="Arial" w:cs="Arial" w:eastAsia="Arial" w:hAnsi="Arial"/>
                <w:sz w:val="16"/>
                <w:szCs w:val="16"/>
                <w:color w:val="auto"/>
              </w:rPr>
              <w:t>9 %</w:t>
            </w:r>
          </w:p>
        </w:tc>
        <w:tc>
          <w:tcPr>
            <w:tcW w:w="1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183"/>
        </w:trPr>
        <w:tc>
          <w:tcPr>
            <w:tcW w:w="40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Debt Securities</w:t>
            </w:r>
          </w:p>
        </w:tc>
        <w:tc>
          <w:tcPr>
            <w:tcW w:w="33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w:t>
            </w:r>
          </w:p>
        </w:tc>
        <w:tc>
          <w:tcPr>
            <w:tcW w:w="600" w:type="dxa"/>
            <w:vAlign w:val="bottom"/>
            <w:tcBorders>
              <w:bottom w:val="single" w:sz="8" w:color="A6A6A6"/>
            </w:tcBorders>
            <w:gridSpan w:val="2"/>
          </w:tcPr>
          <w:p>
            <w:pPr>
              <w:jc w:val="right"/>
              <w:ind w:right="160"/>
              <w:spacing w:after="0" w:line="183" w:lineRule="exact"/>
              <w:rPr>
                <w:sz w:val="20"/>
                <w:szCs w:val="20"/>
                <w:color w:val="auto"/>
              </w:rPr>
            </w:pPr>
            <w:r>
              <w:rPr>
                <w:rFonts w:ascii="Arial" w:cs="Arial" w:eastAsia="Arial" w:hAnsi="Arial"/>
                <w:sz w:val="16"/>
                <w:szCs w:val="16"/>
                <w:color w:val="auto"/>
                <w:w w:val="92"/>
              </w:rPr>
              <w:t>– 90%</w:t>
            </w:r>
          </w:p>
        </w:tc>
        <w:tc>
          <w:tcPr>
            <w:tcW w:w="1520" w:type="dxa"/>
            <w:vAlign w:val="bottom"/>
            <w:tcBorders>
              <w:bottom w:val="single" w:sz="8" w:color="A6A6A6"/>
            </w:tcBorders>
          </w:tcPr>
          <w:p>
            <w:pPr>
              <w:jc w:val="right"/>
              <w:ind w:right="25"/>
              <w:spacing w:after="0" w:line="183" w:lineRule="exact"/>
              <w:rPr>
                <w:sz w:val="20"/>
                <w:szCs w:val="20"/>
                <w:color w:val="auto"/>
              </w:rPr>
            </w:pPr>
            <w:r>
              <w:rPr>
                <w:rFonts w:ascii="Arial" w:cs="Arial" w:eastAsia="Arial" w:hAnsi="Arial"/>
                <w:sz w:val="16"/>
                <w:szCs w:val="16"/>
                <w:color w:val="auto"/>
              </w:rPr>
              <w:t>90 %</w:t>
            </w:r>
          </w:p>
        </w:tc>
        <w:tc>
          <w:tcPr>
            <w:tcW w:w="1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600" w:type="dxa"/>
            <w:vAlign w:val="bottom"/>
            <w:tcBorders>
              <w:bottom w:val="single" w:sz="8" w:color="A6A6A6"/>
            </w:tcBorders>
          </w:tcPr>
          <w:p>
            <w:pPr>
              <w:jc w:val="right"/>
              <w:ind w:right="23"/>
              <w:spacing w:after="0" w:line="183" w:lineRule="exact"/>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Other</w:t>
            </w: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0</w:t>
            </w:r>
          </w:p>
        </w:tc>
        <w:tc>
          <w:tcPr>
            <w:tcW w:w="6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w w:val="92"/>
              </w:rPr>
              <w:t>– 20%</w:t>
            </w:r>
          </w:p>
        </w:tc>
        <w:tc>
          <w:tcPr>
            <w:tcW w:w="1520" w:type="dxa"/>
            <w:vAlign w:val="bottom"/>
          </w:tcPr>
          <w:p>
            <w:pPr>
              <w:jc w:val="right"/>
              <w:ind w:right="25"/>
              <w:spacing w:after="0" w:line="183" w:lineRule="exact"/>
              <w:rPr>
                <w:sz w:val="20"/>
                <w:szCs w:val="20"/>
                <w:color w:val="auto"/>
              </w:rPr>
            </w:pPr>
            <w:r>
              <w:rPr>
                <w:rFonts w:ascii="Arial" w:cs="Arial" w:eastAsia="Arial" w:hAnsi="Arial"/>
                <w:sz w:val="16"/>
                <w:szCs w:val="16"/>
                <w:color w:val="auto"/>
              </w:rPr>
              <w:t>1 %</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ind w:right="23"/>
              <w:spacing w:after="0" w:line="183" w:lineRule="exact"/>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
        </w:trPr>
        <w:tc>
          <w:tcPr>
            <w:tcW w:w="4080" w:type="dxa"/>
            <w:vAlign w:val="bottom"/>
            <w:tcBorders>
              <w:bottom w:val="single" w:sz="8" w:color="A6A6A6"/>
            </w:tcBorders>
          </w:tcPr>
          <w:p>
            <w:pPr>
              <w:spacing w:after="0"/>
              <w:rPr>
                <w:sz w:val="2"/>
                <w:szCs w:val="2"/>
                <w:color w:val="auto"/>
              </w:rPr>
            </w:pPr>
          </w:p>
        </w:tc>
        <w:tc>
          <w:tcPr>
            <w:tcW w:w="3360" w:type="dxa"/>
            <w:vAlign w:val="bottom"/>
            <w:tcBorders>
              <w:bottom w:val="single" w:sz="8" w:color="A6A6A6"/>
            </w:tcBorders>
          </w:tcPr>
          <w:p>
            <w:pPr>
              <w:spacing w:after="0"/>
              <w:rPr>
                <w:sz w:val="2"/>
                <w:szCs w:val="2"/>
                <w:color w:val="auto"/>
              </w:rPr>
            </w:pPr>
          </w:p>
        </w:tc>
        <w:tc>
          <w:tcPr>
            <w:tcW w:w="460" w:type="dxa"/>
            <w:vAlign w:val="bottom"/>
            <w:tcBorders>
              <w:bottom w:val="single" w:sz="8" w:color="A6A6A6"/>
            </w:tcBorders>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1520" w:type="dxa"/>
            <w:vAlign w:val="bottom"/>
            <w:tcBorders>
              <w:bottom w:val="single" w:sz="8" w:color="004483"/>
            </w:tcBorders>
            <w:shd w:val="clear" w:color="auto" w:fill="004483"/>
          </w:tcPr>
          <w:p>
            <w:pPr>
              <w:spacing w:after="0"/>
              <w:rPr>
                <w:sz w:val="2"/>
                <w:szCs w:val="2"/>
                <w:color w:val="auto"/>
              </w:rPr>
            </w:pPr>
          </w:p>
        </w:tc>
        <w:tc>
          <w:tcPr>
            <w:tcW w:w="160" w:type="dxa"/>
            <w:vAlign w:val="bottom"/>
            <w:tcBorders>
              <w:bottom w:val="single" w:sz="8" w:color="A3A3A3"/>
            </w:tcBorders>
          </w:tcPr>
          <w:p>
            <w:pPr>
              <w:spacing w:after="0"/>
              <w:rPr>
                <w:sz w:val="2"/>
                <w:szCs w:val="2"/>
                <w:color w:val="auto"/>
              </w:rPr>
            </w:pPr>
          </w:p>
        </w:tc>
        <w:tc>
          <w:tcPr>
            <w:tcW w:w="920" w:type="dxa"/>
            <w:vAlign w:val="bottom"/>
            <w:tcBorders>
              <w:bottom w:val="single" w:sz="8" w:color="004483"/>
            </w:tcBorders>
            <w:shd w:val="clear" w:color="auto" w:fill="004483"/>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8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Borders>
              <w:bottom w:val="single" w:sz="8" w:color="004483"/>
            </w:tcBorders>
          </w:tcPr>
          <w:p>
            <w:pPr>
              <w:jc w:val="right"/>
              <w:ind w:right="5"/>
              <w:spacing w:after="0" w:line="183" w:lineRule="exact"/>
              <w:rPr>
                <w:sz w:val="20"/>
                <w:szCs w:val="20"/>
                <w:color w:val="auto"/>
              </w:rPr>
            </w:pPr>
            <w:r>
              <w:rPr>
                <w:rFonts w:ascii="Arial" w:cs="Arial" w:eastAsia="Arial" w:hAnsi="Arial"/>
                <w:sz w:val="16"/>
                <w:szCs w:val="16"/>
                <w:b w:val="1"/>
                <w:bCs w:val="1"/>
                <w:color w:val="auto"/>
              </w:rPr>
              <w:t>100 %</w:t>
            </w:r>
          </w:p>
        </w:tc>
        <w:tc>
          <w:tcPr>
            <w:tcW w:w="160" w:type="dxa"/>
            <w:vAlign w:val="bottom"/>
          </w:tcPr>
          <w:p>
            <w:pPr>
              <w:spacing w:after="0"/>
              <w:rPr>
                <w:sz w:val="15"/>
                <w:szCs w:val="15"/>
                <w:color w:val="auto"/>
              </w:rPr>
            </w:pPr>
          </w:p>
        </w:tc>
        <w:tc>
          <w:tcPr>
            <w:tcW w:w="920" w:type="dxa"/>
            <w:vAlign w:val="bottom"/>
            <w:tcBorders>
              <w:bottom w:val="single" w:sz="8" w:color="004483"/>
            </w:tcBorders>
          </w:tcPr>
          <w:p>
            <w:pPr>
              <w:spacing w:after="0"/>
              <w:rPr>
                <w:sz w:val="15"/>
                <w:szCs w:val="15"/>
                <w:color w:val="auto"/>
              </w:rPr>
            </w:pPr>
          </w:p>
        </w:tc>
        <w:tc>
          <w:tcPr>
            <w:tcW w:w="600" w:type="dxa"/>
            <w:vAlign w:val="bottom"/>
            <w:tcBorders>
              <w:bottom w:val="single" w:sz="8" w:color="004483"/>
            </w:tcBorders>
          </w:tcPr>
          <w:p>
            <w:pPr>
              <w:jc w:val="right"/>
              <w:ind w:right="3"/>
              <w:spacing w:after="0" w:line="183" w:lineRule="exact"/>
              <w:rPr>
                <w:sz w:val="20"/>
                <w:szCs w:val="20"/>
                <w:color w:val="auto"/>
              </w:rPr>
            </w:pPr>
            <w:r>
              <w:rPr>
                <w:rFonts w:ascii="Arial" w:cs="Arial" w:eastAsia="Arial" w:hAnsi="Arial"/>
                <w:sz w:val="16"/>
                <w:szCs w:val="16"/>
                <w:b w:val="1"/>
                <w:bCs w:val="1"/>
                <w:color w:val="auto"/>
              </w:rPr>
              <w:t>100 %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00448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pension investment strategies have been developed as part of a comprehensive management process that considers the interaction between the assets and liabilities within each plan. These strategies consider not only the expected risks and returns on plan assets, but also the detailed actuarial projections of liabilities as well as plan-level objectives, such as projected contributions, expense, and funded status.</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principal pension investment strategies include asset allocation and active asset management. The range of target asset allocations has been determined given the current funded status of the plan. Each asset class is actively managed by one or more external money managers with the objective of</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1" w:name="page92"/>
    <w:bookmarkEnd w:id="91"/>
    <w:p>
      <w:pPr>
        <w:ind w:right="420"/>
        <w:spacing w:after="0" w:line="412" w:lineRule="auto"/>
        <w:rPr>
          <w:sz w:val="20"/>
          <w:szCs w:val="20"/>
          <w:color w:val="auto"/>
        </w:rPr>
      </w:pPr>
      <w:r>
        <w:rPr>
          <w:rFonts w:ascii="Arial" w:cs="Arial" w:eastAsia="Arial" w:hAnsi="Arial"/>
          <w:sz w:val="18"/>
          <w:szCs w:val="18"/>
          <w:color w:val="auto"/>
        </w:rPr>
        <w:t>generating returns, net of management fees, that exceed market-based benchmarks. None of the plans hold any Company stock. Based on our current actuarial estimates, we do not anticipate making any contributions to our defined benefit plans for fiscal year 2023. The fair values of our defined benefit plans’ consolidated assets by category as of March 31, 2022 and 2021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2060" w:type="dxa"/>
            <w:vAlign w:val="bottom"/>
            <w:gridSpan w:val="3"/>
            <w:shd w:val="clear" w:color="auto" w:fill="004483"/>
          </w:tcPr>
          <w:p>
            <w:pPr>
              <w:jc w:val="right"/>
              <w:ind w:right="579"/>
              <w:spacing w:after="0"/>
              <w:rPr>
                <w:sz w:val="20"/>
                <w:szCs w:val="20"/>
                <w:color w:val="auto"/>
              </w:rPr>
            </w:pPr>
            <w:r>
              <w:rPr>
                <w:rFonts w:ascii="Arial" w:cs="Arial" w:eastAsia="Arial" w:hAnsi="Arial"/>
                <w:sz w:val="13"/>
                <w:szCs w:val="13"/>
                <w:b w:val="1"/>
                <w:bCs w:val="1"/>
                <w:color w:val="FFFFFF"/>
              </w:rPr>
              <w:t>March 31,</w:t>
            </w:r>
          </w:p>
        </w:tc>
        <w:tc>
          <w:tcPr>
            <w:tcW w:w="940" w:type="dxa"/>
            <w:vAlign w:val="bottom"/>
            <w:shd w:val="clear" w:color="auto" w:fill="004483"/>
          </w:tcPr>
          <w:p>
            <w:pPr>
              <w:spacing w:after="0"/>
              <w:rPr>
                <w:sz w:val="13"/>
                <w:szCs w:val="13"/>
                <w:color w:val="auto"/>
              </w:rPr>
            </w:pPr>
          </w:p>
        </w:tc>
      </w:tr>
      <w:tr>
        <w:trPr>
          <w:trHeight w:val="134"/>
        </w:trPr>
        <w:tc>
          <w:tcPr>
            <w:tcW w:w="7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jc w:val="right"/>
              <w:ind w:right="46"/>
              <w:spacing w:after="0" w:line="134" w:lineRule="exact"/>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jc w:val="right"/>
              <w:ind w:right="42"/>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4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64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3"/>
          </w:tcPr>
          <w:p>
            <w:pPr>
              <w:jc w:val="right"/>
              <w:ind w:right="299"/>
              <w:spacing w:after="0"/>
              <w:rPr>
                <w:sz w:val="20"/>
                <w:szCs w:val="20"/>
                <w:color w:val="auto"/>
              </w:rPr>
            </w:pPr>
            <w:r>
              <w:rPr>
                <w:rFonts w:ascii="Arial" w:cs="Arial" w:eastAsia="Arial" w:hAnsi="Arial"/>
                <w:sz w:val="13"/>
                <w:szCs w:val="13"/>
                <w:color w:val="auto"/>
              </w:rPr>
              <w:t>(dollars in thousands)</w:t>
            </w:r>
          </w:p>
        </w:tc>
        <w:tc>
          <w:tcPr>
            <w:tcW w:w="94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640" w:type="dxa"/>
            <w:vAlign w:val="bottom"/>
            <w:tcBorders>
              <w:bottom w:val="single" w:sz="8" w:color="A6A6A6"/>
            </w:tcBorders>
          </w:tcPr>
          <w:p>
            <w:pPr>
              <w:jc w:val="right"/>
              <w:ind w:right="4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tcPr>
          <w:p>
            <w:pPr>
              <w:jc w:val="right"/>
              <w:ind w:right="46"/>
              <w:spacing w:after="0"/>
              <w:rPr>
                <w:sz w:val="20"/>
                <w:szCs w:val="20"/>
                <w:color w:val="auto"/>
              </w:rPr>
            </w:pPr>
            <w:r>
              <w:rPr>
                <w:rFonts w:ascii="Arial" w:cs="Arial" w:eastAsia="Arial" w:hAnsi="Arial"/>
                <w:sz w:val="16"/>
                <w:szCs w:val="16"/>
                <w:color w:val="auto"/>
              </w:rPr>
              <w:t>3,433</w:t>
            </w:r>
          </w:p>
        </w:tc>
        <w:tc>
          <w:tcPr>
            <w:tcW w:w="960" w:type="dxa"/>
            <w:vAlign w:val="bottom"/>
            <w:tcBorders>
              <w:bottom w:val="single" w:sz="8" w:color="A6A6A6"/>
            </w:tcBorders>
            <w:gridSpan w:val="2"/>
          </w:tcPr>
          <w:p>
            <w:pPr>
              <w:jc w:val="right"/>
              <w:ind w:right="5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7,277</w:t>
            </w:r>
          </w:p>
        </w:tc>
      </w:tr>
      <w:tr>
        <w:trPr>
          <w:trHeight w:val="182"/>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b w:val="1"/>
                <w:bCs w:val="1"/>
                <w:color w:val="004483"/>
              </w:rPr>
              <w:t>Fixed Income Securities</w:t>
            </w:r>
          </w:p>
        </w:tc>
        <w:tc>
          <w:tcPr>
            <w:tcW w:w="64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32,583</w:t>
            </w:r>
          </w:p>
        </w:tc>
        <w:tc>
          <w:tcPr>
            <w:tcW w:w="18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30,010</w:t>
            </w: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b w:val="1"/>
                <w:bCs w:val="1"/>
                <w:color w:val="004483"/>
              </w:rPr>
              <w:t>Real Estate Funds</w:t>
            </w:r>
          </w:p>
        </w:tc>
        <w:tc>
          <w:tcPr>
            <w:tcW w:w="64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115</w:t>
            </w:r>
          </w:p>
        </w:tc>
        <w:tc>
          <w:tcPr>
            <w:tcW w:w="18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160</w:t>
            </w:r>
          </w:p>
        </w:tc>
      </w:tr>
      <w:tr>
        <w:trPr>
          <w:trHeight w:val="183"/>
        </w:trPr>
        <w:tc>
          <w:tcPr>
            <w:tcW w:w="76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004483"/>
              </w:rPr>
              <w:t>Cash Equivalents</w:t>
            </w:r>
          </w:p>
        </w:tc>
        <w:tc>
          <w:tcPr>
            <w:tcW w:w="640" w:type="dxa"/>
            <w:vAlign w:val="bottom"/>
          </w:tcPr>
          <w:p>
            <w:pPr>
              <w:spacing w:after="0"/>
              <w:rPr>
                <w:sz w:val="15"/>
                <w:szCs w:val="15"/>
                <w:color w:val="auto"/>
              </w:rPr>
            </w:pPr>
          </w:p>
        </w:tc>
        <w:tc>
          <w:tcPr>
            <w:tcW w:w="1100" w:type="dxa"/>
            <w:vAlign w:val="bottom"/>
          </w:tcPr>
          <w:p>
            <w:pPr>
              <w:jc w:val="right"/>
              <w:ind w:right="46"/>
              <w:spacing w:after="0" w:line="183" w:lineRule="exact"/>
              <w:rPr>
                <w:sz w:val="20"/>
                <w:szCs w:val="20"/>
                <w:color w:val="auto"/>
              </w:rPr>
            </w:pPr>
            <w:r>
              <w:rPr>
                <w:rFonts w:ascii="Arial" w:cs="Arial" w:eastAsia="Arial" w:hAnsi="Arial"/>
                <w:sz w:val="16"/>
                <w:szCs w:val="16"/>
                <w:color w:val="auto"/>
              </w:rPr>
              <w:t>182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jc w:val="right"/>
              <w:ind w:right="42"/>
              <w:spacing w:after="0" w:line="183" w:lineRule="exact"/>
              <w:rPr>
                <w:sz w:val="20"/>
                <w:szCs w:val="20"/>
                <w:color w:val="auto"/>
              </w:rPr>
            </w:pPr>
            <w:r>
              <w:rPr>
                <w:rFonts w:ascii="Arial" w:cs="Arial" w:eastAsia="Arial" w:hAnsi="Arial"/>
                <w:sz w:val="16"/>
                <w:szCs w:val="16"/>
                <w:color w:val="auto"/>
              </w:rPr>
              <w:t>460</w:t>
            </w:r>
          </w:p>
        </w:tc>
      </w:tr>
      <w:tr>
        <w:trPr>
          <w:trHeight w:val="27"/>
        </w:trPr>
        <w:tc>
          <w:tcPr>
            <w:tcW w:w="7420" w:type="dxa"/>
            <w:vAlign w:val="bottom"/>
            <w:tcBorders>
              <w:bottom w:val="single" w:sz="8" w:color="A6A6A6"/>
            </w:tcBorders>
          </w:tcPr>
          <w:p>
            <w:pPr>
              <w:spacing w:after="0"/>
              <w:rPr>
                <w:sz w:val="2"/>
                <w:szCs w:val="2"/>
                <w:color w:val="auto"/>
              </w:rPr>
            </w:pPr>
          </w:p>
        </w:tc>
        <w:tc>
          <w:tcPr>
            <w:tcW w:w="180" w:type="dxa"/>
            <w:vAlign w:val="bottom"/>
            <w:tcBorders>
              <w:bottom w:val="single" w:sz="8" w:color="A3A3A3"/>
            </w:tcBorders>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80" w:type="dxa"/>
            <w:vAlign w:val="bottom"/>
            <w:tcBorders>
              <w:bottom w:val="single" w:sz="8" w:color="A3A3A3"/>
            </w:tcBorders>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r>
      <w:tr>
        <w:trPr>
          <w:trHeight w:val="183"/>
        </w:trPr>
        <w:tc>
          <w:tcPr>
            <w:tcW w:w="742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5"/>
                <w:szCs w:val="15"/>
                <w:color w:val="auto"/>
              </w:rPr>
            </w:pPr>
          </w:p>
        </w:tc>
        <w:tc>
          <w:tcPr>
            <w:tcW w:w="640" w:type="dxa"/>
            <w:vAlign w:val="bottom"/>
            <w:tcBorders>
              <w:bottom w:val="single" w:sz="8" w:color="004483"/>
            </w:tcBorders>
          </w:tcPr>
          <w:p>
            <w:pPr>
              <w:jc w:val="right"/>
              <w:ind w:right="459"/>
              <w:spacing w:after="0" w:line="183" w:lineRule="exact"/>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ind w:right="46"/>
              <w:spacing w:after="0" w:line="183" w:lineRule="exact"/>
              <w:rPr>
                <w:sz w:val="20"/>
                <w:szCs w:val="20"/>
                <w:color w:val="auto"/>
              </w:rPr>
            </w:pPr>
            <w:r>
              <w:rPr>
                <w:rFonts w:ascii="Arial" w:cs="Arial" w:eastAsia="Arial" w:hAnsi="Arial"/>
                <w:sz w:val="16"/>
                <w:szCs w:val="16"/>
                <w:b w:val="1"/>
                <w:bCs w:val="1"/>
                <w:color w:val="auto"/>
              </w:rPr>
              <w:t>36,313</w:t>
            </w:r>
          </w:p>
        </w:tc>
        <w:tc>
          <w:tcPr>
            <w:tcW w:w="180" w:type="dxa"/>
            <w:vAlign w:val="bottom"/>
          </w:tcPr>
          <w:p>
            <w:pPr>
              <w:spacing w:after="0"/>
              <w:rPr>
                <w:sz w:val="15"/>
                <w:szCs w:val="15"/>
                <w:color w:val="auto"/>
              </w:rPr>
            </w:pPr>
          </w:p>
        </w:tc>
        <w:tc>
          <w:tcPr>
            <w:tcW w:w="780" w:type="dxa"/>
            <w:vAlign w:val="bottom"/>
            <w:tcBorders>
              <w:bottom w:val="single" w:sz="8" w:color="004483"/>
            </w:tcBorders>
          </w:tcPr>
          <w:p>
            <w:pPr>
              <w:jc w:val="right"/>
              <w:ind w:right="599"/>
              <w:spacing w:after="0" w:line="183" w:lineRule="exact"/>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37,907</w:t>
            </w:r>
          </w:p>
        </w:tc>
      </w:tr>
      <w:tr>
        <w:trPr>
          <w:trHeight w:val="20"/>
        </w:trPr>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r>
    </w:tbl>
    <w:p>
      <w:pPr>
        <w:spacing w:after="0" w:line="121"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color w:val="auto"/>
        </w:rPr>
        <w:t>The fair values of our defined benefit plans’ consolidated assets were determined using the fair value hierarchy of inputs described in Footnote (A) to the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2022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47"/>
              <w:spacing w:after="0"/>
              <w:rPr>
                <w:sz w:val="20"/>
                <w:szCs w:val="20"/>
                <w:color w:val="auto"/>
              </w:rPr>
            </w:pPr>
            <w:r>
              <w:rPr>
                <w:rFonts w:ascii="Arial" w:cs="Arial" w:eastAsia="Arial" w:hAnsi="Arial"/>
                <w:sz w:val="13"/>
                <w:szCs w:val="13"/>
                <w:b w:val="1"/>
                <w:bCs w:val="1"/>
                <w:color w:val="auto"/>
                <w:w w:val="94"/>
              </w:rPr>
              <w:t>Quoted Prices in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27"/>
              <w:spacing w:after="0"/>
              <w:rPr>
                <w:sz w:val="20"/>
                <w:szCs w:val="20"/>
                <w:color w:val="auto"/>
              </w:rPr>
            </w:pPr>
            <w:r>
              <w:rPr>
                <w:rFonts w:ascii="Arial" w:cs="Arial" w:eastAsia="Arial" w:hAnsi="Arial"/>
                <w:sz w:val="13"/>
                <w:szCs w:val="13"/>
                <w:b w:val="1"/>
                <w:bCs w:val="1"/>
                <w:color w:val="auto"/>
                <w:w w:val="95"/>
              </w:rPr>
              <w:t>Significant Other</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ind w:right="46"/>
              <w:spacing w:after="0"/>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47"/>
              <w:spacing w:after="0" w:line="122" w:lineRule="exact"/>
              <w:rPr>
                <w:sz w:val="20"/>
                <w:szCs w:val="20"/>
                <w:color w:val="auto"/>
              </w:rPr>
            </w:pPr>
            <w:r>
              <w:rPr>
                <w:rFonts w:ascii="Arial" w:cs="Arial" w:eastAsia="Arial" w:hAnsi="Arial"/>
                <w:sz w:val="13"/>
                <w:szCs w:val="13"/>
                <w:b w:val="1"/>
                <w:bCs w:val="1"/>
                <w:color w:val="auto"/>
              </w:rPr>
              <w:t>Active Markets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47"/>
              <w:spacing w:after="0" w:line="122" w:lineRule="exact"/>
              <w:rPr>
                <w:sz w:val="20"/>
                <w:szCs w:val="20"/>
                <w:color w:val="auto"/>
              </w:rPr>
            </w:pPr>
            <w:r>
              <w:rPr>
                <w:rFonts w:ascii="Arial" w:cs="Arial" w:eastAsia="Arial" w:hAnsi="Arial"/>
                <w:sz w:val="13"/>
                <w:szCs w:val="13"/>
                <w:b w:val="1"/>
                <w:bCs w:val="1"/>
                <w:color w:val="auto"/>
              </w:rPr>
              <w:t>for Identical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right"/>
              <w:ind w:right="27"/>
              <w:spacing w:after="0" w:line="122" w:lineRule="exact"/>
              <w:rPr>
                <w:sz w:val="20"/>
                <w:szCs w:val="20"/>
                <w:color w:val="auto"/>
              </w:rPr>
            </w:pPr>
            <w:r>
              <w:rPr>
                <w:rFonts w:ascii="Arial" w:cs="Arial" w:eastAsia="Arial" w:hAnsi="Arial"/>
                <w:sz w:val="13"/>
                <w:szCs w:val="13"/>
                <w:b w:val="1"/>
                <w:bCs w:val="1"/>
                <w:color w:val="auto"/>
              </w:rPr>
              <w:t>Observable</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46"/>
              <w:spacing w:after="0" w:line="122" w:lineRule="exact"/>
              <w:rPr>
                <w:sz w:val="20"/>
                <w:szCs w:val="20"/>
                <w:color w:val="auto"/>
              </w:rPr>
            </w:pPr>
            <w:r>
              <w:rPr>
                <w:rFonts w:ascii="Arial" w:cs="Arial" w:eastAsia="Arial" w:hAnsi="Arial"/>
                <w:sz w:val="13"/>
                <w:szCs w:val="13"/>
                <w:b w:val="1"/>
                <w:bCs w:val="1"/>
                <w:color w:val="auto"/>
              </w:rPr>
              <w:t>Unobservable</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5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Categories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7"/>
              <w:spacing w:after="0" w:line="148" w:lineRule="exact"/>
              <w:rPr>
                <w:sz w:val="20"/>
                <w:szCs w:val="20"/>
                <w:color w:val="auto"/>
              </w:rPr>
            </w:pPr>
            <w:r>
              <w:rPr>
                <w:rFonts w:ascii="Arial" w:cs="Arial" w:eastAsia="Arial" w:hAnsi="Arial"/>
                <w:sz w:val="13"/>
                <w:szCs w:val="13"/>
                <w:b w:val="1"/>
                <w:bCs w:val="1"/>
                <w:color w:val="auto"/>
                <w:w w:val="98"/>
              </w:rPr>
              <w:t>Assets (Level 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27"/>
              <w:spacing w:after="0" w:line="148" w:lineRule="exact"/>
              <w:rPr>
                <w:sz w:val="20"/>
                <w:szCs w:val="20"/>
                <w:color w:val="auto"/>
              </w:rPr>
            </w:pPr>
            <w:r>
              <w:rPr>
                <w:rFonts w:ascii="Arial" w:cs="Arial" w:eastAsia="Arial" w:hAnsi="Arial"/>
                <w:sz w:val="13"/>
                <w:szCs w:val="13"/>
                <w:b w:val="1"/>
                <w:bCs w:val="1"/>
                <w:color w:val="auto"/>
              </w:rPr>
              <w:t>Inputs (Level 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46"/>
              <w:spacing w:after="0" w:line="148" w:lineRule="exact"/>
              <w:rPr>
                <w:sz w:val="20"/>
                <w:szCs w:val="20"/>
                <w:color w:val="auto"/>
              </w:rPr>
            </w:pPr>
            <w:r>
              <w:rPr>
                <w:rFonts w:ascii="Arial" w:cs="Arial" w:eastAsia="Arial" w:hAnsi="Arial"/>
                <w:sz w:val="13"/>
                <w:szCs w:val="13"/>
                <w:b w:val="1"/>
                <w:bCs w:val="1"/>
                <w:color w:val="auto"/>
                <w:w w:val="98"/>
              </w:rPr>
              <w:t>Inputs (Level 3)</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004483"/>
            </w:tcBorders>
            <w:vMerge w:val="continue"/>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2540" w:type="dxa"/>
            <w:vAlign w:val="bottom"/>
            <w:tcBorders>
              <w:bottom w:val="single" w:sz="8" w:color="004483"/>
            </w:tcBorders>
            <w:gridSpan w:val="4"/>
          </w:tcPr>
          <w:p>
            <w:pPr>
              <w:jc w:val="right"/>
              <w:ind w:right="806"/>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3,433</w:t>
            </w: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3,433</w:t>
            </w:r>
          </w:p>
        </w:tc>
        <w:tc>
          <w:tcPr>
            <w:tcW w:w="0" w:type="dxa"/>
            <w:vAlign w:val="bottom"/>
          </w:tcPr>
          <w:p>
            <w:pPr>
              <w:spacing w:after="0"/>
              <w:rPr>
                <w:sz w:val="1"/>
                <w:szCs w:val="1"/>
                <w:color w:val="auto"/>
              </w:rPr>
            </w:pPr>
          </w:p>
        </w:tc>
      </w:tr>
      <w:tr>
        <w:trPr>
          <w:trHeight w:val="183"/>
        </w:trPr>
        <w:tc>
          <w:tcPr>
            <w:tcW w:w="54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Fixed Income Securities</w:t>
            </w:r>
          </w:p>
        </w:tc>
        <w:tc>
          <w:tcPr>
            <w:tcW w:w="140" w:type="dxa"/>
            <w:vAlign w:val="bottom"/>
            <w:tcBorders>
              <w:top w:val="single" w:sz="8" w:color="A3A3A3"/>
              <w:bottom w:val="single" w:sz="8" w:color="A3A3A3"/>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ind w:right="47"/>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3A3A3"/>
              <w:bottom w:val="single" w:sz="8" w:color="A3A3A3"/>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32,583</w:t>
            </w:r>
          </w:p>
        </w:tc>
        <w:tc>
          <w:tcPr>
            <w:tcW w:w="140" w:type="dxa"/>
            <w:vAlign w:val="bottom"/>
            <w:tcBorders>
              <w:top w:val="single" w:sz="8" w:color="A3A3A3"/>
              <w:bottom w:val="single" w:sz="8" w:color="A3A3A3"/>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1080" w:type="dxa"/>
            <w:vAlign w:val="bottom"/>
            <w:tcBorders>
              <w:top w:val="single" w:sz="8" w:color="A6A6A6"/>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3A3A3"/>
              <w:bottom w:val="single" w:sz="8" w:color="A3A3A3"/>
            </w:tcBorders>
          </w:tcPr>
          <w:p>
            <w:pPr>
              <w:spacing w:after="0"/>
              <w:rPr>
                <w:sz w:val="15"/>
                <w:szCs w:val="15"/>
                <w:color w:val="auto"/>
              </w:rPr>
            </w:pPr>
          </w:p>
        </w:tc>
        <w:tc>
          <w:tcPr>
            <w:tcW w:w="42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A6A6A6"/>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32,583</w:t>
            </w:r>
          </w:p>
        </w:tc>
        <w:tc>
          <w:tcPr>
            <w:tcW w:w="0" w:type="dxa"/>
            <w:vAlign w:val="bottom"/>
          </w:tcPr>
          <w:p>
            <w:pPr>
              <w:spacing w:after="0"/>
              <w:rPr>
                <w:sz w:val="1"/>
                <w:szCs w:val="1"/>
                <w:color w:val="auto"/>
              </w:rPr>
            </w:pPr>
          </w:p>
        </w:tc>
      </w:tr>
      <w:tr>
        <w:trPr>
          <w:trHeight w:val="183"/>
        </w:trPr>
        <w:tc>
          <w:tcPr>
            <w:tcW w:w="5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Real Estate Funds</w:t>
            </w:r>
          </w:p>
        </w:tc>
        <w:tc>
          <w:tcPr>
            <w:tcW w:w="140" w:type="dxa"/>
            <w:vAlign w:val="bottom"/>
            <w:tcBorders>
              <w:bottom w:val="single" w:sz="8" w:color="A3A3A3"/>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47"/>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3A3A3"/>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115</w:t>
            </w:r>
          </w:p>
        </w:tc>
        <w:tc>
          <w:tcPr>
            <w:tcW w:w="140" w:type="dxa"/>
            <w:vAlign w:val="bottom"/>
            <w:tcBorders>
              <w:bottom w:val="single" w:sz="8" w:color="A3A3A3"/>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3A3A3"/>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3"/>
        </w:trPr>
        <w:tc>
          <w:tcPr>
            <w:tcW w:w="54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Cash Equivalents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7"/>
              <w:spacing w:after="0" w:line="183" w:lineRule="exact"/>
              <w:rPr>
                <w:sz w:val="20"/>
                <w:szCs w:val="20"/>
                <w:color w:val="auto"/>
              </w:rPr>
            </w:pPr>
            <w:r>
              <w:rPr>
                <w:rFonts w:ascii="Arial" w:cs="Arial" w:eastAsia="Arial" w:hAnsi="Arial"/>
                <w:sz w:val="16"/>
                <w:szCs w:val="16"/>
                <w:color w:val="auto"/>
              </w:rPr>
              <w:t>182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7"/>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6"/>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42"/>
              <w:spacing w:after="0" w:line="183" w:lineRule="exact"/>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6A6A6"/>
            </w:tcBorders>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47"/>
              <w:spacing w:after="0" w:line="183" w:lineRule="exact"/>
              <w:rPr>
                <w:sz w:val="20"/>
                <w:szCs w:val="20"/>
                <w:color w:val="auto"/>
              </w:rPr>
            </w:pPr>
            <w:r>
              <w:rPr>
                <w:rFonts w:ascii="Arial" w:cs="Arial" w:eastAsia="Arial" w:hAnsi="Arial"/>
                <w:sz w:val="16"/>
                <w:szCs w:val="16"/>
                <w:b w:val="1"/>
                <w:bCs w:val="1"/>
                <w:color w:val="auto"/>
              </w:rPr>
              <w:t>182</w:t>
            </w: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27"/>
              <w:spacing w:after="0" w:line="183" w:lineRule="exact"/>
              <w:rPr>
                <w:sz w:val="20"/>
                <w:szCs w:val="20"/>
                <w:color w:val="auto"/>
              </w:rPr>
            </w:pPr>
            <w:r>
              <w:rPr>
                <w:rFonts w:ascii="Arial" w:cs="Arial" w:eastAsia="Arial" w:hAnsi="Arial"/>
                <w:sz w:val="16"/>
                <w:szCs w:val="16"/>
                <w:b w:val="1"/>
                <w:bCs w:val="1"/>
                <w:color w:val="auto"/>
              </w:rPr>
              <w:t>36,131</w:t>
            </w:r>
          </w:p>
        </w:tc>
        <w:tc>
          <w:tcPr>
            <w:tcW w:w="140" w:type="dxa"/>
            <w:vAlign w:val="bottom"/>
          </w:tcPr>
          <w:p>
            <w:pPr>
              <w:spacing w:after="0"/>
              <w:rPr>
                <w:sz w:val="15"/>
                <w:szCs w:val="15"/>
                <w:color w:val="auto"/>
              </w:rPr>
            </w:pPr>
          </w:p>
        </w:tc>
        <w:tc>
          <w:tcPr>
            <w:tcW w:w="200" w:type="dxa"/>
            <w:vAlign w:val="bottom"/>
            <w:tcBorders>
              <w:bottom w:val="single" w:sz="8" w:color="004483"/>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004483"/>
            </w:tcBorders>
          </w:tcPr>
          <w:p>
            <w:pPr>
              <w:jc w:val="right"/>
              <w:ind w:right="46"/>
              <w:spacing w:after="0" w:line="183"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36,313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as of March 31, 2021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7"/>
              <w:spacing w:after="0"/>
              <w:rPr>
                <w:sz w:val="20"/>
                <w:szCs w:val="20"/>
                <w:color w:val="auto"/>
              </w:rPr>
            </w:pPr>
            <w:r>
              <w:rPr>
                <w:rFonts w:ascii="Arial" w:cs="Arial" w:eastAsia="Arial" w:hAnsi="Arial"/>
                <w:sz w:val="13"/>
                <w:szCs w:val="13"/>
                <w:b w:val="1"/>
                <w:bCs w:val="1"/>
                <w:color w:val="auto"/>
                <w:w w:val="94"/>
              </w:rPr>
              <w:t>Quoted Prices in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27"/>
              <w:spacing w:after="0"/>
              <w:rPr>
                <w:sz w:val="20"/>
                <w:szCs w:val="20"/>
                <w:color w:val="auto"/>
              </w:rPr>
            </w:pPr>
            <w:r>
              <w:rPr>
                <w:rFonts w:ascii="Arial" w:cs="Arial" w:eastAsia="Arial" w:hAnsi="Arial"/>
                <w:sz w:val="13"/>
                <w:szCs w:val="13"/>
                <w:b w:val="1"/>
                <w:bCs w:val="1"/>
                <w:color w:val="auto"/>
                <w:w w:val="95"/>
              </w:rPr>
              <w:t>Significant 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ind w:right="46"/>
              <w:spacing w:after="0"/>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47"/>
              <w:spacing w:after="0" w:line="122" w:lineRule="exact"/>
              <w:rPr>
                <w:sz w:val="20"/>
                <w:szCs w:val="20"/>
                <w:color w:val="auto"/>
              </w:rPr>
            </w:pPr>
            <w:r>
              <w:rPr>
                <w:rFonts w:ascii="Arial" w:cs="Arial" w:eastAsia="Arial" w:hAnsi="Arial"/>
                <w:sz w:val="13"/>
                <w:szCs w:val="13"/>
                <w:b w:val="1"/>
                <w:bCs w:val="1"/>
                <w:color w:val="auto"/>
              </w:rPr>
              <w:t>Active Markets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47"/>
              <w:spacing w:after="0" w:line="122" w:lineRule="exact"/>
              <w:rPr>
                <w:sz w:val="20"/>
                <w:szCs w:val="20"/>
                <w:color w:val="auto"/>
              </w:rPr>
            </w:pPr>
            <w:r>
              <w:rPr>
                <w:rFonts w:ascii="Arial" w:cs="Arial" w:eastAsia="Arial" w:hAnsi="Arial"/>
                <w:sz w:val="13"/>
                <w:szCs w:val="13"/>
                <w:b w:val="1"/>
                <w:bCs w:val="1"/>
                <w:color w:val="auto"/>
              </w:rPr>
              <w:t>for Identical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right"/>
              <w:ind w:right="27"/>
              <w:spacing w:after="0" w:line="122" w:lineRule="exact"/>
              <w:rPr>
                <w:sz w:val="20"/>
                <w:szCs w:val="20"/>
                <w:color w:val="auto"/>
              </w:rPr>
            </w:pPr>
            <w:r>
              <w:rPr>
                <w:rFonts w:ascii="Arial" w:cs="Arial" w:eastAsia="Arial" w:hAnsi="Arial"/>
                <w:sz w:val="13"/>
                <w:szCs w:val="13"/>
                <w:b w:val="1"/>
                <w:bCs w:val="1"/>
                <w:color w:val="auto"/>
              </w:rPr>
              <w:t>Observable</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46"/>
              <w:spacing w:after="0" w:line="122" w:lineRule="exact"/>
              <w:rPr>
                <w:sz w:val="20"/>
                <w:szCs w:val="20"/>
                <w:color w:val="auto"/>
              </w:rPr>
            </w:pPr>
            <w:r>
              <w:rPr>
                <w:rFonts w:ascii="Arial" w:cs="Arial" w:eastAsia="Arial" w:hAnsi="Arial"/>
                <w:sz w:val="13"/>
                <w:szCs w:val="13"/>
                <w:b w:val="1"/>
                <w:bCs w:val="1"/>
                <w:color w:val="auto"/>
              </w:rPr>
              <w:t>Unobservable</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5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Categories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47"/>
              <w:spacing w:after="0" w:line="148" w:lineRule="exact"/>
              <w:rPr>
                <w:sz w:val="20"/>
                <w:szCs w:val="20"/>
                <w:color w:val="auto"/>
              </w:rPr>
            </w:pPr>
            <w:r>
              <w:rPr>
                <w:rFonts w:ascii="Arial" w:cs="Arial" w:eastAsia="Arial" w:hAnsi="Arial"/>
                <w:sz w:val="13"/>
                <w:szCs w:val="13"/>
                <w:b w:val="1"/>
                <w:bCs w:val="1"/>
                <w:color w:val="auto"/>
                <w:w w:val="98"/>
              </w:rPr>
              <w:t>Assets (Level 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27"/>
              <w:spacing w:after="0" w:line="148" w:lineRule="exact"/>
              <w:rPr>
                <w:sz w:val="20"/>
                <w:szCs w:val="20"/>
                <w:color w:val="auto"/>
              </w:rPr>
            </w:pPr>
            <w:r>
              <w:rPr>
                <w:rFonts w:ascii="Arial" w:cs="Arial" w:eastAsia="Arial" w:hAnsi="Arial"/>
                <w:sz w:val="13"/>
                <w:szCs w:val="13"/>
                <w:b w:val="1"/>
                <w:bCs w:val="1"/>
                <w:color w:val="auto"/>
              </w:rPr>
              <w:t>Inputs (Level 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46"/>
              <w:spacing w:after="0" w:line="148" w:lineRule="exact"/>
              <w:rPr>
                <w:sz w:val="20"/>
                <w:szCs w:val="20"/>
                <w:color w:val="auto"/>
              </w:rPr>
            </w:pPr>
            <w:r>
              <w:rPr>
                <w:rFonts w:ascii="Arial" w:cs="Arial" w:eastAsia="Arial" w:hAnsi="Arial"/>
                <w:sz w:val="13"/>
                <w:szCs w:val="13"/>
                <w:b w:val="1"/>
                <w:bCs w:val="1"/>
                <w:color w:val="auto"/>
                <w:w w:val="98"/>
              </w:rPr>
              <w:t>Inputs (Level 3)</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004483"/>
            </w:tcBorders>
            <w:vMerge w:val="continue"/>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1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2540" w:type="dxa"/>
            <w:vAlign w:val="bottom"/>
            <w:tcBorders>
              <w:bottom w:val="single" w:sz="8" w:color="004483"/>
            </w:tcBorders>
            <w:gridSpan w:val="4"/>
          </w:tcPr>
          <w:p>
            <w:pPr>
              <w:jc w:val="right"/>
              <w:ind w:right="806"/>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7,277</w:t>
            </w: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7,277</w:t>
            </w:r>
          </w:p>
        </w:tc>
        <w:tc>
          <w:tcPr>
            <w:tcW w:w="0" w:type="dxa"/>
            <w:vAlign w:val="bottom"/>
          </w:tcPr>
          <w:p>
            <w:pPr>
              <w:spacing w:after="0"/>
              <w:rPr>
                <w:sz w:val="1"/>
                <w:szCs w:val="1"/>
                <w:color w:val="auto"/>
              </w:rPr>
            </w:pPr>
          </w:p>
        </w:tc>
      </w:tr>
      <w:tr>
        <w:trPr>
          <w:trHeight w:val="183"/>
        </w:trPr>
        <w:tc>
          <w:tcPr>
            <w:tcW w:w="54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Fixed Income Securities</w:t>
            </w:r>
          </w:p>
        </w:tc>
        <w:tc>
          <w:tcPr>
            <w:tcW w:w="140" w:type="dxa"/>
            <w:vAlign w:val="bottom"/>
            <w:tcBorders>
              <w:top w:val="single" w:sz="8" w:color="A3A3A3"/>
              <w:bottom w:val="single" w:sz="8" w:color="A3A3A3"/>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ind w:right="47"/>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3A3A3"/>
              <w:bottom w:val="single" w:sz="8" w:color="A3A3A3"/>
            </w:tcBorders>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1120" w:type="dxa"/>
            <w:vAlign w:val="bottom"/>
            <w:tcBorders>
              <w:top w:val="single" w:sz="8" w:color="A6A6A6"/>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30,010</w:t>
            </w:r>
          </w:p>
        </w:tc>
        <w:tc>
          <w:tcPr>
            <w:tcW w:w="140" w:type="dxa"/>
            <w:vAlign w:val="bottom"/>
            <w:tcBorders>
              <w:top w:val="single" w:sz="8" w:color="A3A3A3"/>
              <w:bottom w:val="single" w:sz="8" w:color="A3A3A3"/>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1080" w:type="dxa"/>
            <w:vAlign w:val="bottom"/>
            <w:tcBorders>
              <w:top w:val="single" w:sz="8" w:color="A6A6A6"/>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A3A3A3"/>
              <w:bottom w:val="single" w:sz="8" w:color="A3A3A3"/>
            </w:tcBorders>
          </w:tcPr>
          <w:p>
            <w:pPr>
              <w:spacing w:after="0"/>
              <w:rPr>
                <w:sz w:val="15"/>
                <w:szCs w:val="15"/>
                <w:color w:val="auto"/>
              </w:rPr>
            </w:pPr>
          </w:p>
        </w:tc>
        <w:tc>
          <w:tcPr>
            <w:tcW w:w="42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A6A6A6"/>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30,010</w:t>
            </w:r>
          </w:p>
        </w:tc>
        <w:tc>
          <w:tcPr>
            <w:tcW w:w="0" w:type="dxa"/>
            <w:vAlign w:val="bottom"/>
          </w:tcPr>
          <w:p>
            <w:pPr>
              <w:spacing w:after="0"/>
              <w:rPr>
                <w:sz w:val="1"/>
                <w:szCs w:val="1"/>
                <w:color w:val="auto"/>
              </w:rPr>
            </w:pPr>
          </w:p>
        </w:tc>
      </w:tr>
      <w:tr>
        <w:trPr>
          <w:trHeight w:val="183"/>
        </w:trPr>
        <w:tc>
          <w:tcPr>
            <w:tcW w:w="5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Real Estate Funds</w:t>
            </w:r>
          </w:p>
        </w:tc>
        <w:tc>
          <w:tcPr>
            <w:tcW w:w="140" w:type="dxa"/>
            <w:vAlign w:val="bottom"/>
            <w:tcBorders>
              <w:bottom w:val="single" w:sz="8" w:color="A3A3A3"/>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47"/>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3A3A3"/>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ind w:right="27"/>
              <w:spacing w:after="0" w:line="183" w:lineRule="exact"/>
              <w:rPr>
                <w:sz w:val="20"/>
                <w:szCs w:val="20"/>
                <w:color w:val="auto"/>
              </w:rPr>
            </w:pPr>
            <w:r>
              <w:rPr>
                <w:rFonts w:ascii="Arial" w:cs="Arial" w:eastAsia="Arial" w:hAnsi="Arial"/>
                <w:sz w:val="16"/>
                <w:szCs w:val="16"/>
                <w:color w:val="auto"/>
              </w:rPr>
              <w:t>160</w:t>
            </w:r>
          </w:p>
        </w:tc>
        <w:tc>
          <w:tcPr>
            <w:tcW w:w="140" w:type="dxa"/>
            <w:vAlign w:val="bottom"/>
            <w:tcBorders>
              <w:bottom w:val="single" w:sz="8" w:color="A3A3A3"/>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1080" w:type="dxa"/>
            <w:vAlign w:val="bottom"/>
            <w:tcBorders>
              <w:bottom w:val="single" w:sz="8" w:color="A6A6A6"/>
            </w:tcBorders>
          </w:tcPr>
          <w:p>
            <w:pPr>
              <w:jc w:val="right"/>
              <w:ind w:right="46"/>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3A3A3"/>
            </w:tcBorders>
          </w:tcPr>
          <w:p>
            <w:pPr>
              <w:spacing w:after="0"/>
              <w:rPr>
                <w:sz w:val="15"/>
                <w:szCs w:val="15"/>
                <w:color w:val="auto"/>
              </w:rPr>
            </w:pPr>
          </w:p>
        </w:tc>
        <w:tc>
          <w:tcPr>
            <w:tcW w:w="42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ind w:right="42"/>
              <w:spacing w:after="0" w:line="183" w:lineRule="exact"/>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83"/>
        </w:trPr>
        <w:tc>
          <w:tcPr>
            <w:tcW w:w="54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Cash Equivalents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7"/>
              <w:spacing w:after="0" w:line="183" w:lineRule="exact"/>
              <w:rPr>
                <w:sz w:val="20"/>
                <w:szCs w:val="20"/>
                <w:color w:val="auto"/>
              </w:rPr>
            </w:pPr>
            <w:r>
              <w:rPr>
                <w:rFonts w:ascii="Arial" w:cs="Arial" w:eastAsia="Arial" w:hAnsi="Arial"/>
                <w:sz w:val="16"/>
                <w:szCs w:val="16"/>
                <w:color w:val="auto"/>
              </w:rPr>
              <w:t>460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7"/>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6"/>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42"/>
              <w:spacing w:after="0" w:line="183" w:lineRule="exact"/>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6A6A6"/>
            </w:tcBorders>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08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47"/>
              <w:spacing w:after="0" w:line="183" w:lineRule="exact"/>
              <w:rPr>
                <w:sz w:val="20"/>
                <w:szCs w:val="20"/>
                <w:color w:val="auto"/>
              </w:rPr>
            </w:pPr>
            <w:r>
              <w:rPr>
                <w:rFonts w:ascii="Arial" w:cs="Arial" w:eastAsia="Arial" w:hAnsi="Arial"/>
                <w:sz w:val="16"/>
                <w:szCs w:val="16"/>
                <w:b w:val="1"/>
                <w:bCs w:val="1"/>
                <w:color w:val="auto"/>
              </w:rPr>
              <w:t>460</w:t>
            </w:r>
          </w:p>
        </w:tc>
        <w:tc>
          <w:tcPr>
            <w:tcW w:w="140" w:type="dxa"/>
            <w:vAlign w:val="bottom"/>
          </w:tcPr>
          <w:p>
            <w:pPr>
              <w:spacing w:after="0"/>
              <w:rPr>
                <w:sz w:val="15"/>
                <w:szCs w:val="15"/>
                <w:color w:val="auto"/>
              </w:rPr>
            </w:pPr>
          </w:p>
        </w:tc>
        <w:tc>
          <w:tcPr>
            <w:tcW w:w="1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ind w:right="27"/>
              <w:spacing w:after="0" w:line="183" w:lineRule="exact"/>
              <w:rPr>
                <w:sz w:val="20"/>
                <w:szCs w:val="20"/>
                <w:color w:val="auto"/>
              </w:rPr>
            </w:pPr>
            <w:r>
              <w:rPr>
                <w:rFonts w:ascii="Arial" w:cs="Arial" w:eastAsia="Arial" w:hAnsi="Arial"/>
                <w:sz w:val="16"/>
                <w:szCs w:val="16"/>
                <w:b w:val="1"/>
                <w:bCs w:val="1"/>
                <w:color w:val="auto"/>
              </w:rPr>
              <w:t>37,447</w:t>
            </w:r>
          </w:p>
        </w:tc>
        <w:tc>
          <w:tcPr>
            <w:tcW w:w="140" w:type="dxa"/>
            <w:vAlign w:val="bottom"/>
          </w:tcPr>
          <w:p>
            <w:pPr>
              <w:spacing w:after="0"/>
              <w:rPr>
                <w:sz w:val="15"/>
                <w:szCs w:val="15"/>
                <w:color w:val="auto"/>
              </w:rPr>
            </w:pPr>
          </w:p>
        </w:tc>
        <w:tc>
          <w:tcPr>
            <w:tcW w:w="200" w:type="dxa"/>
            <w:vAlign w:val="bottom"/>
            <w:tcBorders>
              <w:bottom w:val="single" w:sz="8" w:color="004483"/>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004483"/>
            </w:tcBorders>
          </w:tcPr>
          <w:p>
            <w:pPr>
              <w:jc w:val="right"/>
              <w:ind w:right="46"/>
              <w:spacing w:after="0" w:line="183"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37,907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color w:val="auto"/>
        </w:rPr>
        <w:t>Equity securities consist of funds that are not actively traded. These funds are maintained by an investment manager and are primarily invested in indexes. The remaining funds, excluding cash, primarily consist of investments in institutional funds.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4483"/>
        </w:rPr>
        <w:t>Profit Sharing Plans</w:t>
      </w:r>
    </w:p>
    <w:p>
      <w:pPr>
        <w:spacing w:after="0" w:line="14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also provide profit sharing plans, which cover substantially all salaried and certain hourly employees. The profit sharing plans are defined contribution plans funded by employer discretionary contributions; employees may also contribute a certain percentage of their base annual salary. Employees are fully vested in their own contributions and become fully vested in any Company contributions over a four-year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2" w:name="page93"/>
    <w:bookmarkEnd w:id="92"/>
    <w:p>
      <w:pPr>
        <w:ind w:firstLine="50"/>
        <w:spacing w:after="0" w:line="293" w:lineRule="auto"/>
        <w:rPr>
          <w:sz w:val="20"/>
          <w:szCs w:val="20"/>
          <w:color w:val="auto"/>
        </w:rPr>
      </w:pPr>
      <w:r>
        <w:rPr>
          <w:rFonts w:ascii="Arial" w:cs="Arial" w:eastAsia="Arial" w:hAnsi="Arial"/>
          <w:sz w:val="18"/>
          <w:szCs w:val="18"/>
          <w:color w:val="auto"/>
        </w:rPr>
        <w:t>period. Costs relating to the employer discretionary contributions for our plan totaled $8.5 million, $8.3 million, and $8.2 million in fiscal years 2022, 2021, and 2020, respectively.</w:t>
      </w:r>
    </w:p>
    <w:p>
      <w:pPr>
        <w:spacing w:after="0" w:line="89"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We also made matching contributions to the hourly profit sharing plan for certain of our entities totaling $1.3 million, $1.1 million, and $0.7 million for these employees during fiscal years 2022, 2021, and 2020, respectively.</w:t>
      </w:r>
    </w:p>
    <w:p>
      <w:pPr>
        <w:spacing w:after="0" w:line="89"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Approximately fifty of our employees belong to three different multi-employer plans. The collective bargaining agreements for the employees who participate in the multi-employer plans expire in February 2024 and March 2025. Our expense related to these plans was approximately $1.7 million, $1.8 million, and $1.7 million during fiscal years 2022, 2021, and 2020, respectively. We anticipate the total expense in fiscal 2023 related to these plans will be approximately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93" w:name="page94"/>
    <w:bookmarkEnd w:id="93"/>
    <w:p>
      <w:pPr>
        <w:spacing w:after="0"/>
        <w:rPr>
          <w:sz w:val="20"/>
          <w:szCs w:val="20"/>
          <w:color w:val="auto"/>
        </w:rPr>
      </w:pPr>
      <w:r>
        <w:rPr>
          <w:rFonts w:ascii="Arial" w:cs="Arial" w:eastAsia="Arial" w:hAnsi="Arial"/>
          <w:sz w:val="20"/>
          <w:szCs w:val="20"/>
          <w:b w:val="1"/>
          <w:bCs w:val="1"/>
          <w:color w:val="004483"/>
        </w:rPr>
        <w:t>(O) QUARTERLY RESULTS (UNAUDITED)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00" w:type="dxa"/>
            <w:vAlign w:val="bottom"/>
          </w:tcPr>
          <w:p>
            <w:pPr>
              <w:spacing w:after="0"/>
              <w:rPr>
                <w:sz w:val="13"/>
                <w:szCs w:val="13"/>
                <w:color w:val="auto"/>
              </w:rPr>
            </w:pPr>
          </w:p>
        </w:tc>
        <w:tc>
          <w:tcPr>
            <w:tcW w:w="380" w:type="dxa"/>
            <w:vAlign w:val="bottom"/>
            <w:shd w:val="clear" w:color="auto" w:fill="004483"/>
          </w:tcPr>
          <w:p>
            <w:pPr>
              <w:spacing w:after="0"/>
              <w:rPr>
                <w:sz w:val="13"/>
                <w:szCs w:val="13"/>
                <w:color w:val="auto"/>
              </w:rPr>
            </w:pPr>
          </w:p>
        </w:tc>
        <w:tc>
          <w:tcPr>
            <w:tcW w:w="2560" w:type="dxa"/>
            <w:vAlign w:val="bottom"/>
            <w:gridSpan w:val="2"/>
            <w:shd w:val="clear" w:color="auto" w:fill="004483"/>
          </w:tcPr>
          <w:p>
            <w:pPr>
              <w:jc w:val="right"/>
              <w:ind w:right="239"/>
              <w:spacing w:after="0"/>
              <w:rPr>
                <w:sz w:val="20"/>
                <w:szCs w:val="20"/>
                <w:color w:val="auto"/>
              </w:rPr>
            </w:pPr>
            <w:r>
              <w:rPr>
                <w:rFonts w:ascii="Arial" w:cs="Arial" w:eastAsia="Arial" w:hAnsi="Arial"/>
                <w:sz w:val="13"/>
                <w:szCs w:val="13"/>
                <w:b w:val="1"/>
                <w:bCs w:val="1"/>
                <w:color w:val="FFFFFF"/>
              </w:rPr>
              <w:t>For the Years Ended March 31,</w:t>
            </w:r>
          </w:p>
        </w:tc>
        <w:tc>
          <w:tcPr>
            <w:tcW w:w="70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jc w:val="right"/>
              <w:ind w:right="81"/>
              <w:spacing w:after="0" w:line="134" w:lineRule="exact"/>
              <w:rPr>
                <w:sz w:val="20"/>
                <w:szCs w:val="20"/>
                <w:color w:val="auto"/>
              </w:rPr>
            </w:pPr>
            <w:r>
              <w:rPr>
                <w:rFonts w:ascii="Arial" w:cs="Arial" w:eastAsia="Arial" w:hAnsi="Arial"/>
                <w:sz w:val="13"/>
                <w:szCs w:val="13"/>
                <w:b w:val="1"/>
                <w:bCs w:val="1"/>
                <w:color w:val="auto"/>
              </w:rPr>
              <w:t>2022</w:t>
            </w:r>
          </w:p>
        </w:tc>
        <w:tc>
          <w:tcPr>
            <w:tcW w:w="1160" w:type="dxa"/>
            <w:vAlign w:val="bottom"/>
          </w:tcPr>
          <w:p>
            <w:pPr>
              <w:spacing w:after="0"/>
              <w:rPr>
                <w:sz w:val="11"/>
                <w:szCs w:val="11"/>
                <w:color w:val="auto"/>
              </w:rPr>
            </w:pPr>
          </w:p>
        </w:tc>
        <w:tc>
          <w:tcPr>
            <w:tcW w:w="700" w:type="dxa"/>
            <w:vAlign w:val="bottom"/>
          </w:tcPr>
          <w:p>
            <w:pPr>
              <w:jc w:val="right"/>
              <w:ind w:right="40"/>
              <w:spacing w:after="0" w:line="134" w:lineRule="exact"/>
              <w:rPr>
                <w:sz w:val="20"/>
                <w:szCs w:val="20"/>
                <w:color w:val="auto"/>
              </w:rPr>
            </w:pPr>
            <w:r>
              <w:rPr>
                <w:rFonts w:ascii="Arial" w:cs="Arial" w:eastAsia="Arial" w:hAnsi="Arial"/>
                <w:sz w:val="13"/>
                <w:szCs w:val="13"/>
                <w:b w:val="1"/>
                <w:bCs w:val="1"/>
                <w:color w:val="auto"/>
              </w:rPr>
              <w:t>2021</w:t>
            </w:r>
          </w:p>
        </w:tc>
      </w:tr>
      <w:tr>
        <w:trPr>
          <w:trHeight w:val="183"/>
        </w:trPr>
        <w:tc>
          <w:tcPr>
            <w:tcW w:w="7600" w:type="dxa"/>
            <w:vAlign w:val="bottom"/>
            <w:tcBorders>
              <w:bottom w:val="single" w:sz="8" w:color="004483"/>
            </w:tcBorders>
          </w:tcPr>
          <w:p>
            <w:pPr>
              <w:spacing w:after="0"/>
              <w:rPr>
                <w:sz w:val="15"/>
                <w:szCs w:val="15"/>
                <w:color w:val="auto"/>
              </w:rPr>
            </w:pPr>
          </w:p>
        </w:tc>
        <w:tc>
          <w:tcPr>
            <w:tcW w:w="380" w:type="dxa"/>
            <w:vAlign w:val="bottom"/>
            <w:tcBorders>
              <w:bottom w:val="single" w:sz="8" w:color="004483"/>
            </w:tcBorders>
          </w:tcPr>
          <w:p>
            <w:pPr>
              <w:spacing w:after="0"/>
              <w:rPr>
                <w:sz w:val="15"/>
                <w:szCs w:val="15"/>
                <w:color w:val="auto"/>
              </w:rPr>
            </w:pPr>
          </w:p>
        </w:tc>
        <w:tc>
          <w:tcPr>
            <w:tcW w:w="256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color w:val="auto"/>
                <w:w w:val="96"/>
              </w:rPr>
              <w:t>(dollars in thousands, except per share data)</w:t>
            </w:r>
          </w:p>
        </w:tc>
        <w:tc>
          <w:tcPr>
            <w:tcW w:w="700" w:type="dxa"/>
            <w:vAlign w:val="bottom"/>
            <w:tcBorders>
              <w:bottom w:val="single" w:sz="8" w:color="004483"/>
            </w:tcBorders>
          </w:tcPr>
          <w:p>
            <w:pPr>
              <w:spacing w:after="0"/>
              <w:rPr>
                <w:sz w:val="15"/>
                <w:szCs w:val="15"/>
                <w:color w:val="auto"/>
              </w:rPr>
            </w:pPr>
          </w:p>
        </w:tc>
      </w:tr>
      <w:tr>
        <w:trPr>
          <w:trHeight w:val="189"/>
        </w:trPr>
        <w:tc>
          <w:tcPr>
            <w:tcW w:w="7600" w:type="dxa"/>
            <w:vAlign w:val="bottom"/>
            <w:tcBorders>
              <w:bottom w:val="single" w:sz="8" w:color="A3A3A3"/>
            </w:tcBorders>
          </w:tcPr>
          <w:p>
            <w:pPr>
              <w:ind w:left="20"/>
              <w:spacing w:after="0"/>
              <w:rPr>
                <w:sz w:val="20"/>
                <w:szCs w:val="20"/>
                <w:color w:val="auto"/>
              </w:rPr>
            </w:pPr>
            <w:r>
              <w:rPr>
                <w:rFonts w:ascii="Arial" w:cs="Arial" w:eastAsia="Arial" w:hAnsi="Arial"/>
                <w:sz w:val="16"/>
                <w:szCs w:val="16"/>
                <w:b w:val="1"/>
                <w:bCs w:val="1"/>
                <w:color w:val="auto"/>
              </w:rPr>
              <w:t>First Quarter</w:t>
            </w:r>
          </w:p>
        </w:tc>
        <w:tc>
          <w:tcPr>
            <w:tcW w:w="380" w:type="dxa"/>
            <w:vAlign w:val="bottom"/>
            <w:tcBorders>
              <w:bottom w:val="single" w:sz="8" w:color="A3A3A3"/>
            </w:tcBorders>
          </w:tcPr>
          <w:p>
            <w:pPr>
              <w:spacing w:after="0"/>
              <w:rPr>
                <w:sz w:val="16"/>
                <w:szCs w:val="16"/>
                <w:color w:val="auto"/>
              </w:rPr>
            </w:pPr>
          </w:p>
        </w:tc>
        <w:tc>
          <w:tcPr>
            <w:tcW w:w="1400" w:type="dxa"/>
            <w:vAlign w:val="bottom"/>
            <w:tcBorders>
              <w:bottom w:val="single" w:sz="8" w:color="A3A3A3"/>
            </w:tcBorders>
          </w:tcPr>
          <w:p>
            <w:pPr>
              <w:spacing w:after="0"/>
              <w:rPr>
                <w:sz w:val="16"/>
                <w:szCs w:val="16"/>
                <w:color w:val="auto"/>
              </w:rPr>
            </w:pPr>
          </w:p>
        </w:tc>
        <w:tc>
          <w:tcPr>
            <w:tcW w:w="1160" w:type="dxa"/>
            <w:vAlign w:val="bottom"/>
            <w:tcBorders>
              <w:bottom w:val="single" w:sz="8" w:color="A3A3A3"/>
            </w:tcBorders>
          </w:tcPr>
          <w:p>
            <w:pPr>
              <w:spacing w:after="0"/>
              <w:rPr>
                <w:sz w:val="16"/>
                <w:szCs w:val="16"/>
                <w:color w:val="auto"/>
              </w:rPr>
            </w:pPr>
          </w:p>
        </w:tc>
        <w:tc>
          <w:tcPr>
            <w:tcW w:w="700" w:type="dxa"/>
            <w:vAlign w:val="bottom"/>
            <w:tcBorders>
              <w:bottom w:val="single" w:sz="8" w:color="A3A3A3"/>
            </w:tcBorders>
          </w:tcPr>
          <w:p>
            <w:pPr>
              <w:spacing w:after="0"/>
              <w:rPr>
                <w:sz w:val="16"/>
                <w:szCs w:val="16"/>
                <w:color w:val="auto"/>
              </w:rPr>
            </w:pP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Revenue</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475,770</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426,989</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Gross Profit</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126,511</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102,297</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Earnings from Continuing Operations Before Income Taxes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121,719</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129,927</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Net Earnings from Continuing Operations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95,327</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97,091</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95,327</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96,206</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Diluted Earnings per Share from Continuing Operations</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2.25</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2.33</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Diluted Earnings per Share</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2.25</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2.31</w:t>
            </w:r>
          </w:p>
        </w:tc>
      </w:tr>
      <w:tr>
        <w:trPr>
          <w:trHeight w:val="183"/>
        </w:trPr>
        <w:tc>
          <w:tcPr>
            <w:tcW w:w="760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b w:val="1"/>
                <w:bCs w:val="1"/>
                <w:color w:val="auto"/>
              </w:rPr>
              <w:t>Second Quarter</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spacing w:after="0"/>
              <w:rPr>
                <w:sz w:val="15"/>
                <w:szCs w:val="15"/>
                <w:color w:val="auto"/>
              </w:rPr>
            </w:pP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spacing w:after="0"/>
              <w:rPr>
                <w:sz w:val="15"/>
                <w:szCs w:val="15"/>
                <w:color w:val="auto"/>
              </w:rPr>
            </w:pP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Revenue</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509,694</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447,684</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Gross Profit</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155,341</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122,849</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Earnings from Continuing Operations Before Income Taxes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131,315</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109,671</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Net Earnings from Continuing Operations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102,125</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89,871</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102,125</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96,034</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Diluted Earnings per Share from Continuing Operations</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2.46</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2.16</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Diluted Earnings per Share</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2.46</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2.31</w:t>
            </w:r>
          </w:p>
        </w:tc>
      </w:tr>
      <w:tr>
        <w:trPr>
          <w:trHeight w:val="183"/>
        </w:trPr>
        <w:tc>
          <w:tcPr>
            <w:tcW w:w="760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b w:val="1"/>
                <w:bCs w:val="1"/>
                <w:color w:val="auto"/>
              </w:rPr>
              <w:t>Third Quarter</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spacing w:after="0"/>
              <w:rPr>
                <w:sz w:val="15"/>
                <w:szCs w:val="15"/>
                <w:color w:val="auto"/>
              </w:rPr>
            </w:pP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spacing w:after="0"/>
              <w:rPr>
                <w:sz w:val="15"/>
                <w:szCs w:val="15"/>
                <w:color w:val="auto"/>
              </w:rPr>
            </w:pP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Revenue</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462,941</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404,667</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Gross Profit</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138,586</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113,379</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Earnings from Continuing Operations Before Income Taxes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131,846</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105,072</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Net Earnings from Continuing Operations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102,479</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81,193</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102,479</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81,193</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Diluted Earnings per Share from Continuing Operations</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2.53</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1.94</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Diluted Earnings per Share</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2.53</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1.94</w:t>
            </w:r>
          </w:p>
        </w:tc>
      </w:tr>
      <w:tr>
        <w:trPr>
          <w:trHeight w:val="183"/>
        </w:trPr>
        <w:tc>
          <w:tcPr>
            <w:tcW w:w="760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b w:val="1"/>
                <w:bCs w:val="1"/>
                <w:color w:val="auto"/>
              </w:rPr>
              <w:t>Fourth Quarter</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spacing w:after="0"/>
              <w:rPr>
                <w:sz w:val="15"/>
                <w:szCs w:val="15"/>
                <w:color w:val="auto"/>
              </w:rPr>
            </w:pP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spacing w:after="0"/>
              <w:rPr>
                <w:sz w:val="15"/>
                <w:szCs w:val="15"/>
                <w:color w:val="auto"/>
              </w:rPr>
            </w:pPr>
          </w:p>
        </w:tc>
      </w:tr>
      <w:tr>
        <w:trPr>
          <w:trHeight w:val="182"/>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Revenue</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413,117</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w w:val="96"/>
              </w:rPr>
              <w:t>343,302</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Gross Profit</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99,176</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69,830</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Earnings from Continuing Operations Before Income Taxes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90,214</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79,442</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Net Earnings from Continuing Operations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74,316</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66,011</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A3A3A3"/>
            </w:tcBorders>
          </w:tcPr>
          <w:p>
            <w:pPr>
              <w:spacing w:after="0"/>
              <w:rPr>
                <w:sz w:val="15"/>
                <w:szCs w:val="15"/>
                <w:color w:val="auto"/>
              </w:rPr>
            </w:pP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74,316</w:t>
            </w:r>
          </w:p>
        </w:tc>
        <w:tc>
          <w:tcPr>
            <w:tcW w:w="1160" w:type="dxa"/>
            <w:vAlign w:val="bottom"/>
            <w:tcBorders>
              <w:bottom w:val="single" w:sz="8" w:color="A3A3A3"/>
            </w:tcBorders>
          </w:tcPr>
          <w:p>
            <w:pPr>
              <w:spacing w:after="0"/>
              <w:rPr>
                <w:sz w:val="15"/>
                <w:szCs w:val="15"/>
                <w:color w:val="auto"/>
              </w:rPr>
            </w:pP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66,011</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Diluted Earnings per Share from Continuing Operations</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1.90</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1.56</w:t>
            </w:r>
          </w:p>
        </w:tc>
      </w:tr>
      <w:tr>
        <w:trPr>
          <w:trHeight w:val="183"/>
        </w:trPr>
        <w:tc>
          <w:tcPr>
            <w:tcW w:w="76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Diluted Earnings per Share</w:t>
            </w:r>
          </w:p>
        </w:tc>
        <w:tc>
          <w:tcPr>
            <w:tcW w:w="380" w:type="dxa"/>
            <w:vAlign w:val="bottom"/>
            <w:tcBorders>
              <w:bottom w:val="single" w:sz="8" w:color="A3A3A3"/>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3A3A3"/>
            </w:tcBorders>
          </w:tcPr>
          <w:p>
            <w:pPr>
              <w:jc w:val="right"/>
              <w:ind w:right="81"/>
              <w:spacing w:after="0" w:line="183" w:lineRule="exact"/>
              <w:rPr>
                <w:sz w:val="20"/>
                <w:szCs w:val="20"/>
                <w:color w:val="auto"/>
              </w:rPr>
            </w:pPr>
            <w:r>
              <w:rPr>
                <w:rFonts w:ascii="Arial" w:cs="Arial" w:eastAsia="Arial" w:hAnsi="Arial"/>
                <w:sz w:val="16"/>
                <w:szCs w:val="16"/>
                <w:color w:val="auto"/>
              </w:rPr>
              <w:t>1.90</w:t>
            </w:r>
          </w:p>
        </w:tc>
        <w:tc>
          <w:tcPr>
            <w:tcW w:w="1160" w:type="dxa"/>
            <w:vAlign w:val="bottom"/>
            <w:tcBorders>
              <w:bottom w:val="single" w:sz="8" w:color="A3A3A3"/>
            </w:tcBorders>
          </w:tcPr>
          <w:p>
            <w:pPr>
              <w:jc w:val="right"/>
              <w:ind w:right="83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3A3A3"/>
            </w:tcBorders>
          </w:tcPr>
          <w:p>
            <w:pPr>
              <w:jc w:val="right"/>
              <w:ind w:right="40"/>
              <w:spacing w:after="0" w:line="183" w:lineRule="exact"/>
              <w:rPr>
                <w:sz w:val="20"/>
                <w:szCs w:val="20"/>
                <w:color w:val="auto"/>
              </w:rPr>
            </w:pPr>
            <w:r>
              <w:rPr>
                <w:rFonts w:ascii="Arial" w:cs="Arial" w:eastAsia="Arial" w:hAnsi="Arial"/>
                <w:sz w:val="16"/>
                <w:szCs w:val="16"/>
                <w:color w:val="auto"/>
              </w:rPr>
              <w:t>1.56</w:t>
            </w:r>
          </w:p>
        </w:tc>
      </w:tr>
    </w:tbl>
    <w:p>
      <w:pPr>
        <w:spacing w:after="0" w:line="215"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Our financial results for the fourth quarter of fiscal 2021 were adversely affected by a severe winter storm in February 2021. This storm had a significant impact on Texas and the broader southern United States. Our cement facilities in Texas, Missouri, and Oklahoma were forced to curtail production and energy prices spiked during this time period. We estimate the storm’s impact was approximately $6.0 million in additional cement costs during the fiscal fourth quarter. Our paper mill, which is located in Oklahoma, was forced to curtail production during the week of the storm, and also experienced higher energy costs during the shutdown. Shipments of gypsum wallboard were significantly affected by the extreme winter conditions. We estimate that the storm affected fourth quarter Light Materials sector earnings by approximately $6.0 million. Although the operating earnings of our Light Materials sector were adversely affected by the storm, we were able to curtail some of our operations and release a portion of our natural gas commitments to third parties in a timely manner. The release of these commitments contributed to a significant increase in Other Non-Operating Income (Loss) in the fiscal 2021 fourth quarter.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4" w:name="page95"/>
    <w:bookmarkEnd w:id="94"/>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91" w:lineRule="exact"/>
        <w:rPr>
          <w:sz w:val="20"/>
          <w:szCs w:val="20"/>
          <w:color w:val="auto"/>
        </w:rPr>
      </w:pPr>
    </w:p>
    <w:p>
      <w:pPr>
        <w:ind w:right="4280"/>
        <w:spacing w:after="0" w:line="406" w:lineRule="auto"/>
        <w:rPr>
          <w:sz w:val="20"/>
          <w:szCs w:val="20"/>
          <w:color w:val="auto"/>
        </w:rPr>
      </w:pPr>
      <w:r>
        <w:rPr>
          <w:rFonts w:ascii="Arial" w:cs="Arial" w:eastAsia="Arial" w:hAnsi="Arial"/>
          <w:sz w:val="18"/>
          <w:szCs w:val="18"/>
          <w:color w:val="auto"/>
        </w:rPr>
        <w:t xml:space="preserve">To the Stockholders and the Board of Directors of Eagle Materials Inc. and Subsidiaries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have audited the accompanying consolidated balance sheets of Eagle Materials Inc. and Subsidiaries (the Company) as of March 31, 2022 and 2021, the related consolidated statements of earnings, comprehensive earnings, stockholders’ equity and cash flows for each of the three years in the period ended March 31, 2022, and the related notes (collectively referred to as the “consolidated financial statements”). In our opinion, the consolidated financial statements present fairly, in all material respects, the financial position of the Company at March 31, 2022 and 2021, and the results of its operations and its cash flows for each of the three years in the period ended March 31, 2022, in conformity with U.S. generally accepted accounting principles.</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2022, based on criteria established in Internal Control-Integrated Framework issued by the Committee of Sponsoring Organizations of the Treadway Commission (2013 framework), and our report dated May 20, 2022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Critical Audit Matter</w:t>
      </w:r>
    </w:p>
    <w:p>
      <w:pPr>
        <w:spacing w:after="0" w:line="180" w:lineRule="exact"/>
        <w:rPr>
          <w:sz w:val="20"/>
          <w:szCs w:val="20"/>
          <w:color w:val="auto"/>
        </w:rPr>
      </w:pPr>
    </w:p>
    <w:p>
      <w:pPr>
        <w:ind w:left="20" w:right="20"/>
        <w:spacing w:after="0" w:line="28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Raw Materials and Materials-in-Progress inventory existence</w:t>
      </w:r>
    </w:p>
    <w:p>
      <w:pPr>
        <w:spacing w:after="0" w:line="164" w:lineRule="exact"/>
        <w:rPr>
          <w:sz w:val="20"/>
          <w:szCs w:val="20"/>
          <w:color w:val="auto"/>
        </w:rPr>
      </w:pPr>
    </w:p>
    <w:p>
      <w:pPr>
        <w:ind w:left="2220" w:hanging="2200"/>
        <w:spacing w:after="0" w:line="304" w:lineRule="auto"/>
        <w:rPr>
          <w:sz w:val="20"/>
          <w:szCs w:val="20"/>
          <w:color w:val="auto"/>
        </w:rPr>
      </w:pPr>
      <w:r>
        <w:rPr>
          <w:rFonts w:ascii="Arial" w:cs="Arial" w:eastAsia="Arial" w:hAnsi="Arial"/>
          <w:sz w:val="19"/>
          <w:szCs w:val="19"/>
          <w:i w:val="1"/>
          <w:iCs w:val="1"/>
          <w:color w:val="auto"/>
        </w:rPr>
        <w:t xml:space="preserve">Description of the Matter </w:t>
      </w:r>
      <w:r>
        <w:rPr>
          <w:rFonts w:ascii="Arial" w:cs="Arial" w:eastAsia="Arial" w:hAnsi="Arial"/>
          <w:sz w:val="17"/>
          <w:szCs w:val="17"/>
          <w:color w:val="auto"/>
        </w:rPr>
        <w:t>As described in Note A, the Company’s raw materials and materials-in-progress inventory balance was $81.3</w:t>
      </w:r>
      <w:r>
        <w:rPr>
          <w:rFonts w:ascii="Arial" w:cs="Arial" w:eastAsia="Arial" w:hAnsi="Arial"/>
          <w:sz w:val="19"/>
          <w:szCs w:val="19"/>
          <w:i w:val="1"/>
          <w:iCs w:val="1"/>
          <w:color w:val="auto"/>
        </w:rPr>
        <w:t xml:space="preserve"> </w:t>
      </w:r>
      <w:r>
        <w:rPr>
          <w:rFonts w:ascii="Arial" w:cs="Arial" w:eastAsia="Arial" w:hAnsi="Arial"/>
          <w:sz w:val="17"/>
          <w:szCs w:val="17"/>
          <w:color w:val="auto"/>
        </w:rPr>
        <w:t>million at March 31, 2022. Materials-in-progress inventory is comprised of clinker, which is an intermediary product before it is ground into cement powder. Due to the nature of raw materials and materials-in-progress inventory, the Company utilizes technology to measure the volume of the inventory stockpiles and applies density factors to convert the measurements to tons of inventory.</w:t>
      </w:r>
    </w:p>
    <w:p>
      <w:pPr>
        <w:spacing w:after="0" w:line="84" w:lineRule="exact"/>
        <w:rPr>
          <w:sz w:val="20"/>
          <w:szCs w:val="20"/>
          <w:color w:val="auto"/>
        </w:rPr>
      </w:pPr>
    </w:p>
    <w:p>
      <w:pPr>
        <w:jc w:val="both"/>
        <w:ind w:left="2220" w:right="180"/>
        <w:spacing w:after="0" w:line="295" w:lineRule="auto"/>
        <w:rPr>
          <w:sz w:val="20"/>
          <w:szCs w:val="20"/>
          <w:color w:val="auto"/>
        </w:rPr>
      </w:pPr>
      <w:r>
        <w:rPr>
          <w:rFonts w:ascii="Arial" w:cs="Arial" w:eastAsia="Arial" w:hAnsi="Arial"/>
          <w:sz w:val="18"/>
          <w:szCs w:val="18"/>
          <w:color w:val="auto"/>
        </w:rPr>
        <w:t>Auditing management’s process for measuring raw materials and materials-in-progress inventory was complex as auditor judgement was necessary to evaluate the Company’s process for measuring the inventory, given the technology utilized, and converting the measurements to tonnage.</w:t>
      </w:r>
    </w:p>
    <w:p>
      <w:pPr>
        <w:spacing w:after="0" w:line="100"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9"/>
          <w:szCs w:val="19"/>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controls over the</w:t>
      </w:r>
    </w:p>
    <w:p>
      <w:pPr>
        <w:spacing w:after="0" w:line="29"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9"/>
          <w:szCs w:val="19"/>
          <w:i w:val="1"/>
          <w:iCs w:val="1"/>
          <w:color w:val="auto"/>
        </w:rPr>
        <w:t>Matter in Our Audit</w:t>
      </w:r>
      <w:r>
        <w:rPr>
          <w:sz w:val="20"/>
          <w:szCs w:val="20"/>
          <w:color w:val="auto"/>
        </w:rPr>
        <w:tab/>
      </w:r>
      <w:r>
        <w:rPr>
          <w:rFonts w:ascii="Arial" w:cs="Arial" w:eastAsia="Arial" w:hAnsi="Arial"/>
          <w:sz w:val="17"/>
          <w:szCs w:val="17"/>
          <w:color w:val="auto"/>
        </w:rPr>
        <w:t>Company’s process of determining the existence of raw materials and materials-in-progress inventory.</w:t>
      </w:r>
    </w:p>
    <w:p>
      <w:pPr>
        <w:spacing w:after="0" w:line="157" w:lineRule="exact"/>
        <w:rPr>
          <w:sz w:val="20"/>
          <w:szCs w:val="20"/>
          <w:color w:val="auto"/>
        </w:rPr>
      </w:pPr>
    </w:p>
    <w:p>
      <w:pPr>
        <w:ind w:left="2220" w:right="20"/>
        <w:spacing w:after="0" w:line="287" w:lineRule="auto"/>
        <w:rPr>
          <w:sz w:val="20"/>
          <w:szCs w:val="20"/>
          <w:color w:val="auto"/>
        </w:rPr>
      </w:pPr>
      <w:r>
        <w:rPr>
          <w:rFonts w:ascii="Arial" w:cs="Arial" w:eastAsia="Arial" w:hAnsi="Arial"/>
          <w:sz w:val="18"/>
          <w:szCs w:val="18"/>
          <w:color w:val="auto"/>
        </w:rPr>
        <w:t>To test the existence of raw materials and materials-in-progress inventory, we performed audit procedures, assisted by specialists, that included, among others, obtaining inventory measurements performed by third parties, observing management’s inspection and measurement of inventory, testing the measurement techniques of the inventory stockpiles, testing the underlying calculations of the measurements in the conversion calculations utilizing density factors, and evaluating the appropriateness of the density factors utilized in the calculations as compared to industry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Dallas, Texas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May 20, 2022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96" w:name="page97"/>
    <w:bookmarkEnd w:id="96"/>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Texas Lehigh Cement Company LP</w:t>
      </w:r>
    </w:p>
    <w:p>
      <w:pPr>
        <w:ind w:right="2279"/>
        <w:spacing w:after="0" w:line="246" w:lineRule="auto"/>
        <w:rPr>
          <w:sz w:val="20"/>
          <w:szCs w:val="20"/>
          <w:color w:val="auto"/>
        </w:rPr>
      </w:pPr>
      <w:r>
        <w:rPr>
          <w:rFonts w:ascii="Arial" w:cs="Arial" w:eastAsia="Arial" w:hAnsi="Arial"/>
          <w:sz w:val="18"/>
          <w:szCs w:val="18"/>
          <w:color w:val="auto"/>
        </w:rPr>
        <w:t>As of December 31, 2021 and 2020, and for the Years Ended December 31, 2021, 2020, and 2019 With Report of Independent Auditors</w:t>
      </w:r>
    </w:p>
    <w:p>
      <w:pPr>
        <w:spacing w:after="0" w:line="200" w:lineRule="exact"/>
        <w:rPr>
          <w:sz w:val="20"/>
          <w:szCs w:val="20"/>
          <w:color w:val="auto"/>
        </w:rPr>
      </w:pPr>
    </w:p>
    <w:p>
      <w:pPr>
        <w:spacing w:after="0" w:line="33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TEXAS LEHIGH CEMENT COMPANY LP 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9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20" w:type="dxa"/>
            <w:vAlign w:val="bottom"/>
            <w:gridSpan w:val="4"/>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w w:val="93"/>
              </w:rPr>
              <w:t>Year Ended December 31,</w:t>
            </w:r>
          </w:p>
        </w:tc>
        <w:tc>
          <w:tcPr>
            <w:tcW w:w="160" w:type="dxa"/>
            <w:vAlign w:val="bottom"/>
            <w:shd w:val="clear" w:color="auto" w:fill="004483"/>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9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6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r>
      <w:tr>
        <w:trPr>
          <w:trHeight w:val="183"/>
        </w:trPr>
        <w:tc>
          <w:tcPr>
            <w:tcW w:w="648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9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360" w:type="dxa"/>
            <w:vAlign w:val="bottom"/>
            <w:tcBorders>
              <w:bottom w:val="single" w:sz="8" w:color="004483"/>
            </w:tcBorders>
            <w:gridSpan w:val="2"/>
          </w:tcPr>
          <w:p>
            <w:pPr>
              <w:jc w:val="right"/>
              <w:ind w:right="179"/>
              <w:spacing w:after="0"/>
              <w:rPr>
                <w:sz w:val="20"/>
                <w:szCs w:val="20"/>
                <w:color w:val="auto"/>
              </w:rPr>
            </w:pPr>
            <w:r>
              <w:rPr>
                <w:rFonts w:ascii="Arial" w:cs="Arial" w:eastAsia="Arial" w:hAnsi="Arial"/>
                <w:sz w:val="13"/>
                <w:szCs w:val="13"/>
                <w:color w:val="auto"/>
                <w:w w:val="86"/>
              </w:rPr>
              <w:t>(dollars in thousands)</w:t>
            </w:r>
          </w:p>
        </w:tc>
        <w:tc>
          <w:tcPr>
            <w:tcW w:w="16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9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4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Net Sales</w:t>
            </w: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201,886</w:t>
            </w:r>
          </w:p>
        </w:tc>
        <w:tc>
          <w:tcPr>
            <w:tcW w:w="120" w:type="dxa"/>
            <w:vAlign w:val="bottom"/>
          </w:tcPr>
          <w:p>
            <w:pPr>
              <w:spacing w:after="0"/>
              <w:rPr>
                <w:sz w:val="16"/>
                <w:szCs w:val="16"/>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211,021</w:t>
            </w:r>
          </w:p>
        </w:tc>
        <w:tc>
          <w:tcPr>
            <w:tcW w:w="100" w:type="dxa"/>
            <w:vAlign w:val="bottom"/>
          </w:tcPr>
          <w:p>
            <w:pPr>
              <w:spacing w:after="0"/>
              <w:rPr>
                <w:sz w:val="16"/>
                <w:szCs w:val="16"/>
                <w:color w:val="auto"/>
              </w:rPr>
            </w:pPr>
          </w:p>
        </w:tc>
        <w:tc>
          <w:tcPr>
            <w:tcW w:w="620" w:type="dxa"/>
            <w:vAlign w:val="bottom"/>
            <w:tcBorders>
              <w:bottom w:val="single" w:sz="8" w:color="A6A6A6"/>
            </w:tcBorders>
            <w:gridSpan w:val="2"/>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222,830</w:t>
            </w:r>
          </w:p>
        </w:tc>
        <w:tc>
          <w:tcPr>
            <w:tcW w:w="100" w:type="dxa"/>
            <w:vAlign w:val="bottom"/>
          </w:tcPr>
          <w:p>
            <w:pPr>
              <w:spacing w:after="0"/>
              <w:rPr>
                <w:sz w:val="16"/>
                <w:szCs w:val="16"/>
                <w:color w:val="auto"/>
              </w:rPr>
            </w:pPr>
          </w:p>
        </w:tc>
      </w:tr>
      <w:tr>
        <w:trPr>
          <w:trHeight w:val="209"/>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Cost of Goods Sold</w:t>
            </w:r>
          </w:p>
        </w:tc>
        <w:tc>
          <w:tcPr>
            <w:tcW w:w="46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130,761</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127,691</w:t>
            </w: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132,951</w:t>
            </w:r>
          </w:p>
        </w:tc>
        <w:tc>
          <w:tcPr>
            <w:tcW w:w="100" w:type="dxa"/>
            <w:vAlign w:val="bottom"/>
          </w:tcPr>
          <w:p>
            <w:pPr>
              <w:spacing w:after="0"/>
              <w:rPr>
                <w:sz w:val="18"/>
                <w:szCs w:val="18"/>
                <w:color w:val="auto"/>
              </w:rPr>
            </w:pPr>
          </w:p>
        </w:tc>
      </w:tr>
      <w:tr>
        <w:trPr>
          <w:trHeight w:val="183"/>
        </w:trPr>
        <w:tc>
          <w:tcPr>
            <w:tcW w:w="648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Gross Margin</w:t>
            </w:r>
          </w:p>
        </w:tc>
        <w:tc>
          <w:tcPr>
            <w:tcW w:w="4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71,125</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83,330</w:t>
            </w:r>
          </w:p>
        </w:tc>
        <w:tc>
          <w:tcPr>
            <w:tcW w:w="10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89,879</w:t>
            </w:r>
          </w:p>
        </w:tc>
        <w:tc>
          <w:tcPr>
            <w:tcW w:w="100" w:type="dxa"/>
            <w:vAlign w:val="bottom"/>
          </w:tcPr>
          <w:p>
            <w:pPr>
              <w:spacing w:after="0"/>
              <w:rPr>
                <w:sz w:val="15"/>
                <w:szCs w:val="15"/>
                <w:color w:val="auto"/>
              </w:rPr>
            </w:pPr>
          </w:p>
        </w:tc>
      </w:tr>
      <w:tr>
        <w:trPr>
          <w:trHeight w:val="210"/>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Selling, General and Administrative Expenses</w:t>
            </w:r>
          </w:p>
        </w:tc>
        <w:tc>
          <w:tcPr>
            <w:tcW w:w="46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4,545</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5,435</w:t>
            </w:r>
          </w:p>
        </w:tc>
        <w:tc>
          <w:tcPr>
            <w:tcW w:w="10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5,048</w:t>
            </w:r>
          </w:p>
        </w:tc>
        <w:tc>
          <w:tcPr>
            <w:tcW w:w="100" w:type="dxa"/>
            <w:vAlign w:val="bottom"/>
          </w:tcPr>
          <w:p>
            <w:pPr>
              <w:spacing w:after="0"/>
              <w:rPr>
                <w:sz w:val="18"/>
                <w:szCs w:val="18"/>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Operating Earnings</w:t>
            </w:r>
          </w:p>
        </w:tc>
        <w:tc>
          <w:tcPr>
            <w:tcW w:w="4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66,580</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77,895</w:t>
            </w:r>
          </w:p>
        </w:tc>
        <w:tc>
          <w:tcPr>
            <w:tcW w:w="10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84,831</w:t>
            </w:r>
          </w:p>
        </w:tc>
        <w:tc>
          <w:tcPr>
            <w:tcW w:w="100" w:type="dxa"/>
            <w:vAlign w:val="bottom"/>
          </w:tcPr>
          <w:p>
            <w:pPr>
              <w:spacing w:after="0"/>
              <w:rPr>
                <w:sz w:val="15"/>
                <w:szCs w:val="15"/>
                <w:color w:val="auto"/>
              </w:rPr>
            </w:pPr>
          </w:p>
        </w:tc>
      </w:tr>
      <w:tr>
        <w:trPr>
          <w:trHeight w:val="182"/>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Other Income (Expense)</w:t>
            </w:r>
          </w:p>
        </w:tc>
        <w:tc>
          <w:tcPr>
            <w:tcW w:w="4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(145</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1,699</w:t>
            </w:r>
          </w:p>
        </w:tc>
        <w:tc>
          <w:tcPr>
            <w:tcW w:w="10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161</w:t>
            </w:r>
          </w:p>
        </w:tc>
        <w:tc>
          <w:tcPr>
            <w:tcW w:w="100" w:type="dxa"/>
            <w:vAlign w:val="bottom"/>
          </w:tcPr>
          <w:p>
            <w:pPr>
              <w:spacing w:after="0"/>
              <w:rPr>
                <w:sz w:val="15"/>
                <w:szCs w:val="15"/>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Equity in Earnings of Joint Venture</w:t>
            </w:r>
          </w:p>
        </w:tc>
        <w:tc>
          <w:tcPr>
            <w:tcW w:w="4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183"/>
        </w:trPr>
        <w:tc>
          <w:tcPr>
            <w:tcW w:w="6480" w:type="dxa"/>
            <w:vAlign w:val="bottom"/>
          </w:tcPr>
          <w:p>
            <w:pPr>
              <w:ind w:left="200"/>
              <w:spacing w:after="0" w:line="183" w:lineRule="exact"/>
              <w:rPr>
                <w:sz w:val="20"/>
                <w:szCs w:val="20"/>
                <w:color w:val="auto"/>
              </w:rPr>
            </w:pPr>
            <w:r>
              <w:rPr>
                <w:rFonts w:ascii="Arial" w:cs="Arial" w:eastAsia="Arial" w:hAnsi="Arial"/>
                <w:sz w:val="16"/>
                <w:szCs w:val="16"/>
                <w:color w:val="004483"/>
              </w:rPr>
              <w:t>Texas Margin Tax</w:t>
            </w:r>
          </w:p>
        </w:tc>
        <w:tc>
          <w:tcPr>
            <w:tcW w:w="46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(649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(717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(744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7"/>
        </w:trPr>
        <w:tc>
          <w:tcPr>
            <w:tcW w:w="648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2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480" w:type="dxa"/>
            <w:vAlign w:val="bottom"/>
          </w:tcPr>
          <w:p>
            <w:pPr>
              <w:ind w:left="380"/>
              <w:spacing w:after="0" w:line="183" w:lineRule="exact"/>
              <w:rPr>
                <w:sz w:val="20"/>
                <w:szCs w:val="20"/>
                <w:color w:val="auto"/>
              </w:rPr>
            </w:pPr>
            <w:r>
              <w:rPr>
                <w:rFonts w:ascii="Arial" w:cs="Arial" w:eastAsia="Arial" w:hAnsi="Arial"/>
                <w:sz w:val="16"/>
                <w:szCs w:val="16"/>
                <w:b w:val="1"/>
                <w:bCs w:val="1"/>
                <w:color w:val="auto"/>
              </w:rPr>
              <w:t>Net Earnings</w:t>
            </w:r>
          </w:p>
        </w:tc>
        <w:tc>
          <w:tcPr>
            <w:tcW w:w="460" w:type="dxa"/>
            <w:vAlign w:val="bottom"/>
            <w:tcBorders>
              <w:bottom w:val="single" w:sz="8" w:color="004483"/>
            </w:tcBorders>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65,786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78,856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004483"/>
            </w:tcBorders>
          </w:tcPr>
          <w:p>
            <w:pPr>
              <w:jc w:val="right"/>
              <w:ind w:right="279"/>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84,248</w:t>
            </w:r>
          </w:p>
        </w:tc>
        <w:tc>
          <w:tcPr>
            <w:tcW w:w="100" w:type="dxa"/>
            <w:vAlign w:val="bottom"/>
          </w:tcPr>
          <w:p>
            <w:pPr>
              <w:spacing w:after="0"/>
              <w:rPr>
                <w:sz w:val="15"/>
                <w:szCs w:val="15"/>
                <w:color w:val="auto"/>
              </w:rPr>
            </w:pPr>
          </w:p>
        </w:tc>
      </w:tr>
      <w:tr>
        <w:trPr>
          <w:trHeight w:val="20"/>
        </w:trPr>
        <w:tc>
          <w:tcPr>
            <w:tcW w:w="648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TEXAS LEHIGH CEMENT COMPANY LP STATEMENTS OF COMPREHENSIVE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8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20" w:type="dxa"/>
            <w:vAlign w:val="bottom"/>
            <w:gridSpan w:val="4"/>
            <w:shd w:val="clear" w:color="auto" w:fill="004483"/>
          </w:tcPr>
          <w:p>
            <w:pPr>
              <w:jc w:val="center"/>
              <w:spacing w:after="0"/>
              <w:rPr>
                <w:sz w:val="20"/>
                <w:szCs w:val="20"/>
                <w:color w:val="auto"/>
              </w:rPr>
            </w:pPr>
            <w:r>
              <w:rPr>
                <w:rFonts w:ascii="Arial" w:cs="Arial" w:eastAsia="Arial" w:hAnsi="Arial"/>
                <w:sz w:val="13"/>
                <w:szCs w:val="13"/>
                <w:b w:val="1"/>
                <w:bCs w:val="1"/>
                <w:color w:val="FFFFFF"/>
                <w:w w:val="87"/>
              </w:rPr>
              <w:t>Year Ended December 31,</w:t>
            </w:r>
          </w:p>
        </w:tc>
        <w:tc>
          <w:tcPr>
            <w:tcW w:w="160" w:type="dxa"/>
            <w:vAlign w:val="bottom"/>
            <w:shd w:val="clear" w:color="auto" w:fill="004483"/>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88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6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r>
      <w:tr>
        <w:trPr>
          <w:trHeight w:val="183"/>
        </w:trPr>
        <w:tc>
          <w:tcPr>
            <w:tcW w:w="648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360" w:type="dxa"/>
            <w:vAlign w:val="bottom"/>
            <w:tcBorders>
              <w:bottom w:val="single" w:sz="8" w:color="004483"/>
            </w:tcBorders>
            <w:gridSpan w:val="2"/>
          </w:tcPr>
          <w:p>
            <w:pPr>
              <w:jc w:val="center"/>
              <w:ind w:right="159"/>
              <w:spacing w:after="0"/>
              <w:rPr>
                <w:sz w:val="20"/>
                <w:szCs w:val="20"/>
                <w:color w:val="auto"/>
              </w:rPr>
            </w:pPr>
            <w:r>
              <w:rPr>
                <w:rFonts w:ascii="Arial" w:cs="Arial" w:eastAsia="Arial" w:hAnsi="Arial"/>
                <w:sz w:val="13"/>
                <w:szCs w:val="13"/>
                <w:color w:val="auto"/>
                <w:w w:val="86"/>
              </w:rPr>
              <w:t>(dollars in thousands)</w:t>
            </w:r>
          </w:p>
        </w:tc>
        <w:tc>
          <w:tcPr>
            <w:tcW w:w="160" w:type="dxa"/>
            <w:vAlign w:val="bottom"/>
            <w:tcBorders>
              <w:bottom w:val="single" w:sz="8" w:color="004483"/>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004483"/>
              </w:rPr>
              <w:t>Net Earnings</w:t>
            </w: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65,786</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78,856</w:t>
            </w:r>
          </w:p>
        </w:tc>
        <w:tc>
          <w:tcPr>
            <w:tcW w:w="100" w:type="dxa"/>
            <w:vAlign w:val="bottom"/>
          </w:tcPr>
          <w:p>
            <w:pPr>
              <w:spacing w:after="0"/>
              <w:rPr>
                <w:sz w:val="16"/>
                <w:szCs w:val="16"/>
                <w:color w:val="auto"/>
              </w:rPr>
            </w:pPr>
          </w:p>
        </w:tc>
        <w:tc>
          <w:tcPr>
            <w:tcW w:w="66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84,248</w:t>
            </w:r>
          </w:p>
        </w:tc>
        <w:tc>
          <w:tcPr>
            <w:tcW w:w="100" w:type="dxa"/>
            <w:vAlign w:val="bottom"/>
          </w:tcPr>
          <w:p>
            <w:pPr>
              <w:spacing w:after="0"/>
              <w:rPr>
                <w:sz w:val="16"/>
                <w:szCs w:val="16"/>
                <w:color w:val="auto"/>
              </w:rPr>
            </w:pPr>
          </w:p>
        </w:tc>
      </w:tr>
      <w:tr>
        <w:trPr>
          <w:trHeight w:val="183"/>
        </w:trPr>
        <w:tc>
          <w:tcPr>
            <w:tcW w:w="64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Actuarial Gains (Losses) of Defined Benefit Plans:</w:t>
            </w:r>
          </w:p>
        </w:tc>
        <w:tc>
          <w:tcPr>
            <w:tcW w:w="50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A6A6A6"/>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100" w:type="dxa"/>
            <w:vAlign w:val="bottom"/>
            <w:tcBorders>
              <w:top w:val="single" w:sz="8" w:color="A6A6A6"/>
              <w:bottom w:val="single" w:sz="8" w:color="A6A6A6"/>
            </w:tcBorders>
          </w:tcPr>
          <w:p>
            <w:pPr>
              <w:spacing w:after="0"/>
              <w:rPr>
                <w:sz w:val="15"/>
                <w:szCs w:val="15"/>
                <w:color w:val="auto"/>
              </w:rPr>
            </w:pPr>
          </w:p>
        </w:tc>
        <w:tc>
          <w:tcPr>
            <w:tcW w:w="1260" w:type="dxa"/>
            <w:vAlign w:val="bottom"/>
            <w:tcBorders>
              <w:top w:val="single" w:sz="8" w:color="A6A6A6"/>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500" w:type="dxa"/>
            <w:vAlign w:val="bottom"/>
            <w:tcBorders>
              <w:top w:val="single" w:sz="8" w:color="A6A6A6"/>
              <w:bottom w:val="single" w:sz="8" w:color="A6A6A6"/>
            </w:tcBorders>
          </w:tcPr>
          <w:p>
            <w:pPr>
              <w:spacing w:after="0"/>
              <w:rPr>
                <w:sz w:val="15"/>
                <w:szCs w:val="15"/>
                <w:color w:val="auto"/>
              </w:rPr>
            </w:pPr>
          </w:p>
        </w:tc>
        <w:tc>
          <w:tcPr>
            <w:tcW w:w="880" w:type="dxa"/>
            <w:vAlign w:val="bottom"/>
            <w:tcBorders>
              <w:top w:val="single" w:sz="8" w:color="A6A6A6"/>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Unrealized Gain (Loss) During the Period</w:t>
            </w:r>
          </w:p>
        </w:tc>
        <w:tc>
          <w:tcPr>
            <w:tcW w:w="5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873</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(1,052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48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Amortization of Net Actuarial Loss</w:t>
            </w:r>
          </w:p>
        </w:tc>
        <w:tc>
          <w:tcPr>
            <w:tcW w:w="50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309</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296</w:t>
            </w:r>
          </w:p>
        </w:tc>
        <w:tc>
          <w:tcPr>
            <w:tcW w:w="10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50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212</w:t>
            </w:r>
          </w:p>
        </w:tc>
        <w:tc>
          <w:tcPr>
            <w:tcW w:w="100" w:type="dxa"/>
            <w:vAlign w:val="bottom"/>
          </w:tcPr>
          <w:p>
            <w:pPr>
              <w:spacing w:after="0"/>
              <w:rPr>
                <w:sz w:val="15"/>
                <w:szCs w:val="15"/>
                <w:color w:val="auto"/>
              </w:rPr>
            </w:pP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Comprehensive Earnings</w:t>
            </w:r>
          </w:p>
        </w:tc>
        <w:tc>
          <w:tcPr>
            <w:tcW w:w="500" w:type="dxa"/>
            <w:vAlign w:val="bottom"/>
            <w:tcBorders>
              <w:bottom w:val="single" w:sz="8" w:color="004483"/>
            </w:tcBorders>
          </w:tcPr>
          <w:p>
            <w:pPr>
              <w:jc w:val="right"/>
              <w:ind w:right="34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66,968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78,620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004483"/>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83,408</w:t>
            </w:r>
          </w:p>
        </w:tc>
        <w:tc>
          <w:tcPr>
            <w:tcW w:w="100" w:type="dxa"/>
            <w:vAlign w:val="bottom"/>
          </w:tcPr>
          <w:p>
            <w:pPr>
              <w:spacing w:after="0"/>
              <w:rPr>
                <w:sz w:val="15"/>
                <w:szCs w:val="15"/>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TEXAS LEHIGH CEMENT COMPANY LP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2040" w:type="dxa"/>
            <w:vAlign w:val="bottom"/>
            <w:gridSpan w:val="4"/>
            <w:shd w:val="clear" w:color="auto" w:fill="004483"/>
          </w:tcPr>
          <w:p>
            <w:pPr>
              <w:jc w:val="right"/>
              <w:ind w:right="399"/>
              <w:spacing w:after="0"/>
              <w:rPr>
                <w:sz w:val="20"/>
                <w:szCs w:val="20"/>
                <w:color w:val="auto"/>
              </w:rPr>
            </w:pPr>
            <w:r>
              <w:rPr>
                <w:rFonts w:ascii="Arial" w:cs="Arial" w:eastAsia="Arial" w:hAnsi="Arial"/>
                <w:sz w:val="13"/>
                <w:szCs w:val="13"/>
                <w:b w:val="1"/>
                <w:bCs w:val="1"/>
                <w:color w:val="FFFFFF"/>
              </w:rPr>
              <w:t>December 31,</w:t>
            </w:r>
          </w:p>
        </w:tc>
        <w:tc>
          <w:tcPr>
            <w:tcW w:w="9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4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040" w:type="dxa"/>
            <w:vAlign w:val="bottom"/>
            <w:tcBorders>
              <w:bottom w:val="single" w:sz="8" w:color="004483"/>
            </w:tcBorders>
            <w:gridSpan w:val="4"/>
          </w:tcPr>
          <w:p>
            <w:pPr>
              <w:jc w:val="right"/>
              <w:ind w:right="219"/>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580" w:type="dxa"/>
            <w:vAlign w:val="bottom"/>
            <w:tcBorders>
              <w:bottom w:val="single" w:sz="8" w:color="A6A6A6"/>
            </w:tcBorders>
          </w:tcPr>
          <w:p>
            <w:pPr>
              <w:spacing w:after="0"/>
              <w:rPr>
                <w:sz w:val="16"/>
                <w:szCs w:val="16"/>
                <w:color w:val="auto"/>
              </w:rPr>
            </w:pPr>
          </w:p>
        </w:tc>
        <w:tc>
          <w:tcPr>
            <w:tcW w:w="10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700" w:type="dxa"/>
            <w:vAlign w:val="bottom"/>
            <w:tcBorders>
              <w:bottom w:val="single" w:sz="8" w:color="A6A6A6"/>
            </w:tcBorders>
          </w:tcPr>
          <w:p>
            <w:pPr>
              <w:spacing w:after="0"/>
              <w:rPr>
                <w:sz w:val="16"/>
                <w:szCs w:val="16"/>
                <w:color w:val="auto"/>
              </w:rPr>
            </w:pPr>
          </w:p>
        </w:tc>
        <w:tc>
          <w:tcPr>
            <w:tcW w:w="92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Current Assets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Cash and Cash Equivalents</w:t>
            </w:r>
          </w:p>
        </w:tc>
        <w:tc>
          <w:tcPr>
            <w:tcW w:w="580" w:type="dxa"/>
            <w:vAlign w:val="bottom"/>
            <w:tcBorders>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3,864</w:t>
            </w:r>
          </w:p>
        </w:tc>
        <w:tc>
          <w:tcPr>
            <w:tcW w:w="100" w:type="dxa"/>
            <w:vAlign w:val="bottom"/>
          </w:tcPr>
          <w:p>
            <w:pPr>
              <w:spacing w:after="0"/>
              <w:rPr>
                <w:sz w:val="15"/>
                <w:szCs w:val="15"/>
                <w:color w:val="auto"/>
              </w:rPr>
            </w:pPr>
          </w:p>
        </w:tc>
        <w:tc>
          <w:tcPr>
            <w:tcW w:w="880" w:type="dxa"/>
            <w:vAlign w:val="bottom"/>
            <w:tcBorders>
              <w:bottom w:val="single" w:sz="8" w:color="A6A6A6"/>
            </w:tcBorders>
            <w:gridSpan w:val="2"/>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Accounts Receivable, net of Allowance for Doubtful Accounts and Discounts of $741 and $657</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27,643</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26,394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Inventories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Cement</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3,864</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Raw Materials and Materials-in-Process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17,198</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Repair Parts and Supplies</w:t>
            </w:r>
          </w:p>
        </w:tc>
        <w:tc>
          <w:tcPr>
            <w:tcW w:w="5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15,714</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17,051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Total Inventories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36,776</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35,366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Prepaid Assets</w:t>
            </w:r>
          </w:p>
        </w:tc>
        <w:tc>
          <w:tcPr>
            <w:tcW w:w="5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1,209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Total Current Assets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69,492</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68,460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Property, Plant, and Equipment</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Land, Including Quarry</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29,874</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29,874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Cement Plant</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149,000</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138,288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Mobile Equipment and Other</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9,378</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Furniture and Fixtures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1,002</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Construction-in-Progress</w:t>
            </w:r>
          </w:p>
        </w:tc>
        <w:tc>
          <w:tcPr>
            <w:tcW w:w="5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18,697</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28,197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Total Property, Plant, and Equipment</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207,951</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204,812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Less Accumulated Depreciation and Depletion</w:t>
            </w:r>
          </w:p>
        </w:tc>
        <w:tc>
          <w:tcPr>
            <w:tcW w:w="5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(118,023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(122,200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Property, Plant, and Equipment, net</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89,928</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82,612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Operating Lease Right-of-Use Assets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5,718</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Investment in Joint Venture</w:t>
            </w:r>
          </w:p>
        </w:tc>
        <w:tc>
          <w:tcPr>
            <w:tcW w:w="5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17,280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18,031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420" w:type="dxa"/>
            <w:vAlign w:val="bottom"/>
            <w:tcBorders>
              <w:bottom w:val="single" w:sz="8" w:color="A6A6A6"/>
            </w:tcBorders>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Total Assets</w:t>
            </w: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182,418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175,660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LIABILITIES AND PARTNERS’ CAPITAL</w:t>
            </w:r>
          </w:p>
        </w:tc>
        <w:tc>
          <w:tcPr>
            <w:tcW w:w="580" w:type="dxa"/>
            <w:vAlign w:val="bottom"/>
            <w:tcBorders>
              <w:bottom w:val="single" w:sz="8" w:color="A6A6A6"/>
            </w:tcBorders>
          </w:tcPr>
          <w:p>
            <w:pPr>
              <w:spacing w:after="0"/>
              <w:rPr>
                <w:sz w:val="24"/>
                <w:szCs w:val="24"/>
                <w:color w:val="auto"/>
              </w:rPr>
            </w:pPr>
          </w:p>
        </w:tc>
        <w:tc>
          <w:tcPr>
            <w:tcW w:w="1060" w:type="dxa"/>
            <w:vAlign w:val="bottom"/>
            <w:tcBorders>
              <w:bottom w:val="single" w:sz="8" w:color="A6A6A6"/>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6A6A6"/>
            </w:tcBorders>
          </w:tcPr>
          <w:p>
            <w:pPr>
              <w:spacing w:after="0"/>
              <w:rPr>
                <w:sz w:val="24"/>
                <w:szCs w:val="24"/>
                <w:color w:val="auto"/>
              </w:rPr>
            </w:pPr>
          </w:p>
        </w:tc>
        <w:tc>
          <w:tcPr>
            <w:tcW w:w="700" w:type="dxa"/>
            <w:vAlign w:val="bottom"/>
            <w:tcBorders>
              <w:bottom w:val="single" w:sz="8" w:color="A6A6A6"/>
            </w:tcBorders>
          </w:tcPr>
          <w:p>
            <w:pPr>
              <w:spacing w:after="0"/>
              <w:rPr>
                <w:sz w:val="24"/>
                <w:szCs w:val="24"/>
                <w:color w:val="auto"/>
              </w:rPr>
            </w:pPr>
          </w:p>
        </w:tc>
        <w:tc>
          <w:tcPr>
            <w:tcW w:w="920" w:type="dxa"/>
            <w:vAlign w:val="bottom"/>
            <w:tcBorders>
              <w:bottom w:val="single" w:sz="8" w:color="A6A6A6"/>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Current Liabilities: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Accounts Payable</w:t>
            </w:r>
          </w:p>
        </w:tc>
        <w:tc>
          <w:tcPr>
            <w:tcW w:w="580" w:type="dxa"/>
            <w:vAlign w:val="bottom"/>
            <w:tcBorders>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11,820</w:t>
            </w:r>
          </w:p>
        </w:tc>
        <w:tc>
          <w:tcPr>
            <w:tcW w:w="100" w:type="dxa"/>
            <w:vAlign w:val="bottom"/>
          </w:tcPr>
          <w:p>
            <w:pPr>
              <w:spacing w:after="0"/>
              <w:rPr>
                <w:sz w:val="15"/>
                <w:szCs w:val="15"/>
                <w:color w:val="auto"/>
              </w:rPr>
            </w:pPr>
          </w:p>
        </w:tc>
        <w:tc>
          <w:tcPr>
            <w:tcW w:w="880" w:type="dxa"/>
            <w:vAlign w:val="bottom"/>
            <w:tcBorders>
              <w:bottom w:val="single" w:sz="8" w:color="A6A6A6"/>
            </w:tcBorders>
            <w:gridSpan w:val="2"/>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9,828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Accrued Liabilities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5,610</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Operating Lease Obligation</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607</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Due to Affiliates</w:t>
            </w:r>
          </w:p>
        </w:tc>
        <w:tc>
          <w:tcPr>
            <w:tcW w:w="5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Current Liabilities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18,276</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16,884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Pension and Other Long-term Liabilities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3,236</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Operating Lease Obligation, net of Current Portion</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4,822</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Commitments and Contingencies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Partners' Capital</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General Partners' Capital</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TLCC GP LLC</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156</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Lehigh Portland Holdings, LLC</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156</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0" w:type="dxa"/>
            <w:vAlign w:val="bottom"/>
            <w:tcBorders>
              <w:bottom w:val="single" w:sz="8" w:color="A6A6A6"/>
            </w:tcBorders>
            <w:gridSpan w:val="2"/>
          </w:tcPr>
          <w:p>
            <w:pPr>
              <w:ind w:left="200"/>
              <w:spacing w:after="0" w:line="183" w:lineRule="exact"/>
              <w:rPr>
                <w:sz w:val="20"/>
                <w:szCs w:val="20"/>
                <w:color w:val="auto"/>
              </w:rPr>
            </w:pPr>
            <w:r>
              <w:rPr>
                <w:rFonts w:ascii="Arial" w:cs="Arial" w:eastAsia="Arial" w:hAnsi="Arial"/>
                <w:sz w:val="16"/>
                <w:szCs w:val="16"/>
                <w:color w:val="004483"/>
              </w:rPr>
              <w:t>Limited Partners' Capital:</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TLCC GP LLC</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77,886</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700" w:type="dxa"/>
            <w:vAlign w:val="bottom"/>
            <w:tcBorders>
              <w:bottom w:val="single" w:sz="8" w:color="A6A6A6"/>
            </w:tcBorders>
          </w:tcPr>
          <w:p>
            <w:pPr>
              <w:spacing w:after="0"/>
              <w:rPr>
                <w:sz w:val="15"/>
                <w:szCs w:val="15"/>
                <w:color w:val="auto"/>
              </w:rPr>
            </w:pPr>
          </w:p>
        </w:tc>
        <w:tc>
          <w:tcPr>
            <w:tcW w:w="9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73,660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A6A6A6"/>
            </w:tcBorders>
            <w:gridSpan w:val="2"/>
          </w:tcPr>
          <w:p>
            <w:pPr>
              <w:ind w:left="380"/>
              <w:spacing w:after="0" w:line="183" w:lineRule="exact"/>
              <w:rPr>
                <w:sz w:val="20"/>
                <w:szCs w:val="20"/>
                <w:color w:val="auto"/>
              </w:rPr>
            </w:pPr>
            <w:r>
              <w:rPr>
                <w:rFonts w:ascii="Arial" w:cs="Arial" w:eastAsia="Arial" w:hAnsi="Arial"/>
                <w:sz w:val="16"/>
                <w:szCs w:val="16"/>
                <w:color w:val="004483"/>
              </w:rPr>
              <w:t>Lehigh Portland Investments, LLC</w:t>
            </w:r>
          </w:p>
        </w:tc>
        <w:tc>
          <w:tcPr>
            <w:tcW w:w="5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77,886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004483"/>
            </w:tcBorders>
          </w:tcPr>
          <w:p>
            <w:pPr>
              <w:spacing w:after="0"/>
              <w:rPr>
                <w:sz w:val="18"/>
                <w:szCs w:val="18"/>
                <w:color w:val="auto"/>
              </w:rPr>
            </w:pP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73,660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Total Partners' Capital</w:t>
            </w:r>
          </w:p>
        </w:tc>
        <w:tc>
          <w:tcPr>
            <w:tcW w:w="5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156,084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147,616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420" w:type="dxa"/>
            <w:vAlign w:val="bottom"/>
            <w:tcBorders>
              <w:bottom w:val="single" w:sz="8" w:color="A6A6A6"/>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700" w:type="dxa"/>
            <w:vAlign w:val="bottom"/>
            <w:tcBorders>
              <w:bottom w:val="single" w:sz="8" w:color="004483"/>
            </w:tcBorders>
            <w:shd w:val="clear" w:color="auto" w:fill="004483"/>
          </w:tcPr>
          <w:p>
            <w:pPr>
              <w:spacing w:after="0"/>
              <w:rPr>
                <w:sz w:val="2"/>
                <w:szCs w:val="2"/>
                <w:color w:val="auto"/>
              </w:rPr>
            </w:pPr>
          </w:p>
        </w:tc>
        <w:tc>
          <w:tcPr>
            <w:tcW w:w="9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tcPr>
          <w:p>
            <w:pPr>
              <w:ind w:left="20"/>
              <w:spacing w:after="0" w:line="183" w:lineRule="exact"/>
              <w:rPr>
                <w:sz w:val="20"/>
                <w:szCs w:val="20"/>
                <w:color w:val="auto"/>
              </w:rPr>
            </w:pPr>
            <w:r>
              <w:rPr>
                <w:rFonts w:ascii="Arial" w:cs="Arial" w:eastAsia="Arial" w:hAnsi="Arial"/>
                <w:sz w:val="16"/>
                <w:szCs w:val="16"/>
                <w:color w:val="004483"/>
              </w:rPr>
              <w:t>Total Liabilities and Partners' Capital</w:t>
            </w:r>
          </w:p>
        </w:tc>
        <w:tc>
          <w:tcPr>
            <w:tcW w:w="180" w:type="dxa"/>
            <w:vAlign w:val="bottom"/>
          </w:tcPr>
          <w:p>
            <w:pPr>
              <w:spacing w:after="0"/>
              <w:rPr>
                <w:sz w:val="15"/>
                <w:szCs w:val="15"/>
                <w:color w:val="auto"/>
              </w:rPr>
            </w:pP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182,418</w:t>
            </w: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00" w:type="dxa"/>
            <w:vAlign w:val="bottom"/>
            <w:tcBorders>
              <w:bottom w:val="single" w:sz="8" w:color="004483"/>
            </w:tcBorders>
          </w:tcPr>
          <w:p>
            <w:pPr>
              <w:jc w:val="right"/>
              <w:ind w:right="519"/>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175,660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TEXAS LEHIGH CEMENT COMPANY LP STATEMENTS OF CHANGES IN PARTNERS’ CAPITAL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6"/>
                <w:szCs w:val="16"/>
                <w:b w:val="1"/>
                <w:bCs w:val="1"/>
                <w:color w:val="auto"/>
                <w:w w:val="98"/>
              </w:rPr>
              <w:t>General Partners'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w w:val="98"/>
              </w:rPr>
              <w:t>Limited Partners' Capital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Lehigh Portland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Lehigh Portland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rPr>
              <w:t>TLCC GP LLC</w:t>
            </w: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rPr>
              <w:t>TLCC LP LLC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79"/>
              <w:spacing w:after="0" w:line="149" w:lineRule="exact"/>
              <w:rPr>
                <w:sz w:val="20"/>
                <w:szCs w:val="20"/>
                <w:color w:val="auto"/>
              </w:rPr>
            </w:pPr>
            <w:r>
              <w:rPr>
                <w:rFonts w:ascii="Arial" w:cs="Arial" w:eastAsia="Arial" w:hAnsi="Arial"/>
                <w:sz w:val="14"/>
                <w:szCs w:val="14"/>
                <w:b w:val="1"/>
                <w:bCs w:val="1"/>
                <w:color w:val="auto"/>
                <w:w w:val="95"/>
              </w:rPr>
              <w:t>Investments,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6"/>
              </w:rPr>
              <w:t>Holdings, LLC</w:t>
            </w:r>
          </w:p>
        </w:tc>
        <w:tc>
          <w:tcPr>
            <w:tcW w:w="1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86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9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gridSpan w:val="4"/>
          </w:tcPr>
          <w:p>
            <w:pPr>
              <w:jc w:val="right"/>
              <w:ind w:right="19"/>
              <w:spacing w:after="0"/>
              <w:rPr>
                <w:sz w:val="20"/>
                <w:szCs w:val="20"/>
                <w:color w:val="auto"/>
              </w:rPr>
            </w:pPr>
            <w:r>
              <w:rPr>
                <w:rFonts w:ascii="Arial" w:cs="Arial" w:eastAsia="Arial" w:hAnsi="Arial"/>
                <w:sz w:val="13"/>
                <w:szCs w:val="13"/>
                <w:color w:val="auto"/>
                <w:w w:val="93"/>
              </w:rPr>
              <w:t>(dollars in thousands)</w:t>
            </w:r>
          </w:p>
        </w:tc>
        <w:tc>
          <w:tcPr>
            <w:tcW w:w="12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88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300" w:type="dxa"/>
            <w:vAlign w:val="bottom"/>
            <w:tcBorders>
              <w:bottom w:val="single" w:sz="8" w:color="004483"/>
            </w:tcBorders>
          </w:tcPr>
          <w:p>
            <w:pPr>
              <w:spacing w:after="0"/>
              <w:rPr>
                <w:sz w:val="15"/>
                <w:szCs w:val="15"/>
                <w:color w:val="auto"/>
              </w:rPr>
            </w:pPr>
          </w:p>
        </w:tc>
        <w:tc>
          <w:tcPr>
            <w:tcW w:w="760" w:type="dxa"/>
            <w:vAlign w:val="bottom"/>
            <w:tcBorders>
              <w:bottom w:val="single" w:sz="8" w:color="004483"/>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80" w:type="dxa"/>
            <w:vAlign w:val="bottom"/>
            <w:tcBorders>
              <w:bottom w:val="single" w:sz="8" w:color="A6A6A6"/>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6"/>
                <w:szCs w:val="16"/>
                <w:color w:val="auto"/>
              </w:rPr>
            </w:pPr>
          </w:p>
        </w:tc>
        <w:tc>
          <w:tcPr>
            <w:tcW w:w="240" w:type="dxa"/>
            <w:vAlign w:val="bottom"/>
            <w:tcBorders>
              <w:bottom w:val="single" w:sz="8" w:color="A6A6A6"/>
            </w:tcBorders>
            <w:gridSpan w:val="2"/>
          </w:tcPr>
          <w:p>
            <w:pPr>
              <w:ind w:left="14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6"/>
                <w:szCs w:val="16"/>
                <w:color w:val="auto"/>
              </w:rPr>
            </w:pPr>
          </w:p>
        </w:tc>
        <w:tc>
          <w:tcPr>
            <w:tcW w:w="300" w:type="dxa"/>
            <w:vAlign w:val="bottom"/>
            <w:tcBorders>
              <w:bottom w:val="single" w:sz="8" w:color="A6A6A6"/>
            </w:tcBorders>
            <w:gridSpan w:val="2"/>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60,423</w:t>
            </w:r>
          </w:p>
        </w:tc>
        <w:tc>
          <w:tcPr>
            <w:tcW w:w="120" w:type="dxa"/>
            <w:vAlign w:val="bottom"/>
          </w:tcPr>
          <w:p>
            <w:pPr>
              <w:spacing w:after="0"/>
              <w:rPr>
                <w:sz w:val="16"/>
                <w:szCs w:val="16"/>
                <w:color w:val="auto"/>
              </w:rPr>
            </w:pPr>
          </w:p>
        </w:tc>
        <w:tc>
          <w:tcPr>
            <w:tcW w:w="280" w:type="dxa"/>
            <w:vAlign w:val="bottom"/>
            <w:tcBorders>
              <w:bottom w:val="single" w:sz="8" w:color="A6A6A6"/>
            </w:tcBorders>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60,423</w:t>
            </w:r>
          </w:p>
        </w:tc>
        <w:tc>
          <w:tcPr>
            <w:tcW w:w="120" w:type="dxa"/>
            <w:vAlign w:val="bottom"/>
          </w:tcPr>
          <w:p>
            <w:pPr>
              <w:spacing w:after="0"/>
              <w:rPr>
                <w:sz w:val="16"/>
                <w:szCs w:val="16"/>
                <w:color w:val="auto"/>
              </w:rPr>
            </w:pPr>
          </w:p>
        </w:tc>
        <w:tc>
          <w:tcPr>
            <w:tcW w:w="420" w:type="dxa"/>
            <w:vAlign w:val="bottom"/>
            <w:tcBorders>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121,088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Net Earnings for the Year</w:t>
            </w: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42,040</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42,040</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84,248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Other Comprehensive Loss</w:t>
            </w: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(419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(840</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Distribution of Earnings</w:t>
            </w:r>
          </w:p>
        </w:tc>
        <w:tc>
          <w:tcPr>
            <w:tcW w:w="18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(64</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(32,186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(32,186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(64,500</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2019</w:t>
            </w:r>
          </w:p>
        </w:tc>
        <w:tc>
          <w:tcPr>
            <w:tcW w:w="180" w:type="dxa"/>
            <w:vAlign w:val="bottom"/>
            <w:tcBorders>
              <w:bottom w:val="single" w:sz="8" w:color="A6A6A6"/>
            </w:tcBorders>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140</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140</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69,858</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69,858</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139,996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Net Earnings for the Year</w:t>
            </w: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79</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39,349</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39,349</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78,856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Other Comprehensive Loss</w:t>
            </w: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(236</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Distribution of Earnings</w:t>
            </w:r>
          </w:p>
        </w:tc>
        <w:tc>
          <w:tcPr>
            <w:tcW w:w="18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(35,429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(35,429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(71,000</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2020</w:t>
            </w:r>
          </w:p>
        </w:tc>
        <w:tc>
          <w:tcPr>
            <w:tcW w:w="180" w:type="dxa"/>
            <w:vAlign w:val="bottom"/>
            <w:tcBorders>
              <w:bottom w:val="single" w:sz="8" w:color="A6A6A6"/>
            </w:tcBorders>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148</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148</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jc w:val="right"/>
              <w:ind w:right="1"/>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73,660</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73,660</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147,616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Net Earnings for the Year</w:t>
            </w: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66</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32,827</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32,827</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65,786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Borders>
              <w:bottom w:val="single" w:sz="8" w:color="A6A6A6"/>
            </w:tcBorders>
            <w:gridSpan w:val="2"/>
          </w:tcPr>
          <w:p>
            <w:pPr>
              <w:ind w:left="20"/>
              <w:spacing w:after="0" w:line="183" w:lineRule="exact"/>
              <w:rPr>
                <w:sz w:val="20"/>
                <w:szCs w:val="20"/>
                <w:color w:val="auto"/>
              </w:rPr>
            </w:pPr>
            <w:r>
              <w:rPr>
                <w:rFonts w:ascii="Arial" w:cs="Arial" w:eastAsia="Arial" w:hAnsi="Arial"/>
                <w:sz w:val="16"/>
                <w:szCs w:val="16"/>
                <w:color w:val="004483"/>
              </w:rPr>
              <w:t>Other Comprehensive Gain</w:t>
            </w: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9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590</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590</w:t>
            </w: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ind w:left="20"/>
              <w:spacing w:after="0" w:line="183" w:lineRule="exact"/>
              <w:rPr>
                <w:sz w:val="20"/>
                <w:szCs w:val="20"/>
                <w:color w:val="auto"/>
              </w:rPr>
            </w:pPr>
            <w:r>
              <w:rPr>
                <w:rFonts w:ascii="Arial" w:cs="Arial" w:eastAsia="Arial" w:hAnsi="Arial"/>
                <w:sz w:val="16"/>
                <w:szCs w:val="16"/>
                <w:color w:val="004483"/>
              </w:rPr>
              <w:t>Distribution of Earnings</w:t>
            </w:r>
          </w:p>
        </w:tc>
        <w:tc>
          <w:tcPr>
            <w:tcW w:w="18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(59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(59</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(29,191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(29,191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(58,500</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A6A6A6"/>
            </w:tcBorders>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9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8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0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2021</w:t>
            </w:r>
          </w:p>
        </w:tc>
        <w:tc>
          <w:tcPr>
            <w:tcW w:w="180" w:type="dxa"/>
            <w:vAlign w:val="bottom"/>
            <w:tcBorders>
              <w:bottom w:val="single" w:sz="8" w:color="004483"/>
            </w:tcBorders>
          </w:tcPr>
          <w:p>
            <w:pPr>
              <w:jc w:val="right"/>
              <w:ind w:right="1"/>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004483"/>
            </w:tcBorders>
          </w:tcPr>
          <w:p>
            <w:pPr>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004483"/>
            </w:tcBorders>
          </w:tcPr>
          <w:p>
            <w:pPr>
              <w:jc w:val="right"/>
              <w:ind w:right="1"/>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77,886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004483"/>
            </w:tcBorders>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77,886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004483"/>
            </w:tcBorders>
          </w:tcPr>
          <w:p>
            <w:pPr>
              <w:jc w:val="right"/>
              <w:ind w:right="11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156,084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TEXAS LEHIGH CEMENT COMPANY LP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60" w:type="dxa"/>
            <w:vAlign w:val="bottom"/>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00" w:type="dxa"/>
            <w:vAlign w:val="bottom"/>
            <w:gridSpan w:val="4"/>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w w:val="92"/>
              </w:rPr>
              <w:t>Year Ended December 31,</w:t>
            </w:r>
          </w:p>
        </w:tc>
        <w:tc>
          <w:tcPr>
            <w:tcW w:w="140" w:type="dxa"/>
            <w:vAlign w:val="bottom"/>
            <w:shd w:val="clear" w:color="auto" w:fill="004483"/>
          </w:tcPr>
          <w:p>
            <w:pPr>
              <w:spacing w:after="0"/>
              <w:rPr>
                <w:sz w:val="13"/>
                <w:szCs w:val="13"/>
                <w:color w:val="auto"/>
              </w:rPr>
            </w:pPr>
          </w:p>
        </w:tc>
        <w:tc>
          <w:tcPr>
            <w:tcW w:w="460" w:type="dxa"/>
            <w:vAlign w:val="bottom"/>
            <w:shd w:val="clear" w:color="auto" w:fill="004483"/>
          </w:tcPr>
          <w:p>
            <w:pPr>
              <w:spacing w:after="0"/>
              <w:rPr>
                <w:sz w:val="13"/>
                <w:szCs w:val="13"/>
                <w:color w:val="auto"/>
              </w:rPr>
            </w:pPr>
          </w:p>
        </w:tc>
        <w:tc>
          <w:tcPr>
            <w:tcW w:w="9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6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r>
      <w:tr>
        <w:trPr>
          <w:trHeight w:val="183"/>
        </w:trPr>
        <w:tc>
          <w:tcPr>
            <w:tcW w:w="656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340" w:type="dxa"/>
            <w:vAlign w:val="bottom"/>
            <w:tcBorders>
              <w:bottom w:val="single" w:sz="8" w:color="004483"/>
            </w:tcBorders>
            <w:gridSpan w:val="2"/>
          </w:tcPr>
          <w:p>
            <w:pPr>
              <w:jc w:val="right"/>
              <w:ind w:right="179"/>
              <w:spacing w:after="0"/>
              <w:rPr>
                <w:sz w:val="20"/>
                <w:szCs w:val="20"/>
                <w:color w:val="auto"/>
              </w:rPr>
            </w:pPr>
            <w:r>
              <w:rPr>
                <w:rFonts w:ascii="Arial" w:cs="Arial" w:eastAsia="Arial" w:hAnsi="Arial"/>
                <w:sz w:val="13"/>
                <w:szCs w:val="13"/>
                <w:color w:val="auto"/>
                <w:w w:val="85"/>
              </w:rPr>
              <w:t>(dollars in thousands)</w:t>
            </w:r>
          </w:p>
        </w:tc>
        <w:tc>
          <w:tcPr>
            <w:tcW w:w="140" w:type="dxa"/>
            <w:vAlign w:val="bottom"/>
            <w:tcBorders>
              <w:bottom w:val="single" w:sz="8" w:color="004483"/>
            </w:tcBorders>
          </w:tcPr>
          <w:p>
            <w:pPr>
              <w:spacing w:after="0"/>
              <w:rPr>
                <w:sz w:val="15"/>
                <w:szCs w:val="15"/>
                <w:color w:val="auto"/>
              </w:rPr>
            </w:pPr>
          </w:p>
        </w:tc>
        <w:tc>
          <w:tcPr>
            <w:tcW w:w="460" w:type="dxa"/>
            <w:vAlign w:val="bottom"/>
            <w:tcBorders>
              <w:bottom w:val="single" w:sz="8" w:color="004483"/>
            </w:tcBorders>
          </w:tcPr>
          <w:p>
            <w:pPr>
              <w:spacing w:after="0"/>
              <w:rPr>
                <w:sz w:val="15"/>
                <w:szCs w:val="15"/>
                <w:color w:val="auto"/>
              </w:rPr>
            </w:pPr>
          </w:p>
        </w:tc>
        <w:tc>
          <w:tcPr>
            <w:tcW w:w="9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tcBorders>
              <w:bottom w:val="single" w:sz="8" w:color="A6A6A6"/>
            </w:tcBorders>
          </w:tcPr>
          <w:p>
            <w:pPr>
              <w:spacing w:after="0"/>
              <w:rPr>
                <w:sz w:val="16"/>
                <w:szCs w:val="16"/>
                <w:color w:val="auto"/>
              </w:rPr>
            </w:pPr>
          </w:p>
        </w:tc>
        <w:tc>
          <w:tcPr>
            <w:tcW w:w="90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2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460" w:type="dxa"/>
            <w:vAlign w:val="bottom"/>
            <w:tcBorders>
              <w:bottom w:val="single" w:sz="8" w:color="A6A6A6"/>
            </w:tcBorders>
          </w:tcPr>
          <w:p>
            <w:pPr>
              <w:spacing w:after="0"/>
              <w:rPr>
                <w:sz w:val="16"/>
                <w:szCs w:val="16"/>
                <w:color w:val="auto"/>
              </w:rPr>
            </w:pPr>
          </w:p>
        </w:tc>
        <w:tc>
          <w:tcPr>
            <w:tcW w:w="90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5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Net Earnings</w:t>
            </w:r>
          </w:p>
        </w:tc>
        <w:tc>
          <w:tcPr>
            <w:tcW w:w="460" w:type="dxa"/>
            <w:vAlign w:val="bottom"/>
            <w:tcBorders>
              <w:bottom w:val="single" w:sz="8" w:color="A6A6A6"/>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65,786</w:t>
            </w:r>
          </w:p>
        </w:tc>
        <w:tc>
          <w:tcPr>
            <w:tcW w:w="120" w:type="dxa"/>
            <w:vAlign w:val="bottom"/>
          </w:tcPr>
          <w:p>
            <w:pPr>
              <w:spacing w:after="0"/>
              <w:rPr>
                <w:sz w:val="15"/>
                <w:szCs w:val="15"/>
                <w:color w:val="auto"/>
              </w:rPr>
            </w:pPr>
          </w:p>
        </w:tc>
        <w:tc>
          <w:tcPr>
            <w:tcW w:w="260" w:type="dxa"/>
            <w:vAlign w:val="bottom"/>
            <w:tcBorders>
              <w:bottom w:val="single" w:sz="8" w:color="A6A6A6"/>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78,856</w:t>
            </w:r>
          </w:p>
        </w:tc>
        <w:tc>
          <w:tcPr>
            <w:tcW w:w="120" w:type="dxa"/>
            <w:vAlign w:val="bottom"/>
          </w:tcPr>
          <w:p>
            <w:pPr>
              <w:spacing w:after="0"/>
              <w:rPr>
                <w:sz w:val="15"/>
                <w:szCs w:val="15"/>
                <w:color w:val="auto"/>
              </w:rPr>
            </w:pPr>
          </w:p>
        </w:tc>
        <w:tc>
          <w:tcPr>
            <w:tcW w:w="600" w:type="dxa"/>
            <w:vAlign w:val="bottom"/>
            <w:tcBorders>
              <w:bottom w:val="single" w:sz="8" w:color="A6A6A6"/>
            </w:tcBorders>
            <w:gridSpan w:val="2"/>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84,248</w:t>
            </w:r>
          </w:p>
        </w:tc>
        <w:tc>
          <w:tcPr>
            <w:tcW w:w="100" w:type="dxa"/>
            <w:vAlign w:val="bottom"/>
          </w:tcPr>
          <w:p>
            <w:pPr>
              <w:spacing w:after="0"/>
              <w:rPr>
                <w:sz w:val="15"/>
                <w:szCs w:val="15"/>
                <w:color w:val="auto"/>
              </w:rPr>
            </w:pPr>
          </w:p>
        </w:tc>
      </w:tr>
      <w:tr>
        <w:trPr>
          <w:trHeight w:val="146"/>
        </w:trPr>
        <w:tc>
          <w:tcPr>
            <w:tcW w:w="6560" w:type="dxa"/>
            <w:vAlign w:val="bottom"/>
          </w:tcPr>
          <w:p>
            <w:pPr>
              <w:ind w:left="20"/>
              <w:spacing w:after="0" w:line="146" w:lineRule="exact"/>
              <w:rPr>
                <w:sz w:val="20"/>
                <w:szCs w:val="20"/>
                <w:color w:val="auto"/>
              </w:rPr>
            </w:pPr>
            <w:r>
              <w:rPr>
                <w:rFonts w:ascii="Arial" w:cs="Arial" w:eastAsia="Arial" w:hAnsi="Arial"/>
                <w:sz w:val="16"/>
                <w:szCs w:val="16"/>
                <w:color w:val="004483"/>
              </w:rPr>
              <w:t>Adjustments to Reconcile Net Earnings to Net Cash Provided</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9"/>
        </w:trPr>
        <w:tc>
          <w:tcPr>
            <w:tcW w:w="65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w:t>
            </w:r>
          </w:p>
        </w:tc>
        <w:tc>
          <w:tcPr>
            <w:tcW w:w="46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460" w:type="dxa"/>
            <w:vAlign w:val="bottom"/>
            <w:tcBorders>
              <w:bottom w:val="single" w:sz="8" w:color="A6A6A6"/>
            </w:tcBorders>
          </w:tcPr>
          <w:p>
            <w:pPr>
              <w:spacing w:after="0"/>
              <w:rPr>
                <w:sz w:val="17"/>
                <w:szCs w:val="17"/>
                <w:color w:val="auto"/>
              </w:rPr>
            </w:pPr>
          </w:p>
        </w:tc>
        <w:tc>
          <w:tcPr>
            <w:tcW w:w="9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Depreciation and Depletion</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3,476</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3,175</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3,009</w:t>
            </w:r>
          </w:p>
        </w:tc>
        <w:tc>
          <w:tcPr>
            <w:tcW w:w="100" w:type="dxa"/>
            <w:vAlign w:val="bottom"/>
          </w:tcPr>
          <w:p>
            <w:pPr>
              <w:spacing w:after="0"/>
              <w:rPr>
                <w:sz w:val="15"/>
                <w:szCs w:val="15"/>
                <w:color w:val="auto"/>
              </w:rPr>
            </w:pPr>
          </w:p>
        </w:tc>
      </w:tr>
      <w:tr>
        <w:trPr>
          <w:trHeight w:val="183"/>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Loss (Gain) on Sales of Equipment</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315</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Equity in Loss of Unconsolidated Joint Venture</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183"/>
        </w:trPr>
        <w:tc>
          <w:tcPr>
            <w:tcW w:w="65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Distributions from Joint Venture</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750</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183"/>
        </w:trPr>
        <w:tc>
          <w:tcPr>
            <w:tcW w:w="65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Changes in Current assets and liabilities:</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Trade Accounts Receivable</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(1,249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6,943</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(4,428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Inventories</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(1,410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4,362</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865</w:t>
            </w:r>
          </w:p>
        </w:tc>
        <w:tc>
          <w:tcPr>
            <w:tcW w:w="100" w:type="dxa"/>
            <w:vAlign w:val="bottom"/>
          </w:tcPr>
          <w:p>
            <w:pPr>
              <w:spacing w:after="0"/>
              <w:rPr>
                <w:sz w:val="15"/>
                <w:szCs w:val="15"/>
                <w:color w:val="auto"/>
              </w:rPr>
            </w:pPr>
          </w:p>
        </w:tc>
      </w:tr>
      <w:tr>
        <w:trPr>
          <w:trHeight w:val="183"/>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Prepaid Assets</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14</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207</w:t>
            </w:r>
          </w:p>
        </w:tc>
        <w:tc>
          <w:tcPr>
            <w:tcW w:w="100" w:type="dxa"/>
            <w:vAlign w:val="bottom"/>
          </w:tcPr>
          <w:p>
            <w:pPr>
              <w:spacing w:after="0"/>
              <w:rPr>
                <w:sz w:val="15"/>
                <w:szCs w:val="15"/>
                <w:color w:val="auto"/>
              </w:rPr>
            </w:pPr>
          </w:p>
        </w:tc>
      </w:tr>
      <w:tr>
        <w:trPr>
          <w:trHeight w:val="183"/>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Accounts Payable</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1,992</w:t>
            </w: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(1,638</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1,944</w:t>
            </w:r>
          </w:p>
        </w:tc>
        <w:tc>
          <w:tcPr>
            <w:tcW w:w="100" w:type="dxa"/>
            <w:vAlign w:val="bottom"/>
          </w:tcPr>
          <w:p>
            <w:pPr>
              <w:spacing w:after="0"/>
              <w:rPr>
                <w:sz w:val="15"/>
                <w:szCs w:val="15"/>
                <w:color w:val="auto"/>
              </w:rPr>
            </w:pPr>
          </w:p>
        </w:tc>
      </w:tr>
      <w:tr>
        <w:trPr>
          <w:trHeight w:val="209"/>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Accrued Liabilities and Due to Affiliates</w:t>
            </w: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(1,680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(928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10"/>
        </w:trPr>
        <w:tc>
          <w:tcPr>
            <w:tcW w:w="656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Provided by Operating Activities</w:t>
            </w: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67,525</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92,387</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84,875</w:t>
            </w:r>
          </w:p>
        </w:tc>
        <w:tc>
          <w:tcPr>
            <w:tcW w:w="100" w:type="dxa"/>
            <w:vAlign w:val="bottom"/>
          </w:tcPr>
          <w:p>
            <w:pPr>
              <w:spacing w:after="0"/>
              <w:rPr>
                <w:sz w:val="18"/>
                <w:szCs w:val="18"/>
                <w:color w:val="auto"/>
              </w:rPr>
            </w:pPr>
          </w:p>
        </w:tc>
      </w:tr>
      <w:tr>
        <w:trPr>
          <w:trHeight w:val="183"/>
        </w:trPr>
        <w:tc>
          <w:tcPr>
            <w:tcW w:w="65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Additions to Property, Plant, and Equipment</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(10,792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(21,559</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(15,057</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9"/>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Proceeds from Sale of Property, Plant, and Equipment</w:t>
            </w: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r>
      <w:tr>
        <w:trPr>
          <w:trHeight w:val="210"/>
        </w:trPr>
        <w:tc>
          <w:tcPr>
            <w:tcW w:w="656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Used in Investing Activities</w:t>
            </w: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(10,792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(21,493</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(15,008</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5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56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Distributions of Earnings</w:t>
            </w: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(58,500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(71,000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(64,500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209"/>
        </w:trPr>
        <w:tc>
          <w:tcPr>
            <w:tcW w:w="6560" w:type="dxa"/>
            <w:vAlign w:val="bottom"/>
            <w:tcBorders>
              <w:bottom w:val="single" w:sz="8" w:color="A6A6A6"/>
            </w:tcBorders>
          </w:tcPr>
          <w:p>
            <w:pPr>
              <w:ind w:left="380"/>
              <w:spacing w:after="0" w:line="183" w:lineRule="exact"/>
              <w:rPr>
                <w:sz w:val="20"/>
                <w:szCs w:val="20"/>
                <w:color w:val="auto"/>
              </w:rPr>
            </w:pPr>
            <w:r>
              <w:rPr>
                <w:rFonts w:ascii="Arial" w:cs="Arial" w:eastAsia="Arial" w:hAnsi="Arial"/>
                <w:sz w:val="16"/>
                <w:szCs w:val="16"/>
                <w:color w:val="004483"/>
              </w:rPr>
              <w:t>Net Cash Used in Financing Activities</w:t>
            </w: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(58,500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(71,000</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460" w:type="dxa"/>
            <w:vAlign w:val="bottom"/>
            <w:tcBorders>
              <w:bottom w:val="single" w:sz="8" w:color="004483"/>
            </w:tcBorders>
          </w:tcPr>
          <w:p>
            <w:pPr>
              <w:spacing w:after="0"/>
              <w:rPr>
                <w:sz w:val="18"/>
                <w:szCs w:val="18"/>
                <w:color w:val="auto"/>
              </w:rPr>
            </w:pP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(64,500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5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(1,767</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2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(106</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5"/>
                <w:szCs w:val="15"/>
                <w:color w:val="auto"/>
              </w:rPr>
            </w:pPr>
          </w:p>
        </w:tc>
        <w:tc>
          <w:tcPr>
            <w:tcW w:w="46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5,367</w:t>
            </w:r>
          </w:p>
        </w:tc>
        <w:tc>
          <w:tcPr>
            <w:tcW w:w="100" w:type="dxa"/>
            <w:vAlign w:val="bottom"/>
          </w:tcPr>
          <w:p>
            <w:pPr>
              <w:spacing w:after="0"/>
              <w:rPr>
                <w:sz w:val="15"/>
                <w:szCs w:val="15"/>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AND CASH EQUIVALENTS AT BEGINNING OF YEAR</w:t>
            </w:r>
          </w:p>
        </w:tc>
        <w:tc>
          <w:tcPr>
            <w:tcW w:w="4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5,631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5,737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370</w:t>
            </w:r>
          </w:p>
        </w:tc>
        <w:tc>
          <w:tcPr>
            <w:tcW w:w="100" w:type="dxa"/>
            <w:vAlign w:val="bottom"/>
          </w:tcPr>
          <w:p>
            <w:pPr>
              <w:spacing w:after="0"/>
              <w:rPr>
                <w:sz w:val="15"/>
                <w:szCs w:val="15"/>
                <w:color w:val="auto"/>
              </w:rPr>
            </w:pPr>
          </w:p>
        </w:tc>
      </w:tr>
      <w:tr>
        <w:trPr>
          <w:trHeight w:val="27"/>
        </w:trPr>
        <w:tc>
          <w:tcPr>
            <w:tcW w:w="656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AND CASH EQUIVALENTS AT END OF YEAR</w:t>
            </w:r>
          </w:p>
        </w:tc>
        <w:tc>
          <w:tcPr>
            <w:tcW w:w="460" w:type="dxa"/>
            <w:vAlign w:val="bottom"/>
            <w:tcBorders>
              <w:bottom w:val="single" w:sz="8" w:color="004483"/>
            </w:tcBorders>
          </w:tcPr>
          <w:p>
            <w:pPr>
              <w:jc w:val="right"/>
              <w:ind w:right="279"/>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3,864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5,631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004483"/>
            </w:tcBorders>
          </w:tcPr>
          <w:p>
            <w:pPr>
              <w:jc w:val="right"/>
              <w:ind w:right="279"/>
              <w:spacing w:after="0" w:line="183"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5,737</w:t>
            </w:r>
          </w:p>
        </w:tc>
        <w:tc>
          <w:tcPr>
            <w:tcW w:w="100" w:type="dxa"/>
            <w:vAlign w:val="bottom"/>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spacing w:after="0"/>
        <w:rPr>
          <w:sz w:val="20"/>
          <w:szCs w:val="20"/>
          <w:color w:val="auto"/>
        </w:rPr>
      </w:pPr>
      <w:r>
        <w:rPr>
          <w:rFonts w:ascii="Arial" w:cs="Arial" w:eastAsia="Arial" w:hAnsi="Arial"/>
          <w:sz w:val="23"/>
          <w:szCs w:val="23"/>
          <w:b w:val="1"/>
          <w:bCs w:val="1"/>
          <w:color w:val="auto"/>
        </w:rPr>
        <w:t>Texas Lehigh Cement Company LP</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ORGANIZATION</w:t>
      </w:r>
    </w:p>
    <w:p>
      <w:pPr>
        <w:spacing w:after="0" w:line="148"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Texas Lehigh Cement Company LP (Texas Lehigh or the Company) was formed on June 27, 1986 as a Texas general partnership to operate a cement plant near Austin, Texas. Texas Lehigh was a fifty-fifty joint venture between Texas Cement Company (TCC), a wholly owned subsidiary of Eagle Materials, Inc. (EXP, formerly known as Centex Construction Products, Inc.), and Lehigh Portland Cement Company (Lehigh). On October 1, 2000, the existing Texas general partnership was converted to a Texas limited partnership. Subsequent to the limited partnership formation, TCC and Lehigh each contributed a 0.1% interest to a general partner, TLCC GP LLC and Lehigh Portland Holdings, LLC, and a 49.9% interest to a limited partner, TLCC LP LLC and Lehigh Portland Investments, LLC. The conversion and subsequent contributions were done to afford the former partners additional liability protection. Texas Lehigh Cement Company LP continues to do business as Texas Lehigh Cement Company.</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TCC’s initial capital contribution consisted of a cement plant and related real property located in Buda, Texas; four distribution terminals; various operating agreements, licenses, and excavation rights; and net working capital as specified in the joint venture agreement. Lehigh’s initial capital contribution consisted of a distribution terminal and related operating agreements, licenses, inventory, and cash.</w:t>
      </w:r>
    </w:p>
    <w:p>
      <w:pPr>
        <w:spacing w:after="0" w:line="94"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In September 2006, Texas Lehigh paid $24.5 million for a 15% interest in Houston Cement Company (HCC), a joint venture. HCC operates two terminals in Houston, Texas. Under the terms of the joint venture agreement, Texas Lehigh is entitled to sell up to 495,000 short tons from the terminals each year. Because the terms, risks, and rights granted under the joint venture agreement give Texas Lehigh significant influence over HCC, it accounts for its investment in HCC using the equity method.</w:t>
      </w:r>
    </w:p>
    <w:p>
      <w:pPr>
        <w:spacing w:after="0" w:line="97"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We evaluated all events or transactions that occurred after December 31, 2021 up through May 11, 2022, the date we issued these financial statements. During this period, we did not have any material recognizable subsequent events.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PRODUCTS AND MARKETS</w:t>
      </w:r>
    </w:p>
    <w:p>
      <w:pPr>
        <w:spacing w:after="0" w:line="134"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Texas Lehigh is a cement company engaged in the production, distribution, and sale of Portland cement, which is the essential binding ingredient in concrete. Texas Lehigh services the construction and oil and gas extraction industries in the Texas region through our manufacturing facility in Buda, Texas and our distribution terminals in Waco, Roanoke, Corpus Christi, and Houston. Texas Lehigh also owns a minority interest in Houston Cement Company through which we provide cement to the Houston market.</w:t>
      </w:r>
    </w:p>
    <w:p>
      <w:pPr>
        <w:spacing w:after="0" w:line="16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RECENT ACCOUNTING PRONOUNCEMENTS</w:t>
      </w:r>
    </w:p>
    <w:p>
      <w:pPr>
        <w:spacing w:after="0" w:line="116"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Pending Adoption</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 June 2016, the FASB issued an update on the measurement of credit losses on financial instruments, which requires entities to use a forward-looking approach based on expected losses rather than the current model of incurred losses to estimate credit losses on certain types of financial instruments, including Accounts and Notes Receivable. The application of the forward-looking model may result in earlier recognition of allowances for losses than the current method. This guidance becomes effective for us on January 1, 2023, with early adoption permitted. We are currently assessing the impact of the new standard, but we do not expect the adoption will have a material effect on our financial statements and disclosures.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5" w:right="35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b w:val="1"/>
          <w:bCs w:val="1"/>
          <w:color w:val="auto"/>
        </w:rPr>
        <w:t>(D) SIGNIFICANT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Cash and cash equivalents include investments with original maturities of three months or less. The carrying amount approximates fair value due to the short maturity of those investments.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62"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Inventories are valued at the lower of average cost or net realizable value. Raw Materials and Materials-in-Process include clinker, which is an intermediary product before it is ground into cement powder. Quantities of Raw Materials and Materials-in-Process are based on measured volumes, subject to estimation based on the size and location of the inventory piles, and then converted to tonnage using standard inventory density factors.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w:t>
      </w:r>
    </w:p>
    <w:p>
      <w:pPr>
        <w:spacing w:after="0" w:line="162" w:lineRule="exact"/>
        <w:rPr>
          <w:sz w:val="20"/>
          <w:szCs w:val="20"/>
          <w:color w:val="auto"/>
        </w:rPr>
      </w:pPr>
    </w:p>
    <w:p>
      <w:pPr>
        <w:jc w:val="both"/>
        <w:ind w:right="540"/>
        <w:spacing w:after="0" w:line="287" w:lineRule="auto"/>
        <w:rPr>
          <w:sz w:val="20"/>
          <w:szCs w:val="20"/>
          <w:color w:val="auto"/>
        </w:rPr>
      </w:pPr>
      <w:r>
        <w:rPr>
          <w:rFonts w:ascii="Arial" w:cs="Arial" w:eastAsia="Arial" w:hAnsi="Arial"/>
          <w:sz w:val="18"/>
          <w:szCs w:val="18"/>
          <w:color w:val="auto"/>
        </w:rPr>
        <w:t>One customer accounted for 14.5%, 16.1% and 12.4% of cement sales in 2021, 2020, and 2019, respectively, and 8.5% and 10.8% of Accounts Receivable at December 31, 2021 and 2020, respectively. No other customer accounted for more than 10% of cement sales during the three years presented.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62"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Property, plant, and equipment are stated at cost. Texas Lehigh’s policy is to capitalize renewals and betterments and to expense repairs and maintenance when incurred. The cost and related accumulated depreciation of assets sold or retired are removed from the financial statements, and any gain or loss is recorded in other income (expense) on the Statement of Earnings. Texas Lehigh periodically evaluates whether current events or circumstances indicate that the carrying value of its depreciable assets may not be recoverable. At December 31, 2021 and 2020, management believed no events or circumstances indicated that the carrying values may not be recoverable.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Depletion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on a straight-line basis over the estimated useful lives of the related assets, which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8"/>
                <w:szCs w:val="18"/>
                <w:color w:val="004483"/>
              </w:rPr>
              <w:t>Cement Plant</w:t>
            </w:r>
          </w:p>
        </w:tc>
        <w:tc>
          <w:tcPr>
            <w:tcW w:w="1260" w:type="dxa"/>
            <w:vAlign w:val="bottom"/>
            <w:tcBorders>
              <w:top w:val="single" w:sz="8" w:color="004483"/>
              <w:bottom w:val="single" w:sz="8" w:color="A6A6A6"/>
            </w:tcBorders>
          </w:tcPr>
          <w:p>
            <w:pPr>
              <w:ind w:left="320"/>
              <w:spacing w:after="0"/>
              <w:rPr>
                <w:sz w:val="20"/>
                <w:szCs w:val="20"/>
                <w:color w:val="auto"/>
              </w:rPr>
            </w:pPr>
            <w:r>
              <w:rPr>
                <w:rFonts w:ascii="Arial" w:cs="Arial" w:eastAsia="Arial" w:hAnsi="Arial"/>
                <w:sz w:val="18"/>
                <w:szCs w:val="18"/>
                <w:color w:val="auto"/>
                <w:w w:val="88"/>
              </w:rPr>
              <w:t>5 to 30 years</w:t>
            </w:r>
          </w:p>
        </w:tc>
      </w:tr>
      <w:tr>
        <w:trPr>
          <w:trHeight w:val="196"/>
        </w:trPr>
        <w:tc>
          <w:tcPr>
            <w:tcW w:w="9980" w:type="dxa"/>
            <w:vAlign w:val="bottom"/>
            <w:tcBorders>
              <w:bottom w:val="single" w:sz="8" w:color="A6A6A6"/>
            </w:tcBorders>
          </w:tcPr>
          <w:p>
            <w:pPr>
              <w:ind w:left="20"/>
              <w:spacing w:after="0" w:line="196" w:lineRule="exact"/>
              <w:rPr>
                <w:sz w:val="20"/>
                <w:szCs w:val="20"/>
                <w:color w:val="auto"/>
              </w:rPr>
            </w:pPr>
            <w:r>
              <w:rPr>
                <w:rFonts w:ascii="Arial" w:cs="Arial" w:eastAsia="Arial" w:hAnsi="Arial"/>
                <w:sz w:val="18"/>
                <w:szCs w:val="18"/>
                <w:color w:val="004483"/>
              </w:rPr>
              <w:t>Mobile Equipment and Other</w:t>
            </w:r>
          </w:p>
        </w:tc>
        <w:tc>
          <w:tcPr>
            <w:tcW w:w="1260" w:type="dxa"/>
            <w:vAlign w:val="bottom"/>
            <w:tcBorders>
              <w:bottom w:val="single" w:sz="8" w:color="A6A6A6"/>
            </w:tcBorders>
          </w:tcPr>
          <w:p>
            <w:pPr>
              <w:ind w:left="320"/>
              <w:spacing w:after="0" w:line="196" w:lineRule="exact"/>
              <w:rPr>
                <w:sz w:val="20"/>
                <w:szCs w:val="20"/>
                <w:color w:val="auto"/>
              </w:rPr>
            </w:pPr>
            <w:r>
              <w:rPr>
                <w:rFonts w:ascii="Arial" w:cs="Arial" w:eastAsia="Arial" w:hAnsi="Arial"/>
                <w:sz w:val="18"/>
                <w:szCs w:val="18"/>
                <w:color w:val="auto"/>
                <w:w w:val="88"/>
              </w:rPr>
              <w:t>2 to 10 years</w:t>
            </w:r>
          </w:p>
        </w:tc>
      </w:tr>
      <w:tr>
        <w:trPr>
          <w:trHeight w:val="331"/>
        </w:trPr>
        <w:tc>
          <w:tcPr>
            <w:tcW w:w="9980" w:type="dxa"/>
            <w:vAlign w:val="bottom"/>
          </w:tcPr>
          <w:p>
            <w:pPr>
              <w:spacing w:after="0"/>
              <w:rPr>
                <w:sz w:val="20"/>
                <w:szCs w:val="20"/>
                <w:color w:val="auto"/>
              </w:rPr>
            </w:pPr>
            <w:r>
              <w:rPr>
                <w:rFonts w:ascii="Arial" w:cs="Arial" w:eastAsia="Arial" w:hAnsi="Arial"/>
                <w:sz w:val="18"/>
                <w:szCs w:val="18"/>
                <w:color w:val="auto"/>
              </w:rPr>
              <w:t>Raw material deposits are depleted as such deposits are extracted for production utilizing the units-of-production method.</w:t>
            </w:r>
          </w:p>
        </w:tc>
        <w:tc>
          <w:tcPr>
            <w:tcW w:w="1260" w:type="dxa"/>
            <w:vAlign w:val="bottom"/>
          </w:tcPr>
          <w:p>
            <w:pPr>
              <w:spacing w:after="0"/>
              <w:rPr>
                <w:sz w:val="24"/>
                <w:szCs w:val="24"/>
                <w:color w:val="auto"/>
              </w:rPr>
            </w:pPr>
          </w:p>
        </w:tc>
      </w:tr>
      <w:tr>
        <w:trPr>
          <w:trHeight w:val="351"/>
        </w:trPr>
        <w:tc>
          <w:tcPr>
            <w:tcW w:w="9980" w:type="dxa"/>
            <w:vAlign w:val="bottom"/>
          </w:tcPr>
          <w:p>
            <w:pPr>
              <w:spacing w:after="0"/>
              <w:rPr>
                <w:sz w:val="20"/>
                <w:szCs w:val="20"/>
                <w:color w:val="auto"/>
              </w:rPr>
            </w:pPr>
            <w:r>
              <w:rPr>
                <w:rFonts w:ascii="Arial" w:cs="Arial" w:eastAsia="Arial" w:hAnsi="Arial"/>
                <w:sz w:val="18"/>
                <w:szCs w:val="18"/>
                <w:i w:val="1"/>
                <w:iCs w:val="1"/>
                <w:color w:val="auto"/>
              </w:rPr>
              <w:t>Revenue Recognition</w:t>
            </w:r>
          </w:p>
        </w:tc>
        <w:tc>
          <w:tcPr>
            <w:tcW w:w="1260" w:type="dxa"/>
            <w:vAlign w:val="bottom"/>
          </w:tcPr>
          <w:p>
            <w:pPr>
              <w:spacing w:after="0"/>
              <w:rPr>
                <w:sz w:val="24"/>
                <w:szCs w:val="24"/>
                <w:color w:val="auto"/>
              </w:rPr>
            </w:pPr>
          </w:p>
        </w:tc>
      </w:tr>
    </w:tbl>
    <w:p>
      <w:pPr>
        <w:spacing w:after="0" w:line="13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Texas Lehigh earns revenue primarily from the sale of cement to third-party contractors and suppliers. Customers are invoiced upon shipment. Revenue from the sale of cement that is not related to long-term supply agreements is recognized upon shipment to the customer, which is when title and ownership are transferred and the customer is obligated to pay.</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Revenue from sales under long-term supply agreements is also recognized upon transfer of control to the customer, which generally occurs at the time the product is shipped from the production or distribution facility.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color w:val="auto"/>
        </w:rPr>
        <w:t>Federal Income Taxes</w:t>
      </w:r>
    </w:p>
    <w:p>
      <w:pPr>
        <w:spacing w:after="0" w:line="1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No federal income taxes are payable by Texas Lehigh, and none have been provided for in the accompanying financial statements. The partners include their respective share of Company income or loss in their respective tax returns. Texas Lehigh is subject to Texas margin tax on its gross margin earned in Texas.</w:t>
      </w:r>
    </w:p>
    <w:p>
      <w:pPr>
        <w:spacing w:after="0" w:line="9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amount of allocable Company income or losses to the partners is subject to examination by federal and state taxing authorities. If such examinations result in changes to Company income or losses, the tax liability of the partners could be changed accordingly. No such examinations are presently in process.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16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Texas Lehigh classifies its freight revenue as sales and freight cost as Cost of Goods Sold. Freight costs of $10.2 million, $10.4 million, and $14.8 million were included in Cost of Goods Sold in 2021, 2020, and 2019, respectively. The Company has elected to treat freight and delivery charges paid for the delivery of goods to our customers as a fulfilment activity rather than a separate performance obligation.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62"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Actual results could differ from these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6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As of December 31, 2021, Texas Lehigh has an accumulated comprehensive loss of $2.8 million in connection with recognizing the difference between the fair value of the pension assets and the projected benefit obligation. This amount is excluded from earnings and reported as a component of partners’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Measures</w:t>
      </w:r>
    </w:p>
    <w:p>
      <w:pPr>
        <w:spacing w:after="0" w:line="162"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Certain assets are required to be recorded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assets and liabilities in active markets;</w:t>
      </w:r>
    </w:p>
    <w:p>
      <w:pPr>
        <w:spacing w:after="0" w:line="144" w:lineRule="exact"/>
        <w:rPr>
          <w:sz w:val="20"/>
          <w:szCs w:val="20"/>
          <w:color w:val="auto"/>
        </w:rPr>
      </w:pPr>
    </w:p>
    <w:p>
      <w:pPr>
        <w:ind w:left="520" w:right="160"/>
        <w:spacing w:after="0" w:line="293" w:lineRule="auto"/>
        <w:rPr>
          <w:sz w:val="20"/>
          <w:szCs w:val="20"/>
          <w:color w:val="auto"/>
        </w:rPr>
      </w:pPr>
      <w:r>
        <w:rPr>
          <w:rFonts w:ascii="Arial" w:cs="Arial" w:eastAsia="Arial" w:hAnsi="Arial"/>
          <w:sz w:val="18"/>
          <w:szCs w:val="18"/>
          <w:color w:val="auto"/>
        </w:rPr>
        <w:t>Level 2 – Quoted prices for similar assets and liabilities in active markets; quoted prices for identical or similar assets and liabilities in markets that are not active; or other inputs that are observable or can be corroborated by observable market data; and</w:t>
      </w:r>
    </w:p>
    <w:p>
      <w:pPr>
        <w:spacing w:after="0" w:line="89" w:lineRule="exact"/>
        <w:rPr>
          <w:sz w:val="20"/>
          <w:szCs w:val="20"/>
          <w:color w:val="auto"/>
        </w:rPr>
      </w:pPr>
    </w:p>
    <w:p>
      <w:pPr>
        <w:jc w:val="both"/>
        <w:ind w:left="520" w:right="300"/>
        <w:spacing w:after="0" w:line="28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105" w:name="page106"/>
    <w:bookmarkEnd w:id="105"/>
    <w:p>
      <w:pPr>
        <w:ind w:right="320"/>
        <w:spacing w:after="0" w:line="293"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at December 31, 2021 because of the short-term maturities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PURCHASED CEMENT</w:t>
      </w:r>
    </w:p>
    <w:p>
      <w:pPr>
        <w:spacing w:after="0" w:line="14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Texas Lehigh purchases cement for resale primarily in the Houston, Texas market. For 2021, 2020, and 2019, the sales of purchased cement were $58.1 million, $63.3 million, and $61.0 million, respectively, and the related cost of sales were $41.8 million, $39.9 million, and $41.7 million for 2021, 2020, and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ACCRUED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at December 31, 2021 and 2020 consisted of the following:</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2240" w:type="dxa"/>
            <w:vAlign w:val="bottom"/>
            <w:gridSpan w:val="4"/>
            <w:shd w:val="clear" w:color="auto" w:fill="004483"/>
          </w:tcPr>
          <w:p>
            <w:pPr>
              <w:jc w:val="right"/>
              <w:ind w:right="279"/>
              <w:spacing w:after="0"/>
              <w:rPr>
                <w:sz w:val="20"/>
                <w:szCs w:val="20"/>
                <w:color w:val="auto"/>
              </w:rPr>
            </w:pPr>
            <w:r>
              <w:rPr>
                <w:rFonts w:ascii="Arial" w:cs="Arial" w:eastAsia="Arial" w:hAnsi="Arial"/>
                <w:sz w:val="13"/>
                <w:szCs w:val="13"/>
                <w:b w:val="1"/>
                <w:bCs w:val="1"/>
                <w:color w:val="FFFFFF"/>
              </w:rPr>
              <w:t>Year Ended December 31,</w:t>
            </w:r>
          </w:p>
        </w:tc>
        <w:tc>
          <w:tcPr>
            <w:tcW w:w="72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240" w:type="dxa"/>
            <w:vAlign w:val="bottom"/>
            <w:tcBorders>
              <w:bottom w:val="single" w:sz="8" w:color="004483"/>
            </w:tcBorders>
            <w:gridSpan w:val="4"/>
          </w:tcPr>
          <w:p>
            <w:pPr>
              <w:jc w:val="right"/>
              <w:ind w:right="419"/>
              <w:spacing w:after="0"/>
              <w:rPr>
                <w:sz w:val="20"/>
                <w:szCs w:val="20"/>
                <w:color w:val="auto"/>
              </w:rPr>
            </w:pPr>
            <w:r>
              <w:rPr>
                <w:rFonts w:ascii="Arial" w:cs="Arial" w:eastAsia="Arial" w:hAnsi="Arial"/>
                <w:sz w:val="13"/>
                <w:szCs w:val="13"/>
                <w:color w:val="auto"/>
              </w:rPr>
              <w:t>(dollars in thousands)</w:t>
            </w:r>
          </w:p>
        </w:tc>
        <w:tc>
          <w:tcPr>
            <w:tcW w:w="72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color w:val="004483"/>
              </w:rPr>
              <w:t>Payroll and Incentive Compensation</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1,834</w:t>
            </w:r>
          </w:p>
        </w:tc>
        <w:tc>
          <w:tcPr>
            <w:tcW w:w="1180" w:type="dxa"/>
            <w:vAlign w:val="bottom"/>
            <w:gridSpan w:val="3"/>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Benefits and Insurance</w:t>
            </w:r>
          </w:p>
        </w:tc>
        <w:tc>
          <w:tcPr>
            <w:tcW w:w="580" w:type="dxa"/>
            <w:vAlign w:val="bottom"/>
            <w:tcBorders>
              <w:top w:val="single" w:sz="8" w:color="A6A6A6"/>
              <w:bottom w:val="single" w:sz="8" w:color="A6A6A6"/>
            </w:tcBorders>
          </w:tcPr>
          <w:p>
            <w:pPr>
              <w:spacing w:after="0"/>
              <w:rPr>
                <w:sz w:val="15"/>
                <w:szCs w:val="15"/>
                <w:color w:val="auto"/>
              </w:rPr>
            </w:pPr>
          </w:p>
        </w:tc>
        <w:tc>
          <w:tcPr>
            <w:tcW w:w="10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590</w:t>
            </w:r>
          </w:p>
        </w:tc>
        <w:tc>
          <w:tcPr>
            <w:tcW w:w="100" w:type="dxa"/>
            <w:vAlign w:val="bottom"/>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900" w:type="dxa"/>
            <w:vAlign w:val="bottom"/>
            <w:tcBorders>
              <w:top w:val="single" w:sz="8" w:color="A6A6A6"/>
              <w:bottom w:val="single" w:sz="8" w:color="A6A6A6"/>
            </w:tcBorders>
          </w:tcPr>
          <w:p>
            <w:pPr>
              <w:spacing w:after="0"/>
              <w:rPr>
                <w:sz w:val="15"/>
                <w:szCs w:val="15"/>
                <w:color w:val="auto"/>
              </w:rPr>
            </w:pPr>
          </w:p>
        </w:tc>
        <w:tc>
          <w:tcPr>
            <w:tcW w:w="7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Property Taxes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2,440</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900" w:type="dxa"/>
            <w:vAlign w:val="bottom"/>
            <w:tcBorders>
              <w:bottom w:val="single" w:sz="8" w:color="A6A6A6"/>
            </w:tcBorders>
          </w:tcPr>
          <w:p>
            <w:pPr>
              <w:spacing w:after="0"/>
              <w:rPr>
                <w:sz w:val="15"/>
                <w:szCs w:val="15"/>
                <w:color w:val="auto"/>
              </w:rPr>
            </w:pPr>
          </w:p>
        </w:tc>
        <w:tc>
          <w:tcPr>
            <w:tcW w:w="7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2,477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color w:val="004483"/>
              </w:rPr>
              <w:t>Other</w:t>
            </w:r>
          </w:p>
        </w:tc>
        <w:tc>
          <w:tcPr>
            <w:tcW w:w="5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746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754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0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900" w:type="dxa"/>
            <w:vAlign w:val="bottom"/>
            <w:tcBorders>
              <w:bottom w:val="single" w:sz="8" w:color="004483"/>
            </w:tcBorders>
            <w:shd w:val="clear" w:color="auto" w:fill="004483"/>
          </w:tcPr>
          <w:p>
            <w:pPr>
              <w:spacing w:after="0"/>
              <w:rPr>
                <w:sz w:val="2"/>
                <w:szCs w:val="2"/>
                <w:color w:val="auto"/>
              </w:rPr>
            </w:pPr>
          </w:p>
        </w:tc>
        <w:tc>
          <w:tcPr>
            <w:tcW w:w="72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5,610</w:t>
            </w: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004483"/>
            </w:tcBorders>
          </w:tcPr>
          <w:p>
            <w:pPr>
              <w:jc w:val="right"/>
              <w:ind w:right="719"/>
              <w:spacing w:after="0" w:line="183"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6,071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7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LEASES</w:t>
      </w:r>
    </w:p>
    <w:p>
      <w:pPr>
        <w:spacing w:after="0" w:line="134"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We lease certain real estate and equipment, including rail cars. Certain of these leases contain escalations of rent over the term of the lease, as well as options for us to extend the term of the lease at the end of the original term. These extensions are generally for five-year periods.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These short-term equipment leases are not recorded on the balance sheet.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was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640" w:type="dxa"/>
            <w:vAlign w:val="bottom"/>
            <w:shd w:val="clear" w:color="auto" w:fill="004483"/>
          </w:tcPr>
          <w:p>
            <w:pPr>
              <w:spacing w:after="0"/>
              <w:rPr>
                <w:sz w:val="17"/>
                <w:szCs w:val="17"/>
                <w:color w:val="auto"/>
              </w:rPr>
            </w:pPr>
          </w:p>
        </w:tc>
        <w:tc>
          <w:tcPr>
            <w:tcW w:w="2320" w:type="dxa"/>
            <w:vAlign w:val="bottom"/>
            <w:gridSpan w:val="3"/>
            <w:shd w:val="clear" w:color="auto" w:fill="004483"/>
          </w:tcPr>
          <w:p>
            <w:pPr>
              <w:jc w:val="right"/>
              <w:ind w:right="319"/>
              <w:spacing w:after="0"/>
              <w:rPr>
                <w:sz w:val="20"/>
                <w:szCs w:val="20"/>
                <w:color w:val="auto"/>
              </w:rPr>
            </w:pPr>
            <w:r>
              <w:rPr>
                <w:rFonts w:ascii="Arial" w:cs="Arial" w:eastAsia="Arial" w:hAnsi="Arial"/>
                <w:sz w:val="13"/>
                <w:szCs w:val="13"/>
                <w:b w:val="1"/>
                <w:bCs w:val="1"/>
                <w:color w:val="FFFFFF"/>
              </w:rPr>
              <w:t>Year Ended December 31,</w:t>
            </w:r>
          </w:p>
        </w:tc>
        <w:tc>
          <w:tcPr>
            <w:tcW w:w="780" w:type="dxa"/>
            <w:vAlign w:val="bottom"/>
            <w:shd w:val="clear" w:color="auto" w:fill="004483"/>
          </w:tcPr>
          <w:p>
            <w:pPr>
              <w:spacing w:after="0"/>
              <w:rPr>
                <w:sz w:val="17"/>
                <w:szCs w:val="17"/>
                <w:color w:val="auto"/>
              </w:rPr>
            </w:pPr>
          </w:p>
        </w:tc>
        <w:tc>
          <w:tcPr>
            <w:tcW w:w="100" w:type="dxa"/>
            <w:vAlign w:val="bottom"/>
            <w:shd w:val="clear" w:color="auto" w:fill="004483"/>
          </w:tcPr>
          <w:p>
            <w:pPr>
              <w:spacing w:after="0"/>
              <w:rPr>
                <w:sz w:val="17"/>
                <w:szCs w:val="17"/>
                <w:color w:val="auto"/>
              </w:rPr>
            </w:pPr>
          </w:p>
        </w:tc>
      </w:tr>
      <w:tr>
        <w:trPr>
          <w:trHeight w:val="188"/>
        </w:trPr>
        <w:tc>
          <w:tcPr>
            <w:tcW w:w="7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r>
      <w:tr>
        <w:trPr>
          <w:trHeight w:val="183"/>
        </w:trPr>
        <w:tc>
          <w:tcPr>
            <w:tcW w:w="7400" w:type="dxa"/>
            <w:vAlign w:val="bottom"/>
            <w:tcBorders>
              <w:bottom w:val="single" w:sz="8" w:color="004483"/>
            </w:tcBorders>
          </w:tcPr>
          <w:p>
            <w:pPr>
              <w:spacing w:after="0"/>
              <w:rPr>
                <w:sz w:val="15"/>
                <w:szCs w:val="15"/>
                <w:color w:val="auto"/>
              </w:rPr>
            </w:pPr>
          </w:p>
        </w:tc>
        <w:tc>
          <w:tcPr>
            <w:tcW w:w="640" w:type="dxa"/>
            <w:vAlign w:val="bottom"/>
            <w:tcBorders>
              <w:bottom w:val="single" w:sz="8" w:color="004483"/>
            </w:tcBorders>
          </w:tcPr>
          <w:p>
            <w:pPr>
              <w:spacing w:after="0"/>
              <w:rPr>
                <w:sz w:val="15"/>
                <w:szCs w:val="15"/>
                <w:color w:val="auto"/>
              </w:rPr>
            </w:pPr>
          </w:p>
        </w:tc>
        <w:tc>
          <w:tcPr>
            <w:tcW w:w="2320" w:type="dxa"/>
            <w:vAlign w:val="bottom"/>
            <w:tcBorders>
              <w:bottom w:val="single" w:sz="8" w:color="004483"/>
            </w:tcBorders>
            <w:gridSpan w:val="3"/>
          </w:tcPr>
          <w:p>
            <w:pPr>
              <w:jc w:val="right"/>
              <w:ind w:right="459"/>
              <w:spacing w:after="0"/>
              <w:rPr>
                <w:sz w:val="20"/>
                <w:szCs w:val="20"/>
                <w:color w:val="auto"/>
              </w:rPr>
            </w:pPr>
            <w:r>
              <w:rPr>
                <w:rFonts w:ascii="Arial" w:cs="Arial" w:eastAsia="Arial" w:hAnsi="Arial"/>
                <w:sz w:val="13"/>
                <w:szCs w:val="13"/>
                <w:color w:val="auto"/>
              </w:rPr>
              <w:t>(dollars in thousands)</w:t>
            </w:r>
          </w:p>
        </w:tc>
        <w:tc>
          <w:tcPr>
            <w:tcW w:w="7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40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906</w:t>
            </w:r>
          </w:p>
        </w:tc>
        <w:tc>
          <w:tcPr>
            <w:tcW w:w="1080" w:type="dxa"/>
            <w:vAlign w:val="bottom"/>
            <w:gridSpan w:val="2"/>
          </w:tcPr>
          <w:p>
            <w:pPr>
              <w:jc w:val="right"/>
              <w:ind w:right="6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16"/>
                <w:szCs w:val="16"/>
                <w:color w:val="auto"/>
              </w:rPr>
            </w:pPr>
          </w:p>
        </w:tc>
      </w:tr>
      <w:tr>
        <w:trPr>
          <w:trHeight w:val="209"/>
        </w:trPr>
        <w:tc>
          <w:tcPr>
            <w:tcW w:w="74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Short-term Lease Cost</w:t>
            </w:r>
          </w:p>
        </w:tc>
        <w:tc>
          <w:tcPr>
            <w:tcW w:w="640" w:type="dxa"/>
            <w:vAlign w:val="bottom"/>
            <w:tcBorders>
              <w:top w:val="single" w:sz="8" w:color="A6A6A6"/>
              <w:bottom w:val="single" w:sz="8" w:color="004483"/>
            </w:tcBorders>
          </w:tcPr>
          <w:p>
            <w:pPr>
              <w:spacing w:after="0"/>
              <w:rPr>
                <w:sz w:val="18"/>
                <w:szCs w:val="18"/>
                <w:color w:val="auto"/>
              </w:rPr>
            </w:pPr>
          </w:p>
        </w:tc>
        <w:tc>
          <w:tcPr>
            <w:tcW w:w="124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Borders>
              <w:top w:val="single" w:sz="8" w:color="A6A6A6"/>
              <w:bottom w:val="single" w:sz="8" w:color="004483"/>
            </w:tcBorders>
          </w:tcPr>
          <w:p>
            <w:pPr>
              <w:spacing w:after="0"/>
              <w:rPr>
                <w:sz w:val="18"/>
                <w:szCs w:val="18"/>
                <w:color w:val="auto"/>
              </w:rPr>
            </w:pPr>
          </w:p>
        </w:tc>
        <w:tc>
          <w:tcPr>
            <w:tcW w:w="780" w:type="dxa"/>
            <w:vAlign w:val="bottom"/>
            <w:tcBorders>
              <w:top w:val="single" w:sz="8" w:color="A6A6A6"/>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r>
      <w:tr>
        <w:trPr>
          <w:trHeight w:val="183"/>
        </w:trPr>
        <w:tc>
          <w:tcPr>
            <w:tcW w:w="74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Lease Cost</w:t>
            </w:r>
          </w:p>
        </w:tc>
        <w:tc>
          <w:tcPr>
            <w:tcW w:w="640" w:type="dxa"/>
            <w:vAlign w:val="bottom"/>
            <w:tcBorders>
              <w:bottom w:val="single" w:sz="8" w:color="004483"/>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906</w:t>
            </w:r>
          </w:p>
        </w:tc>
        <w:tc>
          <w:tcPr>
            <w:tcW w:w="280" w:type="dxa"/>
            <w:vAlign w:val="bottom"/>
          </w:tcPr>
          <w:p>
            <w:pPr>
              <w:spacing w:after="0"/>
              <w:rPr>
                <w:sz w:val="15"/>
                <w:szCs w:val="15"/>
                <w:color w:val="auto"/>
              </w:rPr>
            </w:pPr>
          </w:p>
        </w:tc>
        <w:tc>
          <w:tcPr>
            <w:tcW w:w="800" w:type="dxa"/>
            <w:vAlign w:val="bottom"/>
            <w:tcBorders>
              <w:bottom w:val="single" w:sz="8" w:color="004483"/>
            </w:tcBorders>
          </w:tcPr>
          <w:p>
            <w:pPr>
              <w:jc w:val="right"/>
              <w:ind w:right="61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1,356</w:t>
            </w:r>
          </w:p>
        </w:tc>
        <w:tc>
          <w:tcPr>
            <w:tcW w:w="100" w:type="dxa"/>
            <w:vAlign w:val="bottom"/>
          </w:tcPr>
          <w:p>
            <w:pPr>
              <w:spacing w:after="0"/>
              <w:rPr>
                <w:sz w:val="15"/>
                <w:szCs w:val="15"/>
                <w:color w:val="auto"/>
              </w:rPr>
            </w:pPr>
          </w:p>
        </w:tc>
      </w:tr>
      <w:tr>
        <w:trPr>
          <w:trHeight w:val="20"/>
        </w:trPr>
        <w:tc>
          <w:tcPr>
            <w:tcW w:w="7400" w:type="dxa"/>
            <w:vAlign w:val="bottom"/>
            <w:tcBorders>
              <w:bottom w:val="single" w:sz="8" w:color="A6A6A6"/>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400" w:type="dxa"/>
            <w:vAlign w:val="bottom"/>
          </w:tcPr>
          <w:p>
            <w:pPr>
              <w:ind w:left="20"/>
              <w:spacing w:after="0" w:line="170" w:lineRule="exact"/>
              <w:rPr>
                <w:sz w:val="20"/>
                <w:szCs w:val="20"/>
                <w:color w:val="auto"/>
              </w:rPr>
            </w:pPr>
            <w:r>
              <w:rPr>
                <w:rFonts w:ascii="Arial" w:cs="Arial" w:eastAsia="Arial" w:hAnsi="Arial"/>
                <w:sz w:val="16"/>
                <w:szCs w:val="16"/>
                <w:color w:val="004483"/>
              </w:rPr>
              <w:t>Operating Cash Flows used for Operating Leases</w:t>
            </w:r>
          </w:p>
        </w:tc>
        <w:tc>
          <w:tcPr>
            <w:tcW w:w="640" w:type="dxa"/>
            <w:vAlign w:val="bottom"/>
            <w:tcBorders>
              <w:bottom w:val="single" w:sz="8" w:color="004483"/>
            </w:tcBorders>
          </w:tcPr>
          <w:p>
            <w:pPr>
              <w:jc w:val="right"/>
              <w:ind w:right="459"/>
              <w:spacing w:after="0" w:line="170"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733</w:t>
            </w:r>
          </w:p>
        </w:tc>
        <w:tc>
          <w:tcPr>
            <w:tcW w:w="280" w:type="dxa"/>
            <w:vAlign w:val="bottom"/>
          </w:tcPr>
          <w:p>
            <w:pPr>
              <w:spacing w:after="0"/>
              <w:rPr>
                <w:sz w:val="14"/>
                <w:szCs w:val="14"/>
                <w:color w:val="auto"/>
              </w:rPr>
            </w:pPr>
          </w:p>
        </w:tc>
        <w:tc>
          <w:tcPr>
            <w:tcW w:w="800" w:type="dxa"/>
            <w:vAlign w:val="bottom"/>
            <w:tcBorders>
              <w:bottom w:val="single" w:sz="8" w:color="004483"/>
            </w:tcBorders>
          </w:tcPr>
          <w:p>
            <w:pPr>
              <w:jc w:val="right"/>
              <w:ind w:right="619"/>
              <w:spacing w:after="0" w:line="170"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004483"/>
            </w:tcBorders>
          </w:tcPr>
          <w:p>
            <w:pPr>
              <w:jc w:val="right"/>
              <w:spacing w:after="0" w:line="170" w:lineRule="exact"/>
              <w:rPr>
                <w:sz w:val="20"/>
                <w:szCs w:val="20"/>
                <w:color w:val="auto"/>
              </w:rPr>
            </w:pPr>
            <w:r>
              <w:rPr>
                <w:rFonts w:ascii="Arial" w:cs="Arial" w:eastAsia="Arial" w:hAnsi="Arial"/>
                <w:sz w:val="16"/>
                <w:szCs w:val="16"/>
                <w:color w:val="auto"/>
              </w:rPr>
              <w:t>1,308</w:t>
            </w:r>
          </w:p>
        </w:tc>
        <w:tc>
          <w:tcPr>
            <w:tcW w:w="100" w:type="dxa"/>
            <w:vAlign w:val="bottom"/>
          </w:tcPr>
          <w:p>
            <w:pPr>
              <w:spacing w:after="0"/>
              <w:rPr>
                <w:sz w:val="14"/>
                <w:szCs w:val="14"/>
                <w:color w:val="auto"/>
              </w:rPr>
            </w:pPr>
          </w:p>
        </w:tc>
      </w:tr>
      <w:tr>
        <w:trPr>
          <w:trHeight w:val="20"/>
        </w:trPr>
        <w:tc>
          <w:tcPr>
            <w:tcW w:w="7400" w:type="dxa"/>
            <w:vAlign w:val="bottom"/>
            <w:tcBorders>
              <w:bottom w:val="single" w:sz="8" w:color="A6A6A6"/>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00" w:type="dxa"/>
            <w:vAlign w:val="bottom"/>
          </w:tcPr>
          <w:p>
            <w:pPr>
              <w:spacing w:after="0"/>
              <w:rPr>
                <w:sz w:val="17"/>
                <w:szCs w:val="17"/>
                <w:color w:val="auto"/>
              </w:rPr>
            </w:pPr>
          </w:p>
        </w:tc>
        <w:tc>
          <w:tcPr>
            <w:tcW w:w="2940" w:type="dxa"/>
            <w:vAlign w:val="bottom"/>
            <w:shd w:val="clear" w:color="auto" w:fill="004483"/>
          </w:tcPr>
          <w:p>
            <w:pPr>
              <w:jc w:val="center"/>
              <w:ind w:left="637"/>
              <w:spacing w:after="0"/>
              <w:rPr>
                <w:sz w:val="20"/>
                <w:szCs w:val="20"/>
                <w:color w:val="auto"/>
              </w:rPr>
            </w:pPr>
            <w:r>
              <w:rPr>
                <w:rFonts w:ascii="Arial" w:cs="Arial" w:eastAsia="Arial" w:hAnsi="Arial"/>
                <w:sz w:val="13"/>
                <w:szCs w:val="13"/>
                <w:b w:val="1"/>
                <w:bCs w:val="1"/>
                <w:color w:val="FFFFFF"/>
                <w:w w:val="87"/>
              </w:rPr>
              <w:t>Year Ended December 31,</w:t>
            </w:r>
          </w:p>
        </w:tc>
        <w:tc>
          <w:tcPr>
            <w:tcW w:w="700" w:type="dxa"/>
            <w:vAlign w:val="bottom"/>
            <w:shd w:val="clear" w:color="auto" w:fill="004483"/>
          </w:tcPr>
          <w:p>
            <w:pPr>
              <w:spacing w:after="0"/>
              <w:rPr>
                <w:sz w:val="17"/>
                <w:szCs w:val="17"/>
                <w:color w:val="auto"/>
              </w:rPr>
            </w:pPr>
          </w:p>
        </w:tc>
        <w:tc>
          <w:tcPr>
            <w:tcW w:w="100" w:type="dxa"/>
            <w:vAlign w:val="bottom"/>
            <w:shd w:val="clear" w:color="auto" w:fill="004483"/>
          </w:tcPr>
          <w:p>
            <w:pPr>
              <w:spacing w:after="0"/>
              <w:rPr>
                <w:sz w:val="17"/>
                <w:szCs w:val="17"/>
                <w:color w:val="auto"/>
              </w:rPr>
            </w:pPr>
          </w:p>
        </w:tc>
      </w:tr>
      <w:tr>
        <w:trPr>
          <w:trHeight w:val="188"/>
        </w:trPr>
        <w:tc>
          <w:tcPr>
            <w:tcW w:w="7500" w:type="dxa"/>
            <w:vAlign w:val="bottom"/>
          </w:tcPr>
          <w:p>
            <w:pPr>
              <w:spacing w:after="0"/>
              <w:rPr>
                <w:sz w:val="16"/>
                <w:szCs w:val="16"/>
                <w:color w:val="auto"/>
              </w:rPr>
            </w:pPr>
          </w:p>
        </w:tc>
        <w:tc>
          <w:tcPr>
            <w:tcW w:w="2940" w:type="dxa"/>
            <w:vAlign w:val="bottom"/>
          </w:tcPr>
          <w:p>
            <w:pPr>
              <w:jc w:val="right"/>
              <w:ind w:right="1157"/>
              <w:spacing w:after="0"/>
              <w:rPr>
                <w:sz w:val="20"/>
                <w:szCs w:val="20"/>
                <w:color w:val="auto"/>
              </w:rPr>
            </w:pPr>
            <w:r>
              <w:rPr>
                <w:rFonts w:ascii="Arial" w:cs="Arial" w:eastAsia="Arial" w:hAnsi="Arial"/>
                <w:sz w:val="13"/>
                <w:szCs w:val="13"/>
                <w:b w:val="1"/>
                <w:bCs w:val="1"/>
                <w:color w:val="auto"/>
              </w:rPr>
              <w:t>2021</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r>
      <w:tr>
        <w:trPr>
          <w:trHeight w:val="183"/>
        </w:trPr>
        <w:tc>
          <w:tcPr>
            <w:tcW w:w="7500" w:type="dxa"/>
            <w:vAlign w:val="bottom"/>
            <w:tcBorders>
              <w:bottom w:val="single" w:sz="8" w:color="004483"/>
            </w:tcBorders>
          </w:tcPr>
          <w:p>
            <w:pPr>
              <w:spacing w:after="0"/>
              <w:rPr>
                <w:sz w:val="15"/>
                <w:szCs w:val="15"/>
                <w:color w:val="auto"/>
              </w:rPr>
            </w:pPr>
          </w:p>
        </w:tc>
        <w:tc>
          <w:tcPr>
            <w:tcW w:w="2940" w:type="dxa"/>
            <w:vAlign w:val="bottom"/>
            <w:tcBorders>
              <w:bottom w:val="single" w:sz="8" w:color="004483"/>
            </w:tcBorders>
          </w:tcPr>
          <w:p>
            <w:pPr>
              <w:jc w:val="center"/>
              <w:ind w:left="637"/>
              <w:spacing w:after="0"/>
              <w:rPr>
                <w:sz w:val="20"/>
                <w:szCs w:val="20"/>
                <w:color w:val="auto"/>
              </w:rPr>
            </w:pPr>
            <w:r>
              <w:rPr>
                <w:rFonts w:ascii="Arial" w:cs="Arial" w:eastAsia="Arial" w:hAnsi="Arial"/>
                <w:sz w:val="13"/>
                <w:szCs w:val="13"/>
                <w:color w:val="auto"/>
                <w:w w:val="86"/>
              </w:rPr>
              <w:t>(dollars in thousands)</w:t>
            </w:r>
          </w:p>
        </w:tc>
        <w:tc>
          <w:tcPr>
            <w:tcW w:w="7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503" w:right="339" w:bottom="1440" w:gutter="0" w:footer="0" w:header="0"/>
        </w:sectPr>
      </w:pPr>
    </w:p>
    <w:p>
      <w:pPr>
        <w:ind w:left="20"/>
        <w:spacing w:after="0"/>
        <w:rPr>
          <w:sz w:val="20"/>
          <w:szCs w:val="20"/>
          <w:color w:val="auto"/>
        </w:rPr>
      </w:pPr>
      <w:r>
        <w:rPr>
          <w:rFonts w:ascii="Arial" w:cs="Arial" w:eastAsia="Arial" w:hAnsi="Arial"/>
          <w:sz w:val="16"/>
          <w:szCs w:val="16"/>
          <w:b w:val="1"/>
          <w:bCs w:val="1"/>
          <w:color w:val="004483"/>
        </w:rPr>
        <w:t>Operating Leases: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0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720" w:type="dxa"/>
            <w:vAlign w:val="bottom"/>
            <w:tcBorders>
              <w:top w:val="single" w:sz="8" w:color="A6A6A6"/>
              <w:bottom w:val="single" w:sz="8" w:color="004483"/>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5,717</w:t>
            </w:r>
          </w:p>
        </w:tc>
      </w:tr>
      <w:tr>
        <w:trPr>
          <w:trHeight w:val="20"/>
        </w:trPr>
        <w:tc>
          <w:tcPr>
            <w:tcW w:w="7500" w:type="dxa"/>
            <w:vAlign w:val="bottom"/>
            <w:tcBorders>
              <w:bottom w:val="single" w:sz="8" w:color="A6A6A6"/>
            </w:tcBorders>
          </w:tcPr>
          <w:p>
            <w:pPr>
              <w:spacing w:after="0" w:line="20" w:lineRule="exact"/>
              <w:rPr>
                <w:sz w:val="1"/>
                <w:szCs w:val="1"/>
                <w:color w:val="auto"/>
              </w:rPr>
            </w:pPr>
          </w:p>
        </w:tc>
        <w:tc>
          <w:tcPr>
            <w:tcW w:w="72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r>
        <w:trPr>
          <w:trHeight w:val="170"/>
        </w:trPr>
        <w:tc>
          <w:tcPr>
            <w:tcW w:w="7500" w:type="dxa"/>
            <w:vAlign w:val="bottom"/>
            <w:tcBorders>
              <w:bottom w:val="single" w:sz="8" w:color="A6A6A6"/>
            </w:tcBorders>
          </w:tcPr>
          <w:p>
            <w:pPr>
              <w:spacing w:after="0"/>
              <w:rPr>
                <w:sz w:val="14"/>
                <w:szCs w:val="14"/>
                <w:color w:val="auto"/>
              </w:rPr>
            </w:pPr>
          </w:p>
        </w:tc>
        <w:tc>
          <w:tcPr>
            <w:tcW w:w="720" w:type="dxa"/>
            <w:vAlign w:val="bottom"/>
            <w:tcBorders>
              <w:bottom w:val="single" w:sz="8" w:color="A6A6A6"/>
            </w:tcBorders>
          </w:tcPr>
          <w:p>
            <w:pPr>
              <w:spacing w:after="0"/>
              <w:rPr>
                <w:sz w:val="14"/>
                <w:szCs w:val="14"/>
                <w:color w:val="auto"/>
              </w:rPr>
            </w:pPr>
          </w:p>
        </w:tc>
        <w:tc>
          <w:tcPr>
            <w:tcW w:w="1020" w:type="dxa"/>
            <w:vAlign w:val="bottom"/>
            <w:tcBorders>
              <w:bottom w:val="single" w:sz="8" w:color="A6A6A6"/>
            </w:tcBorders>
          </w:tcPr>
          <w:p>
            <w:pPr>
              <w:spacing w:after="0"/>
              <w:rPr>
                <w:sz w:val="14"/>
                <w:szCs w:val="14"/>
                <w:color w:val="auto"/>
              </w:rPr>
            </w:pPr>
          </w:p>
        </w:tc>
      </w:tr>
      <w:tr>
        <w:trPr>
          <w:trHeight w:val="183"/>
        </w:trPr>
        <w:tc>
          <w:tcPr>
            <w:tcW w:w="75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Current Operating Lease Liabilities</w:t>
            </w:r>
          </w:p>
        </w:tc>
        <w:tc>
          <w:tcPr>
            <w:tcW w:w="720" w:type="dxa"/>
            <w:vAlign w:val="bottom"/>
            <w:tcBorders>
              <w:bottom w:val="single" w:sz="8" w:color="A6A6A6"/>
            </w:tcBorders>
          </w:tcPr>
          <w:p>
            <w:pPr>
              <w:jc w:val="right"/>
              <w:ind w:right="53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607</w:t>
            </w:r>
          </w:p>
        </w:tc>
      </w:tr>
      <w:tr>
        <w:trPr>
          <w:trHeight w:val="209"/>
        </w:trPr>
        <w:tc>
          <w:tcPr>
            <w:tcW w:w="7500" w:type="dxa"/>
            <w:vAlign w:val="bottom"/>
            <w:tcBorders>
              <w:bottom w:val="single" w:sz="8" w:color="A6A6A6"/>
            </w:tcBorders>
          </w:tcPr>
          <w:p>
            <w:pPr>
              <w:ind w:left="120"/>
              <w:spacing w:after="0" w:line="183" w:lineRule="exact"/>
              <w:rPr>
                <w:sz w:val="20"/>
                <w:szCs w:val="20"/>
                <w:color w:val="auto"/>
              </w:rPr>
            </w:pPr>
            <w:r>
              <w:rPr>
                <w:rFonts w:ascii="Arial" w:cs="Arial" w:eastAsia="Arial" w:hAnsi="Arial"/>
                <w:sz w:val="16"/>
                <w:szCs w:val="16"/>
                <w:color w:val="004483"/>
              </w:rPr>
              <w:t>Noncurrent Operating Lease Liabilities</w:t>
            </w:r>
          </w:p>
        </w:tc>
        <w:tc>
          <w:tcPr>
            <w:tcW w:w="72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4,822</w:t>
            </w:r>
          </w:p>
        </w:tc>
      </w:tr>
      <w:tr>
        <w:trPr>
          <w:trHeight w:val="183"/>
        </w:trPr>
        <w:tc>
          <w:tcPr>
            <w:tcW w:w="75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Operating Lease Liabilities</w:t>
            </w:r>
          </w:p>
        </w:tc>
        <w:tc>
          <w:tcPr>
            <w:tcW w:w="720" w:type="dxa"/>
            <w:vAlign w:val="bottom"/>
            <w:tcBorders>
              <w:bottom w:val="single" w:sz="8" w:color="004483"/>
            </w:tcBorders>
          </w:tcPr>
          <w:p>
            <w:pPr>
              <w:jc w:val="right"/>
              <w:ind w:right="53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5,429</w:t>
            </w:r>
          </w:p>
        </w:tc>
      </w:tr>
      <w:tr>
        <w:trPr>
          <w:trHeight w:val="20"/>
        </w:trPr>
        <w:tc>
          <w:tcPr>
            <w:tcW w:w="7500" w:type="dxa"/>
            <w:vAlign w:val="bottom"/>
            <w:tcBorders>
              <w:bottom w:val="single" w:sz="8" w:color="A6A6A6"/>
            </w:tcBorders>
          </w:tcPr>
          <w:p>
            <w:pPr>
              <w:spacing w:after="0" w:line="20" w:lineRule="exact"/>
              <w:rPr>
                <w:sz w:val="1"/>
                <w:szCs w:val="1"/>
                <w:color w:val="auto"/>
              </w:rPr>
            </w:pPr>
          </w:p>
        </w:tc>
        <w:tc>
          <w:tcPr>
            <w:tcW w:w="72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221" w:hanging="1221"/>
        <w:spacing w:after="0"/>
        <w:tabs>
          <w:tab w:leader="none" w:pos="1221" w:val="left"/>
        </w:tabs>
        <w:numPr>
          <w:ilvl w:val="0"/>
          <w:numId w:val="22"/>
        </w:numPr>
        <w:rPr>
          <w:rFonts w:ascii="Arial" w:cs="Arial" w:eastAsia="Arial" w:hAnsi="Arial"/>
          <w:sz w:val="14"/>
          <w:szCs w:val="14"/>
          <w:color w:val="auto"/>
        </w:rPr>
      </w:pPr>
      <w:r>
        <w:rPr>
          <w:rFonts w:ascii="Arial" w:cs="Arial" w:eastAsia="Arial" w:hAnsi="Arial"/>
          <w:sz w:val="14"/>
          <w:szCs w:val="14"/>
          <w:color w:val="auto"/>
        </w:rPr>
        <w:t>6,557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-104140</wp:posOffset>
            </wp:positionV>
            <wp:extent cx="10198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1981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24130</wp:posOffset>
            </wp:positionV>
            <wp:extent cx="10198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1981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41275</wp:posOffset>
            </wp:positionV>
            <wp:extent cx="10198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169545</wp:posOffset>
            </wp:positionV>
            <wp:extent cx="10198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51" w:lineRule="exact"/>
        <w:rPr>
          <w:sz w:val="20"/>
          <w:szCs w:val="20"/>
          <w:color w:val="auto"/>
        </w:rPr>
      </w:pPr>
    </w:p>
    <w:p>
      <w:pPr>
        <w:ind w:left="1341" w:hanging="1341"/>
        <w:spacing w:after="0"/>
        <w:tabs>
          <w:tab w:leader="none" w:pos="1341" w:val="left"/>
        </w:tabs>
        <w:numPr>
          <w:ilvl w:val="0"/>
          <w:numId w:val="23"/>
        </w:numPr>
        <w:rPr>
          <w:rFonts w:ascii="Arial" w:cs="Arial" w:eastAsia="Arial" w:hAnsi="Arial"/>
          <w:sz w:val="14"/>
          <w:szCs w:val="14"/>
          <w:color w:val="auto"/>
        </w:rPr>
      </w:pPr>
      <w:r>
        <w:rPr>
          <w:rFonts w:ascii="Arial" w:cs="Arial" w:eastAsia="Arial" w:hAnsi="Arial"/>
          <w:sz w:val="14"/>
          <w:szCs w:val="14"/>
          <w:color w:val="auto"/>
        </w:rPr>
        <w:t>746</w:t>
      </w:r>
    </w:p>
    <w:p>
      <w:pPr>
        <w:spacing w:after="0" w:line="45" w:lineRule="exact"/>
        <w:rPr>
          <w:rFonts w:ascii="Arial" w:cs="Arial" w:eastAsia="Arial" w:hAnsi="Arial"/>
          <w:sz w:val="14"/>
          <w:szCs w:val="14"/>
          <w:color w:val="auto"/>
        </w:rPr>
      </w:pPr>
    </w:p>
    <w:p>
      <w:pPr>
        <w:ind w:left="1221"/>
        <w:spacing w:after="0"/>
        <w:rPr>
          <w:rFonts w:ascii="Arial" w:cs="Arial" w:eastAsia="Arial" w:hAnsi="Arial"/>
          <w:sz w:val="14"/>
          <w:szCs w:val="14"/>
          <w:color w:val="auto"/>
        </w:rPr>
      </w:pPr>
      <w:r>
        <w:rPr>
          <w:rFonts w:ascii="Arial" w:cs="Arial" w:eastAsia="Arial" w:hAnsi="Arial"/>
          <w:sz w:val="14"/>
          <w:szCs w:val="14"/>
          <w:color w:val="auto"/>
        </w:rPr>
        <w:t>5,457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-106045</wp:posOffset>
            </wp:positionV>
            <wp:extent cx="10198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21590</wp:posOffset>
            </wp:positionV>
            <wp:extent cx="101981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19810" cy="25400"/>
                    </a:xfrm>
                    <a:prstGeom prst="rect">
                      <a:avLst/>
                    </a:prstGeom>
                    <a:noFill/>
                  </pic:spPr>
                </pic:pic>
              </a:graphicData>
            </a:graphic>
          </wp:anchor>
        </w:drawing>
      </w:r>
    </w:p>
    <w:p>
      <w:pPr>
        <w:spacing w:after="0" w:line="45" w:lineRule="exact"/>
        <w:rPr>
          <w:sz w:val="20"/>
          <w:szCs w:val="20"/>
          <w:color w:val="auto"/>
        </w:rPr>
      </w:pPr>
    </w:p>
    <w:p>
      <w:pPr>
        <w:ind w:left="1221" w:hanging="1221"/>
        <w:spacing w:after="0"/>
        <w:tabs>
          <w:tab w:leader="none" w:pos="1221" w:val="left"/>
        </w:tabs>
        <w:numPr>
          <w:ilvl w:val="0"/>
          <w:numId w:val="24"/>
        </w:numPr>
        <w:rPr>
          <w:rFonts w:ascii="Arial" w:cs="Arial" w:eastAsia="Arial" w:hAnsi="Arial"/>
          <w:sz w:val="14"/>
          <w:szCs w:val="14"/>
          <w:color w:val="auto"/>
        </w:rPr>
      </w:pPr>
      <w:r>
        <w:rPr>
          <w:rFonts w:ascii="Arial" w:cs="Arial" w:eastAsia="Arial" w:hAnsi="Arial"/>
          <w:sz w:val="14"/>
          <w:szCs w:val="14"/>
          <w:color w:val="auto"/>
        </w:rPr>
        <w:t>6,203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wp:posOffset>
            </wp:positionV>
            <wp:extent cx="10198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41275</wp:posOffset>
            </wp:positionV>
            <wp:extent cx="10198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9240" w:space="299"/>
            <w:col w:w="1701"/>
          </w:cols>
          <w:pgMar w:left="320" w:top="503" w:right="339" w:bottom="1440" w:gutter="0" w:footer="0" w:header="0"/>
          <w:type w:val="continuous"/>
        </w:sectPr>
      </w:pPr>
    </w:p>
    <w:p>
      <w:pPr>
        <w:spacing w:after="0"/>
        <w:rPr>
          <w:sz w:val="20"/>
          <w:szCs w:val="20"/>
          <w:color w:val="auto"/>
        </w:rPr>
      </w:pPr>
      <w:r>
        <w:rPr>
          <w:rFonts w:ascii="Arial" w:cs="Arial" w:eastAsia="Arial" w:hAnsi="Arial"/>
          <w:sz w:val="18"/>
          <w:szCs w:val="18"/>
          <w:color w:val="auto"/>
        </w:rPr>
        <w:t>Future payments for operating leases are as follows</w:t>
      </w:r>
      <w:r>
        <w:rPr>
          <w:rFonts w:ascii="Arial" w:cs="Arial" w:eastAsia="Arial" w:hAnsi="Arial"/>
          <w:sz w:val="19"/>
          <w:szCs w:val="19"/>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For the Year Ended December 31,</w:t>
            </w:r>
          </w:p>
        </w:tc>
        <w:tc>
          <w:tcPr>
            <w:tcW w:w="280" w:type="dxa"/>
            <w:vAlign w:val="bottom"/>
          </w:tcPr>
          <w:p>
            <w:pPr>
              <w:spacing w:after="0"/>
              <w:rPr>
                <w:sz w:val="13"/>
                <w:szCs w:val="13"/>
                <w:color w:val="auto"/>
              </w:rPr>
            </w:pPr>
          </w:p>
        </w:tc>
        <w:tc>
          <w:tcPr>
            <w:tcW w:w="1940" w:type="dxa"/>
            <w:vAlign w:val="bottom"/>
            <w:gridSpan w:val="2"/>
          </w:tcPr>
          <w:p>
            <w:pPr>
              <w:jc w:val="center"/>
              <w:ind w:right="379"/>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61"/>
        </w:trPr>
        <w:tc>
          <w:tcPr>
            <w:tcW w:w="8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379"/>
              <w:spacing w:after="0"/>
              <w:rPr>
                <w:sz w:val="20"/>
                <w:szCs w:val="20"/>
                <w:color w:val="auto"/>
              </w:rPr>
            </w:pPr>
            <w:r>
              <w:rPr>
                <w:rFonts w:ascii="Arial" w:cs="Arial" w:eastAsia="Arial" w:hAnsi="Arial"/>
                <w:sz w:val="13"/>
                <w:szCs w:val="13"/>
                <w:color w:val="auto"/>
                <w:w w:val="86"/>
              </w:rPr>
              <w:t>(dollars in thousands)</w:t>
            </w:r>
          </w:p>
        </w:tc>
        <w:tc>
          <w:tcPr>
            <w:tcW w:w="0" w:type="dxa"/>
            <w:vAlign w:val="bottom"/>
          </w:tcPr>
          <w:p>
            <w:pPr>
              <w:spacing w:after="0"/>
              <w:rPr>
                <w:sz w:val="1"/>
                <w:szCs w:val="1"/>
                <w:color w:val="auto"/>
              </w:rPr>
            </w:pPr>
          </w:p>
        </w:tc>
      </w:tr>
      <w:tr>
        <w:trPr>
          <w:trHeight w:val="184"/>
        </w:trPr>
        <w:tc>
          <w:tcPr>
            <w:tcW w:w="89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2022</w:t>
            </w:r>
          </w:p>
        </w:tc>
        <w:tc>
          <w:tcPr>
            <w:tcW w:w="280" w:type="dxa"/>
            <w:vAlign w:val="bottom"/>
            <w:tcBorders>
              <w:top w:val="single" w:sz="8" w:color="004483"/>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751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2023</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629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2024</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609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2025</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2026</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379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Thereafter</w:t>
            </w:r>
          </w:p>
        </w:tc>
        <w:tc>
          <w:tcPr>
            <w:tcW w:w="280" w:type="dxa"/>
            <w:vAlign w:val="bottom"/>
            <w:tcBorders>
              <w:bottom w:val="single" w:sz="8" w:color="004483"/>
            </w:tcBorders>
          </w:tcPr>
          <w:p>
            <w:pPr>
              <w:spacing w:after="0"/>
              <w:rPr>
                <w:sz w:val="18"/>
                <w:szCs w:val="18"/>
                <w:color w:val="auto"/>
              </w:rPr>
            </w:pPr>
          </w:p>
        </w:tc>
        <w:tc>
          <w:tcPr>
            <w:tcW w:w="1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4,154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Total Lease Payments</w:t>
            </w:r>
          </w:p>
        </w:tc>
        <w:tc>
          <w:tcPr>
            <w:tcW w:w="280" w:type="dxa"/>
            <w:vAlign w:val="bottom"/>
            <w:tcBorders>
              <w:bottom w:val="single" w:sz="8" w:color="A6A6A6"/>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6,997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Less: Imputed Interest</w:t>
            </w:r>
          </w:p>
        </w:tc>
        <w:tc>
          <w:tcPr>
            <w:tcW w:w="280" w:type="dxa"/>
            <w:vAlign w:val="bottom"/>
            <w:tcBorders>
              <w:bottom w:val="single" w:sz="8" w:color="004483"/>
            </w:tcBorders>
          </w:tcPr>
          <w:p>
            <w:pPr>
              <w:spacing w:after="0"/>
              <w:rPr>
                <w:sz w:val="18"/>
                <w:szCs w:val="18"/>
                <w:color w:val="auto"/>
              </w:rPr>
            </w:pPr>
          </w:p>
        </w:tc>
        <w:tc>
          <w:tcPr>
            <w:tcW w:w="1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(1,568</w:t>
            </w:r>
          </w:p>
        </w:tc>
        <w:tc>
          <w:tcPr>
            <w:tcW w:w="1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9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Present Value of Lease Liabilities</w:t>
            </w:r>
          </w:p>
        </w:tc>
        <w:tc>
          <w:tcPr>
            <w:tcW w:w="280" w:type="dxa"/>
            <w:vAlign w:val="bottom"/>
            <w:tcBorders>
              <w:bottom w:val="single" w:sz="8" w:color="004483"/>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5,429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94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76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940" w:type="dxa"/>
            <w:vAlign w:val="bottom"/>
            <w:tcBorders>
              <w:bottom w:val="single" w:sz="8" w:color="A6A6A6"/>
            </w:tcBorders>
          </w:tcPr>
          <w:p>
            <w:pPr>
              <w:spacing w:after="0"/>
              <w:rPr>
                <w:sz w:val="14"/>
                <w:szCs w:val="14"/>
                <w:color w:val="auto"/>
              </w:rPr>
            </w:pPr>
          </w:p>
        </w:tc>
        <w:tc>
          <w:tcPr>
            <w:tcW w:w="280" w:type="dxa"/>
            <w:vAlign w:val="bottom"/>
            <w:tcBorders>
              <w:bottom w:val="single" w:sz="8" w:color="A6A6A6"/>
            </w:tcBorders>
          </w:tcPr>
          <w:p>
            <w:pPr>
              <w:spacing w:after="0"/>
              <w:rPr>
                <w:sz w:val="14"/>
                <w:szCs w:val="14"/>
                <w:color w:val="auto"/>
              </w:rPr>
            </w:pPr>
          </w:p>
        </w:tc>
        <w:tc>
          <w:tcPr>
            <w:tcW w:w="1760" w:type="dxa"/>
            <w:vAlign w:val="bottom"/>
            <w:tcBorders>
              <w:bottom w:val="single" w:sz="8" w:color="A6A6A6"/>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Remaining Lease Term (in years)</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14.3</w:t>
            </w:r>
          </w:p>
        </w:tc>
        <w:tc>
          <w:tcPr>
            <w:tcW w:w="1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83"/>
        </w:trPr>
        <w:tc>
          <w:tcPr>
            <w:tcW w:w="894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auto"/>
              </w:rPr>
              <w:t>Weighted-Average Discount Rate</w:t>
            </w:r>
          </w:p>
        </w:tc>
        <w:tc>
          <w:tcPr>
            <w:tcW w:w="280" w:type="dxa"/>
            <w:vAlign w:val="bottom"/>
            <w:tcBorders>
              <w:bottom w:val="single" w:sz="8" w:color="A6A6A6"/>
            </w:tcBorders>
          </w:tcPr>
          <w:p>
            <w:pPr>
              <w:spacing w:after="0"/>
              <w:rPr>
                <w:sz w:val="15"/>
                <w:szCs w:val="15"/>
                <w:color w:val="auto"/>
              </w:rPr>
            </w:pPr>
          </w:p>
        </w:tc>
        <w:tc>
          <w:tcPr>
            <w:tcW w:w="1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b w:val="1"/>
                <w:bCs w:val="1"/>
                <w:color w:val="auto"/>
              </w:rPr>
              <w:t>3.75</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COMMITMENTS AND CONTINGENCIES</w:t>
      </w:r>
    </w:p>
    <w:p>
      <w:pPr>
        <w:spacing w:after="0" w:line="148"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Texas Lehigh is involved in certain legal actions arising in the ordinary course of its business. Management does not believe any of these actions, either individually or in the aggregate, are material to the Company or require accrual or disclosure at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 PENSION AND PROFIT SHARING PLANS</w:t>
      </w:r>
    </w:p>
    <w:p>
      <w:pPr>
        <w:spacing w:after="0" w:line="14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Texas Lehigh provides a profit sharing plan, a defined contribution plan (“401(k) plan”) and a noncontributory defined benefit pension plan, which together cover substantially all employees and provide specified benefits to qualified employees. Texas Lehigh is not a party to any multi-employer pension plan. Benefits paid under the defined benefit plan cover hourly employees and are based on years of service and the employee’s highest qualifying compensation over any five-year period of employment. Texas Lehigh’s funding policy is to contribute the legally required minimum amounts with the discretion to contribute additional amounts from time to time.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07" w:name="page108"/>
    <w:bookmarkEnd w:id="107"/>
    <w:p>
      <w:pPr>
        <w:ind w:right="440"/>
        <w:spacing w:after="0" w:line="293" w:lineRule="auto"/>
        <w:rPr>
          <w:sz w:val="20"/>
          <w:szCs w:val="20"/>
          <w:color w:val="auto"/>
        </w:rPr>
      </w:pPr>
      <w:r>
        <w:rPr>
          <w:rFonts w:ascii="Arial" w:cs="Arial" w:eastAsia="Arial" w:hAnsi="Arial"/>
          <w:sz w:val="18"/>
          <w:szCs w:val="18"/>
          <w:color w:val="auto"/>
        </w:rPr>
        <w:t>The annual measurement date is December 31 for the benefit obligations, fair value of plan assets, and the funded status of the defined benefit plan.</w:t>
      </w:r>
    </w:p>
    <w:p>
      <w:pPr>
        <w:spacing w:after="0" w:line="89"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The following table provides a reconciliation of the defined benefit pension plan obligation and fair value of plan assets over the two-year period ended December 31, 2021, and a statement of the funded status as of December 31, 2021 and 2020: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2200" w:type="dxa"/>
            <w:vAlign w:val="bottom"/>
            <w:gridSpan w:val="4"/>
            <w:shd w:val="clear" w:color="auto" w:fill="004483"/>
          </w:tcPr>
          <w:p>
            <w:pPr>
              <w:jc w:val="center"/>
              <w:ind w:left="104"/>
              <w:spacing w:after="0"/>
              <w:rPr>
                <w:sz w:val="20"/>
                <w:szCs w:val="20"/>
                <w:color w:val="auto"/>
              </w:rPr>
            </w:pPr>
            <w:r>
              <w:rPr>
                <w:rFonts w:ascii="Arial" w:cs="Arial" w:eastAsia="Arial" w:hAnsi="Arial"/>
                <w:sz w:val="13"/>
                <w:szCs w:val="13"/>
                <w:b w:val="1"/>
                <w:bCs w:val="1"/>
                <w:color w:val="FFFFFF"/>
                <w:w w:val="86"/>
              </w:rPr>
              <w:t>Year Ended December 31,</w:t>
            </w:r>
          </w:p>
        </w:tc>
        <w:tc>
          <w:tcPr>
            <w:tcW w:w="76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200" w:type="dxa"/>
            <w:vAlign w:val="bottom"/>
            <w:tcBorders>
              <w:bottom w:val="single" w:sz="8" w:color="004483"/>
            </w:tcBorders>
            <w:gridSpan w:val="4"/>
          </w:tcPr>
          <w:p>
            <w:pPr>
              <w:jc w:val="center"/>
              <w:ind w:left="104"/>
              <w:spacing w:after="0"/>
              <w:rPr>
                <w:sz w:val="20"/>
                <w:szCs w:val="20"/>
                <w:color w:val="auto"/>
              </w:rPr>
            </w:pPr>
            <w:r>
              <w:rPr>
                <w:rFonts w:ascii="Arial" w:cs="Arial" w:eastAsia="Arial" w:hAnsi="Arial"/>
                <w:sz w:val="13"/>
                <w:szCs w:val="13"/>
                <w:color w:val="auto"/>
                <w:w w:val="88"/>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Reconciliation of Benefit Obligations</w:t>
            </w:r>
          </w:p>
        </w:tc>
        <w:tc>
          <w:tcPr>
            <w:tcW w:w="580" w:type="dxa"/>
            <w:vAlign w:val="bottom"/>
            <w:tcBorders>
              <w:bottom w:val="single" w:sz="8" w:color="A6A6A6"/>
            </w:tcBorders>
          </w:tcPr>
          <w:p>
            <w:pPr>
              <w:spacing w:after="0"/>
              <w:rPr>
                <w:sz w:val="16"/>
                <w:szCs w:val="16"/>
                <w:color w:val="auto"/>
              </w:rPr>
            </w:pPr>
          </w:p>
        </w:tc>
        <w:tc>
          <w:tcPr>
            <w:tcW w:w="10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Benefit Obligation at January 1</w:t>
            </w:r>
          </w:p>
        </w:tc>
        <w:tc>
          <w:tcPr>
            <w:tcW w:w="580" w:type="dxa"/>
            <w:vAlign w:val="bottom"/>
            <w:tcBorders>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13,880</w:t>
            </w:r>
          </w:p>
        </w:tc>
        <w:tc>
          <w:tcPr>
            <w:tcW w:w="100" w:type="dxa"/>
            <w:vAlign w:val="bottom"/>
          </w:tcPr>
          <w:p>
            <w:pPr>
              <w:spacing w:after="0"/>
              <w:rPr>
                <w:sz w:val="15"/>
                <w:szCs w:val="15"/>
                <w:color w:val="auto"/>
              </w:rPr>
            </w:pPr>
          </w:p>
        </w:tc>
        <w:tc>
          <w:tcPr>
            <w:tcW w:w="1040" w:type="dxa"/>
            <w:vAlign w:val="bottom"/>
            <w:tcBorders>
              <w:bottom w:val="single" w:sz="8" w:color="A6A6A6"/>
            </w:tcBorders>
            <w:gridSpan w:val="2"/>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12,421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Service Cost</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294</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 Cost on Projected Benefit Obligation</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395</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Actuarial Loss (Gain)</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Benefits Paid</w:t>
            </w:r>
          </w:p>
        </w:tc>
        <w:tc>
          <w:tcPr>
            <w:tcW w:w="5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(490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86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(403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Benefit Obligation at December 31</w:t>
            </w: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13,596</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60" w:type="dxa"/>
            <w:vAlign w:val="bottom"/>
            <w:tcBorders>
              <w:bottom w:val="single" w:sz="8" w:color="004483"/>
            </w:tcBorders>
          </w:tcPr>
          <w:p>
            <w:pPr>
              <w:jc w:val="right"/>
              <w:ind w:right="67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13,880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Reconciliation of Fair Value of Plan Assets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Fair Value of Plan Assets at January 1</w:t>
            </w:r>
          </w:p>
        </w:tc>
        <w:tc>
          <w:tcPr>
            <w:tcW w:w="580" w:type="dxa"/>
            <w:vAlign w:val="bottom"/>
            <w:tcBorders>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10,440</w:t>
            </w:r>
          </w:p>
        </w:tc>
        <w:tc>
          <w:tcPr>
            <w:tcW w:w="100" w:type="dxa"/>
            <w:vAlign w:val="bottom"/>
          </w:tcPr>
          <w:p>
            <w:pPr>
              <w:spacing w:after="0"/>
              <w:rPr>
                <w:sz w:val="15"/>
                <w:szCs w:val="15"/>
                <w:color w:val="auto"/>
              </w:rPr>
            </w:pPr>
          </w:p>
        </w:tc>
        <w:tc>
          <w:tcPr>
            <w:tcW w:w="1040" w:type="dxa"/>
            <w:vAlign w:val="bottom"/>
            <w:tcBorders>
              <w:bottom w:val="single" w:sz="8" w:color="A6A6A6"/>
            </w:tcBorders>
            <w:gridSpan w:val="2"/>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9,212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Actual Return on Plan Assets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740</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1,171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Employer Contributions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1,000</w:t>
            </w: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Benefits Paid</w:t>
            </w:r>
          </w:p>
        </w:tc>
        <w:tc>
          <w:tcPr>
            <w:tcW w:w="580" w:type="dxa"/>
            <w:vAlign w:val="bottom"/>
            <w:tcBorders>
              <w:bottom w:val="single" w:sz="8" w:color="004483"/>
            </w:tcBorders>
          </w:tcPr>
          <w:p>
            <w:pPr>
              <w:spacing w:after="0"/>
              <w:rPr>
                <w:sz w:val="18"/>
                <w:szCs w:val="18"/>
                <w:color w:val="auto"/>
              </w:rPr>
            </w:pP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(490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86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(403</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color w:val="004483"/>
              </w:rPr>
              <w:t>Fair Value of Plan Assets at December 31</w:t>
            </w:r>
          </w:p>
        </w:tc>
        <w:tc>
          <w:tcPr>
            <w:tcW w:w="580" w:type="dxa"/>
            <w:vAlign w:val="bottom"/>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11,690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67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10,440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0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bottom w:val="single" w:sz="8" w:color="A6A6A6"/>
            </w:tcBorders>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Unfunded Status at December 31</w:t>
            </w: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(1,906</w:t>
            </w: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004483"/>
            </w:tcBorders>
          </w:tcPr>
          <w:p>
            <w:pPr>
              <w:jc w:val="right"/>
              <w:ind w:right="67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(3,440</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580" w:type="dxa"/>
            <w:vAlign w:val="bottom"/>
            <w:shd w:val="clear" w:color="auto" w:fill="004483"/>
          </w:tcPr>
          <w:p>
            <w:pPr>
              <w:spacing w:after="0"/>
              <w:rPr>
                <w:sz w:val="16"/>
                <w:szCs w:val="16"/>
                <w:color w:val="auto"/>
              </w:rPr>
            </w:pPr>
          </w:p>
        </w:tc>
        <w:tc>
          <w:tcPr>
            <w:tcW w:w="2200" w:type="dxa"/>
            <w:vAlign w:val="bottom"/>
            <w:gridSpan w:val="4"/>
            <w:shd w:val="clear" w:color="auto" w:fill="004483"/>
          </w:tcPr>
          <w:p>
            <w:pPr>
              <w:jc w:val="center"/>
              <w:ind w:left="104"/>
              <w:spacing w:after="0"/>
              <w:rPr>
                <w:sz w:val="20"/>
                <w:szCs w:val="20"/>
                <w:color w:val="auto"/>
              </w:rPr>
            </w:pPr>
            <w:r>
              <w:rPr>
                <w:rFonts w:ascii="Arial" w:cs="Arial" w:eastAsia="Arial" w:hAnsi="Arial"/>
                <w:sz w:val="13"/>
                <w:szCs w:val="13"/>
                <w:b w:val="1"/>
                <w:bCs w:val="1"/>
                <w:color w:val="FFFFFF"/>
                <w:w w:val="86"/>
              </w:rPr>
              <w:t>Year Ended December 31,</w:t>
            </w:r>
          </w:p>
        </w:tc>
        <w:tc>
          <w:tcPr>
            <w:tcW w:w="760" w:type="dxa"/>
            <w:vAlign w:val="bottom"/>
            <w:shd w:val="clear" w:color="auto" w:fill="004483"/>
          </w:tcPr>
          <w:p>
            <w:pPr>
              <w:spacing w:after="0"/>
              <w:rPr>
                <w:sz w:val="16"/>
                <w:szCs w:val="16"/>
                <w:color w:val="auto"/>
              </w:rPr>
            </w:pPr>
          </w:p>
        </w:tc>
        <w:tc>
          <w:tcPr>
            <w:tcW w:w="100" w:type="dxa"/>
            <w:vAlign w:val="bottom"/>
            <w:shd w:val="clear" w:color="auto" w:fill="00448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0" w:type="dxa"/>
            <w:vAlign w:val="bottom"/>
            <w:vMerge w:val="restart"/>
          </w:tcPr>
          <w:p>
            <w:pPr>
              <w:ind w:left="20"/>
              <w:spacing w:after="0"/>
              <w:rPr>
                <w:sz w:val="20"/>
                <w:szCs w:val="20"/>
                <w:color w:val="auto"/>
              </w:rPr>
            </w:pPr>
            <w:r>
              <w:rPr>
                <w:rFonts w:ascii="Arial" w:cs="Arial" w:eastAsia="Arial" w:hAnsi="Arial"/>
                <w:sz w:val="16"/>
                <w:szCs w:val="16"/>
                <w:b w:val="1"/>
                <w:bCs w:val="1"/>
                <w:color w:val="004483"/>
              </w:rPr>
              <w:t>Amounts Recognized in the Balance Sheet Consist of</w:t>
            </w: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00" w:type="dxa"/>
            <w:vAlign w:val="bottom"/>
            <w:tcBorders>
              <w:bottom w:val="single" w:sz="8" w:color="A6A6A6"/>
            </w:tcBorders>
            <w:vMerge w:val="continue"/>
          </w:tcPr>
          <w:p>
            <w:pPr>
              <w:spacing w:after="0"/>
              <w:rPr>
                <w:sz w:val="16"/>
                <w:szCs w:val="16"/>
                <w:color w:val="auto"/>
              </w:rPr>
            </w:pPr>
          </w:p>
        </w:tc>
        <w:tc>
          <w:tcPr>
            <w:tcW w:w="580" w:type="dxa"/>
            <w:vAlign w:val="bottom"/>
            <w:tcBorders>
              <w:bottom w:val="single" w:sz="8" w:color="A6A6A6"/>
            </w:tcBorders>
          </w:tcPr>
          <w:p>
            <w:pPr>
              <w:spacing w:after="0"/>
              <w:rPr>
                <w:sz w:val="16"/>
                <w:szCs w:val="16"/>
                <w:color w:val="auto"/>
              </w:rPr>
            </w:pPr>
          </w:p>
        </w:tc>
        <w:tc>
          <w:tcPr>
            <w:tcW w:w="10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Accrued Benefit Liability</w:t>
            </w:r>
          </w:p>
        </w:tc>
        <w:tc>
          <w:tcPr>
            <w:tcW w:w="580" w:type="dxa"/>
            <w:vAlign w:val="bottom"/>
            <w:tcBorders>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(1,906</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040" w:type="dxa"/>
            <w:vAlign w:val="bottom"/>
            <w:tcBorders>
              <w:bottom w:val="single" w:sz="8" w:color="A6A6A6"/>
            </w:tcBorders>
            <w:gridSpan w:val="2"/>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(3,440</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Accumulated Other Comprehensive Loss:</w:t>
            </w:r>
          </w:p>
        </w:tc>
        <w:tc>
          <w:tcPr>
            <w:tcW w:w="580" w:type="dxa"/>
            <w:vAlign w:val="bottom"/>
            <w:tcBorders>
              <w:bottom w:val="single" w:sz="8" w:color="A6A6A6"/>
            </w:tcBorders>
          </w:tcPr>
          <w:p>
            <w:pPr>
              <w:spacing w:after="0"/>
              <w:rPr>
                <w:sz w:val="15"/>
                <w:szCs w:val="15"/>
                <w:color w:val="auto"/>
              </w:rPr>
            </w:pPr>
          </w:p>
        </w:tc>
        <w:tc>
          <w:tcPr>
            <w:tcW w:w="10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0" w:type="dxa"/>
            <w:vAlign w:val="bottom"/>
          </w:tcPr>
          <w:p>
            <w:pPr>
              <w:ind w:left="20"/>
              <w:spacing w:after="0" w:line="183" w:lineRule="exact"/>
              <w:rPr>
                <w:sz w:val="20"/>
                <w:szCs w:val="20"/>
                <w:color w:val="auto"/>
              </w:rPr>
            </w:pPr>
            <w:r>
              <w:rPr>
                <w:rFonts w:ascii="Arial" w:cs="Arial" w:eastAsia="Arial" w:hAnsi="Arial"/>
                <w:sz w:val="16"/>
                <w:szCs w:val="16"/>
                <w:color w:val="004483"/>
              </w:rPr>
              <w:t>Net Actuarial Loss</w:t>
            </w:r>
          </w:p>
        </w:tc>
        <w:tc>
          <w:tcPr>
            <w:tcW w:w="5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2,762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3,942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0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Accumulated Other Comprehensive Loss</w:t>
            </w: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2,762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004483"/>
            </w:tcBorders>
          </w:tcPr>
          <w:p>
            <w:pPr>
              <w:jc w:val="right"/>
              <w:ind w:right="679"/>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3,942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pension plans with an accumulated benefit obligation in excess of plan assets: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2200" w:type="dxa"/>
            <w:vAlign w:val="bottom"/>
            <w:gridSpan w:val="3"/>
            <w:shd w:val="clear" w:color="auto" w:fill="004483"/>
          </w:tcPr>
          <w:p>
            <w:pPr>
              <w:jc w:val="right"/>
              <w:ind w:right="239"/>
              <w:spacing w:after="0"/>
              <w:rPr>
                <w:sz w:val="20"/>
                <w:szCs w:val="20"/>
                <w:color w:val="auto"/>
              </w:rPr>
            </w:pPr>
            <w:r>
              <w:rPr>
                <w:rFonts w:ascii="Arial" w:cs="Arial" w:eastAsia="Arial" w:hAnsi="Arial"/>
                <w:sz w:val="13"/>
                <w:szCs w:val="13"/>
                <w:b w:val="1"/>
                <w:bCs w:val="1"/>
                <w:color w:val="FFFFFF"/>
              </w:rPr>
              <w:t>Year Ended December 31,</w:t>
            </w:r>
          </w:p>
        </w:tc>
        <w:tc>
          <w:tcPr>
            <w:tcW w:w="76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7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r>
      <w:tr>
        <w:trPr>
          <w:trHeight w:val="183"/>
        </w:trPr>
        <w:tc>
          <w:tcPr>
            <w:tcW w:w="760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2200" w:type="dxa"/>
            <w:vAlign w:val="bottom"/>
            <w:tcBorders>
              <w:bottom w:val="single" w:sz="8" w:color="004483"/>
            </w:tcBorders>
            <w:gridSpan w:val="3"/>
          </w:tcPr>
          <w:p>
            <w:pPr>
              <w:jc w:val="right"/>
              <w:ind w:right="37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b w:val="1"/>
                <w:bCs w:val="1"/>
                <w:color w:val="004483"/>
              </w:rPr>
              <w:t>Projected Benefit Obligation</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13,596</w:t>
            </w:r>
          </w:p>
        </w:tc>
        <w:tc>
          <w:tcPr>
            <w:tcW w:w="114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13,880</w:t>
            </w:r>
          </w:p>
        </w:tc>
        <w:tc>
          <w:tcPr>
            <w:tcW w:w="100" w:type="dxa"/>
            <w:vAlign w:val="bottom"/>
          </w:tcPr>
          <w:p>
            <w:pPr>
              <w:spacing w:after="0"/>
              <w:rPr>
                <w:sz w:val="16"/>
                <w:szCs w:val="16"/>
                <w:color w:val="auto"/>
              </w:rPr>
            </w:pPr>
          </w:p>
        </w:tc>
      </w:tr>
      <w:tr>
        <w:trPr>
          <w:trHeight w:val="183"/>
        </w:trPr>
        <w:tc>
          <w:tcPr>
            <w:tcW w:w="760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Accumulated Benefit Obligation</w:t>
            </w:r>
          </w:p>
        </w:tc>
        <w:tc>
          <w:tcPr>
            <w:tcW w:w="580" w:type="dxa"/>
            <w:vAlign w:val="bottom"/>
            <w:tcBorders>
              <w:top w:val="single" w:sz="8" w:color="A6A6A6"/>
              <w:bottom w:val="single" w:sz="8" w:color="A6A6A6"/>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13,596</w:t>
            </w:r>
          </w:p>
        </w:tc>
        <w:tc>
          <w:tcPr>
            <w:tcW w:w="100" w:type="dxa"/>
            <w:vAlign w:val="bottom"/>
          </w:tcPr>
          <w:p>
            <w:pPr>
              <w:spacing w:after="0"/>
              <w:rPr>
                <w:sz w:val="15"/>
                <w:szCs w:val="15"/>
                <w:color w:val="auto"/>
              </w:rPr>
            </w:pPr>
          </w:p>
        </w:tc>
        <w:tc>
          <w:tcPr>
            <w:tcW w:w="1040" w:type="dxa"/>
            <w:vAlign w:val="bottom"/>
            <w:tcBorders>
              <w:top w:val="single" w:sz="8" w:color="A6A6A6"/>
              <w:bottom w:val="single" w:sz="8" w:color="A6A6A6"/>
            </w:tcBorders>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13,880</w:t>
            </w:r>
          </w:p>
        </w:tc>
        <w:tc>
          <w:tcPr>
            <w:tcW w:w="100" w:type="dxa"/>
            <w:vAlign w:val="bottom"/>
          </w:tcPr>
          <w:p>
            <w:pPr>
              <w:spacing w:after="0"/>
              <w:rPr>
                <w:sz w:val="15"/>
                <w:szCs w:val="15"/>
                <w:color w:val="auto"/>
              </w:rPr>
            </w:pPr>
          </w:p>
        </w:tc>
      </w:tr>
      <w:tr>
        <w:trPr>
          <w:trHeight w:val="183"/>
        </w:trPr>
        <w:tc>
          <w:tcPr>
            <w:tcW w:w="760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b w:val="1"/>
                <w:bCs w:val="1"/>
                <w:color w:val="004483"/>
              </w:rPr>
              <w:t>Fair Value of Plan Assets</w:t>
            </w:r>
          </w:p>
        </w:tc>
        <w:tc>
          <w:tcPr>
            <w:tcW w:w="580" w:type="dxa"/>
            <w:vAlign w:val="bottom"/>
            <w:tcBorders>
              <w:bottom w:val="single" w:sz="8" w:color="A3A3A3"/>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11,690</w:t>
            </w:r>
          </w:p>
        </w:tc>
        <w:tc>
          <w:tcPr>
            <w:tcW w:w="100" w:type="dxa"/>
            <w:vAlign w:val="bottom"/>
          </w:tcPr>
          <w:p>
            <w:pPr>
              <w:spacing w:after="0"/>
              <w:rPr>
                <w:sz w:val="15"/>
                <w:szCs w:val="15"/>
                <w:color w:val="auto"/>
              </w:rPr>
            </w:pPr>
          </w:p>
        </w:tc>
        <w:tc>
          <w:tcPr>
            <w:tcW w:w="1040" w:type="dxa"/>
            <w:vAlign w:val="bottom"/>
            <w:tcBorders>
              <w:bottom w:val="single" w:sz="8" w:color="A3A3A3"/>
            </w:tcBorders>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10,440</w:t>
            </w:r>
          </w:p>
        </w:tc>
        <w:tc>
          <w:tcPr>
            <w:tcW w:w="100" w:type="dxa"/>
            <w:vAlign w:val="bottom"/>
          </w:tcPr>
          <w:p>
            <w:pPr>
              <w:spacing w:after="0"/>
              <w:rPr>
                <w:sz w:val="15"/>
                <w:szCs w:val="15"/>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for the fiscal years ended December 31, 2021, 2020, and 2019 included the following components: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8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20" w:type="dxa"/>
            <w:vAlign w:val="bottom"/>
            <w:gridSpan w:val="4"/>
            <w:shd w:val="clear" w:color="auto" w:fill="004483"/>
          </w:tcPr>
          <w:p>
            <w:pPr>
              <w:jc w:val="center"/>
              <w:spacing w:after="0"/>
              <w:rPr>
                <w:sz w:val="20"/>
                <w:szCs w:val="20"/>
                <w:color w:val="auto"/>
              </w:rPr>
            </w:pPr>
            <w:r>
              <w:rPr>
                <w:rFonts w:ascii="Arial" w:cs="Arial" w:eastAsia="Arial" w:hAnsi="Arial"/>
                <w:sz w:val="13"/>
                <w:szCs w:val="13"/>
                <w:b w:val="1"/>
                <w:bCs w:val="1"/>
                <w:color w:val="FFFFFF"/>
                <w:w w:val="87"/>
              </w:rPr>
              <w:t>Year Ended December 31,</w:t>
            </w:r>
          </w:p>
        </w:tc>
        <w:tc>
          <w:tcPr>
            <w:tcW w:w="160" w:type="dxa"/>
            <w:vAlign w:val="bottom"/>
            <w:shd w:val="clear" w:color="auto" w:fill="004483"/>
          </w:tcPr>
          <w:p>
            <w:pPr>
              <w:spacing w:after="0"/>
              <w:rPr>
                <w:sz w:val="13"/>
                <w:szCs w:val="13"/>
                <w:color w:val="auto"/>
              </w:rPr>
            </w:pPr>
          </w:p>
        </w:tc>
        <w:tc>
          <w:tcPr>
            <w:tcW w:w="580" w:type="dxa"/>
            <w:vAlign w:val="bottom"/>
            <w:shd w:val="clear" w:color="auto" w:fill="004483"/>
          </w:tcPr>
          <w:p>
            <w:pPr>
              <w:spacing w:after="0"/>
              <w:rPr>
                <w:sz w:val="13"/>
                <w:szCs w:val="13"/>
                <w:color w:val="auto"/>
              </w:rPr>
            </w:pPr>
          </w:p>
        </w:tc>
        <w:tc>
          <w:tcPr>
            <w:tcW w:w="8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r>
      <w:tr>
        <w:trPr>
          <w:trHeight w:val="134"/>
        </w:trPr>
        <w:tc>
          <w:tcPr>
            <w:tcW w:w="6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r>
      <w:tr>
        <w:trPr>
          <w:trHeight w:val="183"/>
        </w:trPr>
        <w:tc>
          <w:tcPr>
            <w:tcW w:w="648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360" w:type="dxa"/>
            <w:vAlign w:val="bottom"/>
            <w:tcBorders>
              <w:bottom w:val="single" w:sz="8" w:color="004483"/>
            </w:tcBorders>
            <w:gridSpan w:val="2"/>
          </w:tcPr>
          <w:p>
            <w:pPr>
              <w:jc w:val="center"/>
              <w:ind w:right="159"/>
              <w:spacing w:after="0"/>
              <w:rPr>
                <w:sz w:val="20"/>
                <w:szCs w:val="20"/>
                <w:color w:val="auto"/>
              </w:rPr>
            </w:pPr>
            <w:r>
              <w:rPr>
                <w:rFonts w:ascii="Arial" w:cs="Arial" w:eastAsia="Arial" w:hAnsi="Arial"/>
                <w:sz w:val="13"/>
                <w:szCs w:val="13"/>
                <w:color w:val="auto"/>
                <w:w w:val="86"/>
              </w:rPr>
              <w:t>(dollars in thousands)</w:t>
            </w:r>
          </w:p>
        </w:tc>
        <w:tc>
          <w:tcPr>
            <w:tcW w:w="160" w:type="dxa"/>
            <w:vAlign w:val="bottom"/>
            <w:tcBorders>
              <w:bottom w:val="single" w:sz="8" w:color="004483"/>
            </w:tcBorders>
          </w:tcPr>
          <w:p>
            <w:pPr>
              <w:spacing w:after="0"/>
              <w:rPr>
                <w:sz w:val="15"/>
                <w:szCs w:val="15"/>
                <w:color w:val="auto"/>
              </w:rPr>
            </w:pPr>
          </w:p>
        </w:tc>
        <w:tc>
          <w:tcPr>
            <w:tcW w:w="580" w:type="dxa"/>
            <w:vAlign w:val="bottom"/>
            <w:tcBorders>
              <w:bottom w:val="single" w:sz="8" w:color="004483"/>
            </w:tcBorders>
          </w:tcPr>
          <w:p>
            <w:pPr>
              <w:spacing w:after="0"/>
              <w:rPr>
                <w:sz w:val="15"/>
                <w:szCs w:val="15"/>
                <w:color w:val="auto"/>
              </w:rPr>
            </w:pPr>
          </w:p>
        </w:tc>
        <w:tc>
          <w:tcPr>
            <w:tcW w:w="80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Service Cost - Benefits Earned During the Period</w:t>
            </w:r>
          </w:p>
        </w:tc>
        <w:tc>
          <w:tcPr>
            <w:tcW w:w="580" w:type="dxa"/>
            <w:vAlign w:val="bottom"/>
            <w:tcBorders>
              <w:bottom w:val="single" w:sz="8" w:color="A6A6A6"/>
            </w:tcBorders>
          </w:tcPr>
          <w:p>
            <w:pPr>
              <w:jc w:val="right"/>
              <w:ind w:right="4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6"/>
                <w:szCs w:val="16"/>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6"/>
                <w:szCs w:val="16"/>
                <w:color w:val="auto"/>
              </w:rPr>
            </w:pPr>
          </w:p>
        </w:tc>
        <w:tc>
          <w:tcPr>
            <w:tcW w:w="740" w:type="dxa"/>
            <w:vAlign w:val="bottom"/>
            <w:tcBorders>
              <w:bottom w:val="single" w:sz="8" w:color="A6A6A6"/>
            </w:tcBorders>
            <w:gridSpan w:val="2"/>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6"/>
                <w:szCs w:val="16"/>
                <w:color w:val="auto"/>
              </w:rPr>
            </w:pPr>
          </w:p>
        </w:tc>
      </w:tr>
      <w:tr>
        <w:trPr>
          <w:trHeight w:val="183"/>
        </w:trPr>
        <w:tc>
          <w:tcPr>
            <w:tcW w:w="6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Interest Cost of Projected Benefit Obligation</w:t>
            </w:r>
          </w:p>
        </w:tc>
        <w:tc>
          <w:tcPr>
            <w:tcW w:w="58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395</w:t>
            </w:r>
          </w:p>
        </w:tc>
        <w:tc>
          <w:tcPr>
            <w:tcW w:w="12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424</w:t>
            </w:r>
          </w:p>
        </w:tc>
        <w:tc>
          <w:tcPr>
            <w:tcW w:w="100" w:type="dxa"/>
            <w:vAlign w:val="bottom"/>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58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453</w:t>
            </w:r>
          </w:p>
        </w:tc>
        <w:tc>
          <w:tcPr>
            <w:tcW w:w="100" w:type="dxa"/>
            <w:vAlign w:val="bottom"/>
          </w:tcPr>
          <w:p>
            <w:pPr>
              <w:spacing w:after="0"/>
              <w:rPr>
                <w:sz w:val="15"/>
                <w:szCs w:val="15"/>
                <w:color w:val="auto"/>
              </w:rPr>
            </w:pPr>
          </w:p>
        </w:tc>
      </w:tr>
      <w:tr>
        <w:trPr>
          <w:trHeight w:val="183"/>
        </w:trPr>
        <w:tc>
          <w:tcPr>
            <w:tcW w:w="64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color w:val="004483"/>
              </w:rPr>
              <w:t>Expected Return on Plan Assets</w:t>
            </w:r>
          </w:p>
        </w:tc>
        <w:tc>
          <w:tcPr>
            <w:tcW w:w="58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(354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(526</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6A6A6"/>
            </w:tcBorders>
          </w:tcPr>
          <w:p>
            <w:pPr>
              <w:spacing w:after="0"/>
              <w:rPr>
                <w:sz w:val="15"/>
                <w:szCs w:val="15"/>
                <w:color w:val="auto"/>
              </w:rPr>
            </w:pPr>
          </w:p>
        </w:tc>
        <w:tc>
          <w:tcPr>
            <w:tcW w:w="58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(451</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6"/>
                <w:szCs w:val="16"/>
                <w:color w:val="004483"/>
              </w:rPr>
              <w:t>Recognized Net Actuarial Loss</w:t>
            </w:r>
          </w:p>
        </w:tc>
        <w:tc>
          <w:tcPr>
            <w:tcW w:w="58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296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212</w:t>
            </w:r>
          </w:p>
        </w:tc>
        <w:tc>
          <w:tcPr>
            <w:tcW w:w="100" w:type="dxa"/>
            <w:vAlign w:val="bottom"/>
          </w:tcPr>
          <w:p>
            <w:pPr>
              <w:spacing w:after="0"/>
              <w:rPr>
                <w:sz w:val="15"/>
                <w:szCs w:val="15"/>
                <w:color w:val="auto"/>
              </w:rPr>
            </w:pPr>
          </w:p>
        </w:tc>
      </w:tr>
      <w:tr>
        <w:trPr>
          <w:trHeight w:val="27"/>
        </w:trPr>
        <w:tc>
          <w:tcPr>
            <w:tcW w:w="648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100" w:type="dxa"/>
            <w:vAlign w:val="bottom"/>
            <w:tcBorders>
              <w:bottom w:val="single" w:sz="8" w:color="004483"/>
            </w:tcBorders>
            <w:shd w:val="clear" w:color="auto" w:fill="004483"/>
          </w:tcPr>
          <w:p>
            <w:pPr>
              <w:spacing w:after="0"/>
              <w:rPr>
                <w:sz w:val="2"/>
                <w:szCs w:val="2"/>
                <w:color w:val="auto"/>
              </w:rPr>
            </w:pPr>
          </w:p>
        </w:tc>
        <w:tc>
          <w:tcPr>
            <w:tcW w:w="12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648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Net Periodic Pension Cost</w:t>
            </w:r>
          </w:p>
        </w:tc>
        <w:tc>
          <w:tcPr>
            <w:tcW w:w="580" w:type="dxa"/>
            <w:vAlign w:val="bottom"/>
            <w:tcBorders>
              <w:bottom w:val="single" w:sz="8" w:color="004483"/>
            </w:tcBorders>
          </w:tcPr>
          <w:p>
            <w:pPr>
              <w:jc w:val="right"/>
              <w:ind w:right="42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644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bottom w:val="single" w:sz="8" w:color="004483"/>
            </w:tcBorders>
          </w:tcPr>
          <w:p>
            <w:pPr>
              <w:jc w:val="right"/>
              <w:ind w:right="399"/>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433</w:t>
            </w:r>
          </w:p>
        </w:tc>
        <w:tc>
          <w:tcPr>
            <w:tcW w:w="100" w:type="dxa"/>
            <w:vAlign w:val="bottom"/>
          </w:tcPr>
          <w:p>
            <w:pPr>
              <w:spacing w:after="0"/>
              <w:rPr>
                <w:sz w:val="15"/>
                <w:szCs w:val="15"/>
                <w:color w:val="auto"/>
              </w:rPr>
            </w:pPr>
          </w:p>
        </w:tc>
      </w:tr>
      <w:tr>
        <w:trPr>
          <w:trHeight w:val="20"/>
        </w:trPr>
        <w:tc>
          <w:tcPr>
            <w:tcW w:w="648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Expected benefit payments over the next five years, and the following five years under the pension plan are expected to be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60" w:type="dxa"/>
            <w:vAlign w:val="bottom"/>
            <w:tcBorders>
              <w:bottom w:val="single" w:sz="8" w:color="004483"/>
            </w:tcBorders>
          </w:tcPr>
          <w:p>
            <w:pPr>
              <w:spacing w:after="0"/>
              <w:rPr>
                <w:sz w:val="15"/>
                <w:szCs w:val="15"/>
                <w:color w:val="auto"/>
              </w:rPr>
            </w:pPr>
          </w:p>
        </w:tc>
        <w:tc>
          <w:tcPr>
            <w:tcW w:w="4680" w:type="dxa"/>
            <w:vAlign w:val="bottom"/>
            <w:tcBorders>
              <w:bottom w:val="single" w:sz="8" w:color="004483"/>
            </w:tcBorders>
          </w:tcPr>
          <w:p>
            <w:pPr>
              <w:spacing w:after="0"/>
              <w:rPr>
                <w:sz w:val="15"/>
                <w:szCs w:val="15"/>
                <w:color w:val="auto"/>
              </w:rPr>
            </w:pPr>
          </w:p>
        </w:tc>
        <w:tc>
          <w:tcPr>
            <w:tcW w:w="1500" w:type="dxa"/>
            <w:vAlign w:val="bottom"/>
            <w:tcBorders>
              <w:bottom w:val="single" w:sz="8" w:color="004483"/>
            </w:tcBorders>
          </w:tcPr>
          <w:p>
            <w:pPr>
              <w:jc w:val="right"/>
              <w:spacing w:after="0"/>
              <w:rPr>
                <w:sz w:val="20"/>
                <w:szCs w:val="20"/>
                <w:color w:val="auto"/>
              </w:rPr>
            </w:pPr>
            <w:r>
              <w:rPr>
                <w:rFonts w:ascii="Arial" w:cs="Arial" w:eastAsia="Arial" w:hAnsi="Arial"/>
                <w:sz w:val="13"/>
                <w:szCs w:val="13"/>
                <w:color w:val="auto"/>
              </w:rPr>
              <w:t>(dollars in thousands)</w:t>
            </w:r>
          </w:p>
        </w:tc>
      </w:tr>
      <w:tr>
        <w:trPr>
          <w:trHeight w:val="189"/>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2022</w:t>
            </w:r>
          </w:p>
        </w:tc>
        <w:tc>
          <w:tcPr>
            <w:tcW w:w="468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504</w:t>
            </w: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2023</w:t>
            </w:r>
          </w:p>
        </w:tc>
        <w:tc>
          <w:tcPr>
            <w:tcW w:w="4680" w:type="dxa"/>
            <w:vAlign w:val="bottom"/>
            <w:tcBorders>
              <w:bottom w:val="single" w:sz="8" w:color="A6A6A6"/>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527</w:t>
            </w: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2024</w:t>
            </w:r>
          </w:p>
        </w:tc>
        <w:tc>
          <w:tcPr>
            <w:tcW w:w="4680" w:type="dxa"/>
            <w:vAlign w:val="bottom"/>
            <w:tcBorders>
              <w:bottom w:val="single" w:sz="8" w:color="A6A6A6"/>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535</w:t>
            </w: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2025</w:t>
            </w:r>
          </w:p>
        </w:tc>
        <w:tc>
          <w:tcPr>
            <w:tcW w:w="4680" w:type="dxa"/>
            <w:vAlign w:val="bottom"/>
            <w:tcBorders>
              <w:bottom w:val="single" w:sz="8" w:color="A6A6A6"/>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568</w:t>
            </w:r>
          </w:p>
        </w:tc>
      </w:tr>
      <w:tr>
        <w:trPr>
          <w:trHeight w:val="183"/>
        </w:trPr>
        <w:tc>
          <w:tcPr>
            <w:tcW w:w="496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2026</w:t>
            </w:r>
          </w:p>
        </w:tc>
        <w:tc>
          <w:tcPr>
            <w:tcW w:w="4680" w:type="dxa"/>
            <w:vAlign w:val="bottom"/>
            <w:tcBorders>
              <w:bottom w:val="single" w:sz="8" w:color="A6A6A6"/>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585</w:t>
            </w:r>
          </w:p>
        </w:tc>
      </w:tr>
      <w:tr>
        <w:trPr>
          <w:trHeight w:val="183"/>
        </w:trPr>
        <w:tc>
          <w:tcPr>
            <w:tcW w:w="4960" w:type="dxa"/>
            <w:vAlign w:val="bottom"/>
            <w:tcBorders>
              <w:bottom w:val="single" w:sz="8" w:color="A3A3A3"/>
            </w:tcBorders>
          </w:tcPr>
          <w:p>
            <w:pPr>
              <w:ind w:left="20"/>
              <w:spacing w:after="0" w:line="183" w:lineRule="exact"/>
              <w:rPr>
                <w:sz w:val="20"/>
                <w:szCs w:val="20"/>
                <w:color w:val="auto"/>
              </w:rPr>
            </w:pPr>
            <w:r>
              <w:rPr>
                <w:rFonts w:ascii="Arial" w:cs="Arial" w:eastAsia="Arial" w:hAnsi="Arial"/>
                <w:sz w:val="16"/>
                <w:szCs w:val="16"/>
                <w:b w:val="1"/>
                <w:bCs w:val="1"/>
                <w:color w:val="004483"/>
              </w:rPr>
              <w:t>2027-2031</w:t>
            </w:r>
          </w:p>
        </w:tc>
        <w:tc>
          <w:tcPr>
            <w:tcW w:w="4680" w:type="dxa"/>
            <w:vAlign w:val="bottom"/>
            <w:tcBorders>
              <w:bottom w:val="single" w:sz="8" w:color="A3A3A3"/>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3,230</w:t>
            </w:r>
          </w:p>
        </w:tc>
      </w:tr>
    </w:tbl>
    <w:p>
      <w:pPr>
        <w:spacing w:after="0" w:line="121"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following table sets forth the rates used in the actuarial calculations of the present value of benefit obligations and the rate of return on plan assets: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0" w:type="dxa"/>
            <w:vAlign w:val="bottom"/>
          </w:tcPr>
          <w:p>
            <w:pPr>
              <w:spacing w:after="0"/>
              <w:rPr>
                <w:sz w:val="13"/>
                <w:szCs w:val="13"/>
                <w:color w:val="auto"/>
              </w:rPr>
            </w:pPr>
          </w:p>
        </w:tc>
        <w:tc>
          <w:tcPr>
            <w:tcW w:w="1260" w:type="dxa"/>
            <w:vAlign w:val="bottom"/>
            <w:shd w:val="clear" w:color="auto" w:fill="004483"/>
          </w:tcPr>
          <w:p>
            <w:pPr>
              <w:spacing w:after="0"/>
              <w:rPr>
                <w:sz w:val="13"/>
                <w:szCs w:val="13"/>
                <w:color w:val="auto"/>
              </w:rPr>
            </w:pPr>
          </w:p>
        </w:tc>
        <w:tc>
          <w:tcPr>
            <w:tcW w:w="280" w:type="dxa"/>
            <w:vAlign w:val="bottom"/>
            <w:shd w:val="clear" w:color="auto" w:fill="004483"/>
          </w:tcPr>
          <w:p>
            <w:pPr>
              <w:spacing w:after="0"/>
              <w:rPr>
                <w:sz w:val="13"/>
                <w:szCs w:val="13"/>
                <w:color w:val="auto"/>
              </w:rPr>
            </w:pPr>
          </w:p>
        </w:tc>
        <w:tc>
          <w:tcPr>
            <w:tcW w:w="1660" w:type="dxa"/>
            <w:vAlign w:val="bottom"/>
            <w:gridSpan w:val="2"/>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88"/>
              </w:rPr>
              <w:t>Year Ended December 31,</w:t>
            </w:r>
          </w:p>
        </w:tc>
        <w:tc>
          <w:tcPr>
            <w:tcW w:w="1380" w:type="dxa"/>
            <w:vAlign w:val="bottom"/>
            <w:shd w:val="clear" w:color="auto" w:fill="004483"/>
          </w:tcPr>
          <w:p>
            <w:pPr>
              <w:spacing w:after="0"/>
              <w:rPr>
                <w:sz w:val="13"/>
                <w:szCs w:val="13"/>
                <w:color w:val="auto"/>
              </w:rPr>
            </w:pPr>
          </w:p>
        </w:tc>
        <w:tc>
          <w:tcPr>
            <w:tcW w:w="260" w:type="dxa"/>
            <w:vAlign w:val="bottom"/>
            <w:shd w:val="clear" w:color="auto" w:fill="004483"/>
          </w:tcPr>
          <w:p>
            <w:pPr>
              <w:spacing w:after="0"/>
              <w:rPr>
                <w:sz w:val="13"/>
                <w:szCs w:val="13"/>
                <w:color w:val="auto"/>
              </w:rPr>
            </w:pPr>
          </w:p>
        </w:tc>
      </w:tr>
      <w:tr>
        <w:trPr>
          <w:trHeight w:val="169"/>
        </w:trPr>
        <w:tc>
          <w:tcPr>
            <w:tcW w:w="6400" w:type="dxa"/>
            <w:vAlign w:val="bottom"/>
            <w:tcBorders>
              <w:bottom w:val="single" w:sz="8" w:color="004483"/>
            </w:tcBorders>
          </w:tcPr>
          <w:p>
            <w:pPr>
              <w:spacing w:after="0"/>
              <w:rPr>
                <w:sz w:val="14"/>
                <w:szCs w:val="14"/>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4"/>
                <w:szCs w:val="14"/>
                <w:color w:val="auto"/>
              </w:rPr>
            </w:pPr>
          </w:p>
        </w:tc>
        <w:tc>
          <w:tcPr>
            <w:tcW w:w="14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4"/>
                <w:szCs w:val="14"/>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4"/>
                <w:szCs w:val="14"/>
                <w:color w:val="auto"/>
              </w:rPr>
            </w:pPr>
          </w:p>
        </w:tc>
      </w:tr>
      <w:tr>
        <w:trPr>
          <w:trHeight w:val="189"/>
        </w:trPr>
        <w:tc>
          <w:tcPr>
            <w:tcW w:w="64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w w:val="96"/>
              </w:rPr>
              <w:t>Assumptions Used to Determine Benefit Obligations at the Annual Measurement Date:</w:t>
            </w:r>
          </w:p>
        </w:tc>
        <w:tc>
          <w:tcPr>
            <w:tcW w:w="1260" w:type="dxa"/>
            <w:vAlign w:val="bottom"/>
            <w:tcBorders>
              <w:bottom w:val="single" w:sz="8" w:color="A6A6A6"/>
            </w:tcBorders>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Borders>
              <w:bottom w:val="single" w:sz="8" w:color="A6A6A6"/>
            </w:tcBorders>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Borders>
              <w:bottom w:val="single" w:sz="8" w:color="A6A6A6"/>
            </w:tcBorders>
          </w:tcPr>
          <w:p>
            <w:pPr>
              <w:spacing w:after="0"/>
              <w:rPr>
                <w:sz w:val="16"/>
                <w:szCs w:val="16"/>
                <w:color w:val="auto"/>
              </w:rPr>
            </w:pPr>
          </w:p>
        </w:tc>
        <w:tc>
          <w:tcPr>
            <w:tcW w:w="260" w:type="dxa"/>
            <w:vAlign w:val="bottom"/>
          </w:tcPr>
          <w:p>
            <w:pPr>
              <w:spacing w:after="0"/>
              <w:rPr>
                <w:sz w:val="16"/>
                <w:szCs w:val="16"/>
                <w:color w:val="auto"/>
              </w:rPr>
            </w:pP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Obligation Discount Rate</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3.13</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w:t>
            </w: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2.89</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3.47</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Compensation Increase Rate</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w:t>
            </w: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r>
      <w:tr>
        <w:trPr>
          <w:trHeight w:val="183"/>
        </w:trPr>
        <w:tc>
          <w:tcPr>
            <w:tcW w:w="640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Assumptions Used to Determine the Net Periodic Benefit Costs:</w:t>
            </w:r>
          </w:p>
        </w:tc>
        <w:tc>
          <w:tcPr>
            <w:tcW w:w="1260" w:type="dxa"/>
            <w:vAlign w:val="bottom"/>
            <w:tcBorders>
              <w:bottom w:val="single" w:sz="8" w:color="A6A6A6"/>
            </w:tcBorders>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Borders>
              <w:bottom w:val="single" w:sz="8" w:color="A6A6A6"/>
            </w:tcBorders>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A6A6A6"/>
            </w:tcBorders>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Obligation Discount Rate</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2.89</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w:t>
            </w: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3.47</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4.55</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r>
      <w:tr>
        <w:trPr>
          <w:trHeight w:val="183"/>
        </w:trPr>
        <w:tc>
          <w:tcPr>
            <w:tcW w:w="6400" w:type="dxa"/>
            <w:vAlign w:val="bottom"/>
            <w:tcBorders>
              <w:bottom w:val="single" w:sz="8" w:color="A6A6A6"/>
            </w:tcBorders>
          </w:tcPr>
          <w:p>
            <w:pPr>
              <w:ind w:left="200"/>
              <w:spacing w:after="0" w:line="183" w:lineRule="exact"/>
              <w:rPr>
                <w:sz w:val="20"/>
                <w:szCs w:val="20"/>
                <w:color w:val="auto"/>
              </w:rPr>
            </w:pPr>
            <w:r>
              <w:rPr>
                <w:rFonts w:ascii="Arial" w:cs="Arial" w:eastAsia="Arial" w:hAnsi="Arial"/>
                <w:sz w:val="16"/>
                <w:szCs w:val="16"/>
                <w:color w:val="004483"/>
              </w:rPr>
              <w:t>Long-term Rate of Return on Plan Assets</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5.25</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w:t>
            </w:r>
          </w:p>
        </w:tc>
        <w:tc>
          <w:tcPr>
            <w:tcW w:w="140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5.75</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c>
          <w:tcPr>
            <w:tcW w:w="138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5.75</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r>
      <w:tr>
        <w:trPr>
          <w:trHeight w:val="183"/>
        </w:trPr>
        <w:tc>
          <w:tcPr>
            <w:tcW w:w="6400" w:type="dxa"/>
            <w:vAlign w:val="bottom"/>
            <w:tcBorders>
              <w:bottom w:val="single" w:sz="8" w:color="A3A3A3"/>
            </w:tcBorders>
          </w:tcPr>
          <w:p>
            <w:pPr>
              <w:ind w:left="200"/>
              <w:spacing w:after="0" w:line="183" w:lineRule="exact"/>
              <w:rPr>
                <w:sz w:val="20"/>
                <w:szCs w:val="20"/>
                <w:color w:val="auto"/>
              </w:rPr>
            </w:pPr>
            <w:r>
              <w:rPr>
                <w:rFonts w:ascii="Arial" w:cs="Arial" w:eastAsia="Arial" w:hAnsi="Arial"/>
                <w:sz w:val="16"/>
                <w:szCs w:val="16"/>
                <w:color w:val="004483"/>
              </w:rPr>
              <w:t>Compensation Increase Rate</w:t>
            </w:r>
          </w:p>
        </w:tc>
        <w:tc>
          <w:tcPr>
            <w:tcW w:w="126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w:t>
            </w:r>
          </w:p>
        </w:tc>
        <w:tc>
          <w:tcPr>
            <w:tcW w:w="140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c>
          <w:tcPr>
            <w:tcW w:w="1380" w:type="dxa"/>
            <w:vAlign w:val="bottom"/>
            <w:tcBorders>
              <w:bottom w:val="single" w:sz="8" w:color="A3A3A3"/>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w w:val="98"/>
              </w:rPr>
              <w:t>%</w:t>
            </w:r>
          </w:p>
        </w:tc>
      </w:tr>
    </w:tbl>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The expected Long-Term Rate of Return on Plan Assets is an assumption reflecting the anticipated weighted average rate of earnings on the portfolio over the long-term. To arrive at this rate, Texas Lehigh developed estimates of the key components underlying capital asset returns, including: market-based estimates of inflation, real risk-free rates of return, yield curve structure, credit risk premiums and equity risk premiums. As appropriate, these components were used to develop benchmark estimates of expected long-term rates of return for each asset class, which were portfolio weighted.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weighted-average asset allocation at December 31, 2021 and 2020, and the range of target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4"/>
            <w:shd w:val="clear" w:color="auto" w:fill="004483"/>
          </w:tcPr>
          <w:p>
            <w:pPr>
              <w:ind w:left="940"/>
              <w:spacing w:after="0"/>
              <w:rPr>
                <w:sz w:val="20"/>
                <w:szCs w:val="20"/>
                <w:color w:val="auto"/>
              </w:rPr>
            </w:pPr>
            <w:r>
              <w:rPr>
                <w:rFonts w:ascii="Arial" w:cs="Arial" w:eastAsia="Arial" w:hAnsi="Arial"/>
                <w:sz w:val="13"/>
                <w:szCs w:val="13"/>
                <w:b w:val="1"/>
                <w:bCs w:val="1"/>
                <w:color w:val="FFFFFF"/>
              </w:rPr>
              <w:t>Percentage of Plan</w:t>
            </w:r>
          </w:p>
        </w:tc>
        <w:tc>
          <w:tcPr>
            <w:tcW w:w="620" w:type="dxa"/>
            <w:vAlign w:val="bottom"/>
            <w:shd w:val="clear" w:color="auto" w:fill="004483"/>
          </w:tcPr>
          <w:p>
            <w:pPr>
              <w:spacing w:after="0"/>
              <w:rPr>
                <w:sz w:val="12"/>
                <w:szCs w:val="12"/>
                <w:color w:val="auto"/>
              </w:rPr>
            </w:pPr>
          </w:p>
        </w:tc>
        <w:tc>
          <w:tcPr>
            <w:tcW w:w="260" w:type="dxa"/>
            <w:vAlign w:val="bottom"/>
            <w:shd w:val="clear" w:color="auto" w:fill="00448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39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Range of</w:t>
            </w:r>
          </w:p>
        </w:tc>
        <w:tc>
          <w:tcPr>
            <w:tcW w:w="2320" w:type="dxa"/>
            <w:vAlign w:val="bottom"/>
            <w:gridSpan w:val="4"/>
            <w:shd w:val="clear" w:color="auto" w:fill="004483"/>
          </w:tcPr>
          <w:p>
            <w:pPr>
              <w:ind w:left="960"/>
              <w:spacing w:after="0"/>
              <w:rPr>
                <w:sz w:val="20"/>
                <w:szCs w:val="20"/>
                <w:color w:val="auto"/>
              </w:rPr>
            </w:pPr>
            <w:r>
              <w:rPr>
                <w:rFonts w:ascii="Arial" w:cs="Arial" w:eastAsia="Arial" w:hAnsi="Arial"/>
                <w:sz w:val="13"/>
                <w:szCs w:val="13"/>
                <w:b w:val="1"/>
                <w:bCs w:val="1"/>
                <w:color w:val="FFFFFF"/>
              </w:rPr>
              <w:t>Assets at Year-End</w:t>
            </w:r>
          </w:p>
        </w:tc>
        <w:tc>
          <w:tcPr>
            <w:tcW w:w="620" w:type="dxa"/>
            <w:vAlign w:val="bottom"/>
            <w:shd w:val="clear" w:color="auto" w:fill="004483"/>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80" w:type="dxa"/>
            <w:vAlign w:val="bottom"/>
          </w:tcPr>
          <w:p>
            <w:pPr>
              <w:spacing w:after="0"/>
              <w:rPr>
                <w:sz w:val="9"/>
                <w:szCs w:val="9"/>
                <w:color w:val="auto"/>
              </w:rPr>
            </w:pPr>
          </w:p>
        </w:tc>
        <w:tc>
          <w:tcPr>
            <w:tcW w:w="3960" w:type="dxa"/>
            <w:vAlign w:val="bottom"/>
            <w:gridSpan w:val="2"/>
            <w:vMerge w:val="continue"/>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004483"/>
            </w:tcBorders>
          </w:tcPr>
          <w:p>
            <w:pPr>
              <w:spacing w:after="0"/>
              <w:rPr>
                <w:sz w:val="15"/>
                <w:szCs w:val="15"/>
                <w:color w:val="auto"/>
              </w:rPr>
            </w:pPr>
          </w:p>
        </w:tc>
        <w:tc>
          <w:tcPr>
            <w:tcW w:w="3960" w:type="dxa"/>
            <w:vAlign w:val="bottom"/>
            <w:tcBorders>
              <w:bottom w:val="single" w:sz="8" w:color="004483"/>
            </w:tcBorders>
            <w:gridSpan w:val="2"/>
          </w:tcPr>
          <w:p>
            <w:pPr>
              <w:jc w:val="right"/>
              <w:ind w:right="160"/>
              <w:spacing w:after="0"/>
              <w:rPr>
                <w:sz w:val="20"/>
                <w:szCs w:val="20"/>
                <w:color w:val="auto"/>
              </w:rPr>
            </w:pPr>
            <w:r>
              <w:rPr>
                <w:rFonts w:ascii="Arial" w:cs="Arial" w:eastAsia="Arial" w:hAnsi="Arial"/>
                <w:sz w:val="13"/>
                <w:szCs w:val="13"/>
                <w:b w:val="1"/>
                <w:bCs w:val="1"/>
                <w:color w:val="auto"/>
              </w:rPr>
              <w:t>Target Allocation</w:t>
            </w:r>
          </w:p>
        </w:tc>
        <w:tc>
          <w:tcPr>
            <w:tcW w:w="1260" w:type="dxa"/>
            <w:vAlign w:val="bottom"/>
            <w:tcBorders>
              <w:bottom w:val="single" w:sz="8" w:color="004483"/>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640" w:type="dxa"/>
            <w:vAlign w:val="bottom"/>
            <w:tcBorders>
              <w:bottom w:val="single" w:sz="8" w:color="004483"/>
            </w:tcBorders>
          </w:tcPr>
          <w:p>
            <w:pPr>
              <w:spacing w:after="0"/>
              <w:rPr>
                <w:sz w:val="15"/>
                <w:szCs w:val="15"/>
                <w:color w:val="auto"/>
              </w:rPr>
            </w:pPr>
          </w:p>
        </w:tc>
        <w:tc>
          <w:tcPr>
            <w:tcW w:w="620" w:type="dxa"/>
            <w:vAlign w:val="bottom"/>
            <w:tcBorders>
              <w:bottom w:val="single" w:sz="8" w:color="004483"/>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Asset Category</w:t>
            </w:r>
          </w:p>
        </w:tc>
        <w:tc>
          <w:tcPr>
            <w:tcW w:w="3820" w:type="dxa"/>
            <w:vAlign w:val="bottom"/>
            <w:tcBorders>
              <w:bottom w:val="single" w:sz="8" w:color="A6A6A6"/>
            </w:tcBorders>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260" w:type="dxa"/>
            <w:vAlign w:val="bottom"/>
            <w:tcBorders>
              <w:bottom w:val="single" w:sz="8" w:color="A6A6A6"/>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6A6A6"/>
            </w:tcBorders>
          </w:tcPr>
          <w:p>
            <w:pPr>
              <w:spacing w:after="0"/>
              <w:rPr>
                <w:sz w:val="16"/>
                <w:szCs w:val="16"/>
                <w:color w:val="auto"/>
              </w:rPr>
            </w:pPr>
          </w:p>
        </w:tc>
        <w:tc>
          <w:tcPr>
            <w:tcW w:w="640" w:type="dxa"/>
            <w:vAlign w:val="bottom"/>
            <w:tcBorders>
              <w:bottom w:val="single" w:sz="8" w:color="A6A6A6"/>
            </w:tcBorders>
          </w:tcPr>
          <w:p>
            <w:pPr>
              <w:spacing w:after="0"/>
              <w:rPr>
                <w:sz w:val="16"/>
                <w:szCs w:val="16"/>
                <w:color w:val="auto"/>
              </w:rPr>
            </w:pPr>
          </w:p>
        </w:tc>
        <w:tc>
          <w:tcPr>
            <w:tcW w:w="620" w:type="dxa"/>
            <w:vAlign w:val="bottom"/>
            <w:tcBorders>
              <w:bottom w:val="single" w:sz="8" w:color="A6A6A6"/>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Equity Securities</w:t>
            </w:r>
          </w:p>
        </w:tc>
        <w:tc>
          <w:tcPr>
            <w:tcW w:w="3960" w:type="dxa"/>
            <w:vAlign w:val="bottom"/>
            <w:tcBorders>
              <w:bottom w:val="single" w:sz="8" w:color="A6A6A6"/>
            </w:tcBorders>
            <w:gridSpan w:val="2"/>
          </w:tcPr>
          <w:p>
            <w:pPr>
              <w:jc w:val="right"/>
              <w:ind w:right="160"/>
              <w:spacing w:after="0" w:line="183" w:lineRule="exact"/>
              <w:rPr>
                <w:sz w:val="20"/>
                <w:szCs w:val="20"/>
                <w:color w:val="auto"/>
              </w:rPr>
            </w:pPr>
            <w:r>
              <w:rPr>
                <w:rFonts w:ascii="Arial" w:cs="Arial" w:eastAsia="Arial" w:hAnsi="Arial"/>
                <w:sz w:val="16"/>
                <w:szCs w:val="16"/>
                <w:color w:val="auto"/>
              </w:rPr>
              <w:t>40 – 60%</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w:t>
            </w:r>
          </w:p>
        </w:tc>
        <w:tc>
          <w:tcPr>
            <w:tcW w:w="2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51</w:t>
            </w:r>
          </w:p>
        </w:tc>
        <w:tc>
          <w:tcPr>
            <w:tcW w:w="2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80" w:type="dxa"/>
            <w:vAlign w:val="bottom"/>
            <w:tcBorders>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Debt Securities</w:t>
            </w:r>
          </w:p>
        </w:tc>
        <w:tc>
          <w:tcPr>
            <w:tcW w:w="3960" w:type="dxa"/>
            <w:vAlign w:val="bottom"/>
            <w:tcBorders>
              <w:bottom w:val="single" w:sz="8" w:color="A6A6A6"/>
            </w:tcBorders>
            <w:gridSpan w:val="2"/>
          </w:tcPr>
          <w:p>
            <w:pPr>
              <w:jc w:val="right"/>
              <w:ind w:right="160"/>
              <w:spacing w:after="0" w:line="183" w:lineRule="exact"/>
              <w:rPr>
                <w:sz w:val="20"/>
                <w:szCs w:val="20"/>
                <w:color w:val="auto"/>
              </w:rPr>
            </w:pPr>
            <w:r>
              <w:rPr>
                <w:rFonts w:ascii="Arial" w:cs="Arial" w:eastAsia="Arial" w:hAnsi="Arial"/>
                <w:sz w:val="16"/>
                <w:szCs w:val="16"/>
                <w:color w:val="auto"/>
              </w:rPr>
              <w:t>35 – 60%</w:t>
            </w:r>
          </w:p>
        </w:tc>
        <w:tc>
          <w:tcPr>
            <w:tcW w:w="126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w:t>
            </w:r>
          </w:p>
        </w:tc>
        <w:tc>
          <w:tcPr>
            <w:tcW w:w="2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5"/>
                <w:szCs w:val="15"/>
                <w:color w:val="auto"/>
              </w:rPr>
            </w:pPr>
          </w:p>
        </w:tc>
        <w:tc>
          <w:tcPr>
            <w:tcW w:w="640" w:type="dxa"/>
            <w:vAlign w:val="bottom"/>
            <w:tcBorders>
              <w:bottom w:val="single" w:sz="8" w:color="A6A6A6"/>
            </w:tcBorders>
          </w:tcPr>
          <w:p>
            <w:pPr>
              <w:spacing w:after="0"/>
              <w:rPr>
                <w:sz w:val="15"/>
                <w:szCs w:val="15"/>
                <w:color w:val="auto"/>
              </w:rPr>
            </w:pPr>
          </w:p>
        </w:tc>
        <w:tc>
          <w:tcPr>
            <w:tcW w:w="620" w:type="dxa"/>
            <w:vAlign w:val="bottom"/>
            <w:tcBorders>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47</w:t>
            </w:r>
          </w:p>
        </w:tc>
        <w:tc>
          <w:tcPr>
            <w:tcW w:w="2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Other</w:t>
            </w:r>
          </w:p>
        </w:tc>
        <w:tc>
          <w:tcPr>
            <w:tcW w:w="39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0 – 5%</w:t>
            </w:r>
          </w:p>
        </w:tc>
        <w:tc>
          <w:tcPr>
            <w:tcW w:w="12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w:t>
            </w:r>
          </w:p>
        </w:tc>
        <w:tc>
          <w:tcPr>
            <w:tcW w:w="2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tcBorders>
              <w:bottom w:val="single" w:sz="8" w:color="004483"/>
            </w:tcBorders>
          </w:tcPr>
          <w:p>
            <w:pPr>
              <w:spacing w:after="0"/>
              <w:rPr>
                <w:sz w:val="18"/>
                <w:szCs w:val="18"/>
                <w:color w:val="auto"/>
              </w:rPr>
            </w:pPr>
          </w:p>
        </w:tc>
        <w:tc>
          <w:tcPr>
            <w:tcW w:w="6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color w:val="auto"/>
              </w:rPr>
              <w:t>2</w:t>
            </w:r>
          </w:p>
        </w:tc>
        <w:tc>
          <w:tcPr>
            <w:tcW w:w="2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80" w:type="dxa"/>
            <w:vAlign w:val="bottom"/>
            <w:tcBorders>
              <w:top w:val="single" w:sz="8" w:color="A6A6A6"/>
            </w:tcBorders>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3820" w:type="dxa"/>
            <w:vAlign w:val="bottom"/>
            <w:tcBorders>
              <w:top w:val="single" w:sz="8" w:color="A6A6A6"/>
            </w:tcBorders>
          </w:tcPr>
          <w:p>
            <w:pPr>
              <w:spacing w:after="0"/>
              <w:rPr>
                <w:sz w:val="15"/>
                <w:szCs w:val="15"/>
                <w:color w:val="auto"/>
              </w:rPr>
            </w:pPr>
          </w:p>
        </w:tc>
        <w:tc>
          <w:tcPr>
            <w:tcW w:w="140" w:type="dxa"/>
            <w:vAlign w:val="bottom"/>
            <w:tcBorders>
              <w:top w:val="single" w:sz="8" w:color="A3A3A3"/>
            </w:tcBorders>
          </w:tcPr>
          <w:p>
            <w:pPr>
              <w:spacing w:after="0"/>
              <w:rPr>
                <w:sz w:val="15"/>
                <w:szCs w:val="15"/>
                <w:color w:val="auto"/>
              </w:rPr>
            </w:pPr>
          </w:p>
        </w:tc>
        <w:tc>
          <w:tcPr>
            <w:tcW w:w="126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3A3A3"/>
            </w:tcBorders>
          </w:tcPr>
          <w:p>
            <w:pPr>
              <w:spacing w:after="0"/>
              <w:rPr>
                <w:sz w:val="15"/>
                <w:szCs w:val="15"/>
                <w:color w:val="auto"/>
              </w:rPr>
            </w:pPr>
          </w:p>
        </w:tc>
        <w:tc>
          <w:tcPr>
            <w:tcW w:w="640" w:type="dxa"/>
            <w:vAlign w:val="bottom"/>
            <w:tcBorders>
              <w:top w:val="single" w:sz="8" w:color="004483"/>
              <w:bottom w:val="single" w:sz="8" w:color="004483"/>
            </w:tcBorders>
          </w:tcPr>
          <w:p>
            <w:pPr>
              <w:spacing w:after="0"/>
              <w:rPr>
                <w:sz w:val="15"/>
                <w:szCs w:val="15"/>
                <w:color w:val="auto"/>
              </w:rPr>
            </w:pPr>
          </w:p>
        </w:tc>
        <w:tc>
          <w:tcPr>
            <w:tcW w:w="620" w:type="dxa"/>
            <w:vAlign w:val="bottom"/>
            <w:tcBorders>
              <w:top w:val="single" w:sz="8" w:color="004483"/>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100</w:t>
            </w:r>
          </w:p>
        </w:tc>
        <w:tc>
          <w:tcPr>
            <w:tcW w:w="2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Texas Lehigh’s pension investment strategies have been developed as part of a comprehensive asset/liability management process that considers the interaction between both the assets and liabilities of the plan. These strategies consider not only the expected risks and returns on plan assets, but also the detailed actuarial projections of liabilities as well as plan-level objectives such as projected contributions, expenses, and funded status.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9" w:name="page110"/>
    <w:bookmarkEnd w:id="109"/>
    <w:p>
      <w:pPr>
        <w:ind w:right="60"/>
        <w:spacing w:after="0" w:line="284" w:lineRule="auto"/>
        <w:rPr>
          <w:sz w:val="20"/>
          <w:szCs w:val="20"/>
          <w:color w:val="auto"/>
        </w:rPr>
      </w:pPr>
      <w:r>
        <w:rPr>
          <w:rFonts w:ascii="Arial" w:cs="Arial" w:eastAsia="Arial" w:hAnsi="Arial"/>
          <w:sz w:val="18"/>
          <w:szCs w:val="18"/>
          <w:color w:val="auto"/>
        </w:rPr>
        <w:t>The principal pension investment strategies include asset allocation and active asset management. The range of target asset allocations has been determined after giving consideration to the expected returns of each asset class, the expected variability or volatility of the asset class returns over time, and the complementary nature or correlation of the asset classes within the portfolio. Texas Lehigh also employs an active management approach for the portfolio. Each asset class is managed by one or more external money managers with the objective of generating returns, net of management fees that exceed market-based benchmarks.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actuarial estimates, Texas Lehigh does not anticipate making a contribution to the pension plan during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plan's consolidated assets by category as of December 31, 2021 and 2020 were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2060" w:type="dxa"/>
            <w:vAlign w:val="bottom"/>
            <w:gridSpan w:val="4"/>
            <w:shd w:val="clear" w:color="auto" w:fill="004483"/>
          </w:tcPr>
          <w:p>
            <w:pPr>
              <w:jc w:val="right"/>
              <w:ind w:right="479"/>
              <w:spacing w:after="0"/>
              <w:rPr>
                <w:sz w:val="20"/>
                <w:szCs w:val="20"/>
                <w:color w:val="auto"/>
              </w:rPr>
            </w:pPr>
            <w:r>
              <w:rPr>
                <w:rFonts w:ascii="Arial" w:cs="Arial" w:eastAsia="Arial" w:hAnsi="Arial"/>
                <w:sz w:val="13"/>
                <w:szCs w:val="13"/>
                <w:b w:val="1"/>
                <w:bCs w:val="1"/>
                <w:color w:val="FFFFFF"/>
              </w:rPr>
              <w:t>December 31,</w:t>
            </w:r>
          </w:p>
        </w:tc>
        <w:tc>
          <w:tcPr>
            <w:tcW w:w="84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4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640" w:type="dxa"/>
            <w:vAlign w:val="bottom"/>
            <w:tcBorders>
              <w:bottom w:val="single" w:sz="8" w:color="004483"/>
            </w:tcBorders>
          </w:tcPr>
          <w:p>
            <w:pPr>
              <w:spacing w:after="0"/>
              <w:rPr>
                <w:sz w:val="15"/>
                <w:szCs w:val="15"/>
                <w:color w:val="auto"/>
              </w:rPr>
            </w:pPr>
          </w:p>
        </w:tc>
        <w:tc>
          <w:tcPr>
            <w:tcW w:w="2060" w:type="dxa"/>
            <w:vAlign w:val="bottom"/>
            <w:tcBorders>
              <w:bottom w:val="single" w:sz="8" w:color="004483"/>
            </w:tcBorders>
            <w:gridSpan w:val="4"/>
          </w:tcPr>
          <w:p>
            <w:pPr>
              <w:jc w:val="right"/>
              <w:ind w:right="299"/>
              <w:spacing w:after="0"/>
              <w:rPr>
                <w:sz w:val="20"/>
                <w:szCs w:val="20"/>
                <w:color w:val="auto"/>
              </w:rPr>
            </w:pPr>
            <w:r>
              <w:rPr>
                <w:rFonts w:ascii="Arial" w:cs="Arial" w:eastAsia="Arial" w:hAnsi="Arial"/>
                <w:sz w:val="13"/>
                <w:szCs w:val="13"/>
                <w:color w:val="auto"/>
              </w:rPr>
              <w:t>(dollars in thousands)</w:t>
            </w:r>
          </w:p>
        </w:tc>
        <w:tc>
          <w:tcPr>
            <w:tcW w:w="84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6"/>
                <w:szCs w:val="16"/>
                <w:b w:val="1"/>
                <w:bCs w:val="1"/>
                <w:color w:val="004483"/>
              </w:rPr>
              <w:t>Equity Securities</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5,903</w:t>
            </w:r>
          </w:p>
        </w:tc>
        <w:tc>
          <w:tcPr>
            <w:tcW w:w="1060" w:type="dxa"/>
            <w:vAlign w:val="bottom"/>
            <w:gridSpan w:val="3"/>
          </w:tcPr>
          <w:p>
            <w:pPr>
              <w:jc w:val="right"/>
              <w:ind w:right="5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tcBorders>
              <w:top w:val="single" w:sz="8" w:color="A6A6A6"/>
              <w:bottom w:val="single" w:sz="8" w:color="A6A6A6"/>
            </w:tcBorders>
            <w:gridSpan w:val="2"/>
          </w:tcPr>
          <w:p>
            <w:pPr>
              <w:ind w:left="20"/>
              <w:spacing w:after="0" w:line="183" w:lineRule="exact"/>
              <w:rPr>
                <w:sz w:val="20"/>
                <w:szCs w:val="20"/>
                <w:color w:val="auto"/>
              </w:rPr>
            </w:pPr>
            <w:r>
              <w:rPr>
                <w:rFonts w:ascii="Arial" w:cs="Arial" w:eastAsia="Arial" w:hAnsi="Arial"/>
                <w:sz w:val="16"/>
                <w:szCs w:val="16"/>
                <w:b w:val="1"/>
                <w:bCs w:val="1"/>
                <w:color w:val="004483"/>
              </w:rPr>
              <w:t>Fixed Income Securities</w:t>
            </w:r>
          </w:p>
        </w:tc>
        <w:tc>
          <w:tcPr>
            <w:tcW w:w="640" w:type="dxa"/>
            <w:vAlign w:val="bottom"/>
            <w:tcBorders>
              <w:top w:val="single" w:sz="8" w:color="A6A6A6"/>
              <w:bottom w:val="single" w:sz="8" w:color="A6A6A6"/>
            </w:tcBorders>
          </w:tcPr>
          <w:p>
            <w:pPr>
              <w:spacing w:after="0"/>
              <w:rPr>
                <w:sz w:val="15"/>
                <w:szCs w:val="15"/>
                <w:color w:val="auto"/>
              </w:rPr>
            </w:pPr>
          </w:p>
        </w:tc>
        <w:tc>
          <w:tcPr>
            <w:tcW w:w="10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5,447</w:t>
            </w:r>
          </w:p>
        </w:tc>
        <w:tc>
          <w:tcPr>
            <w:tcW w:w="100" w:type="dxa"/>
            <w:vAlign w:val="bottom"/>
          </w:tcPr>
          <w:p>
            <w:pPr>
              <w:spacing w:after="0"/>
              <w:rPr>
                <w:sz w:val="15"/>
                <w:szCs w:val="15"/>
                <w:color w:val="auto"/>
              </w:rPr>
            </w:pPr>
          </w:p>
        </w:tc>
        <w:tc>
          <w:tcPr>
            <w:tcW w:w="180" w:type="dxa"/>
            <w:vAlign w:val="bottom"/>
            <w:tcBorders>
              <w:top w:val="single" w:sz="8" w:color="A6A6A6"/>
              <w:bottom w:val="single" w:sz="8" w:color="A6A6A6"/>
            </w:tcBorders>
          </w:tcPr>
          <w:p>
            <w:pPr>
              <w:spacing w:after="0"/>
              <w:rPr>
                <w:sz w:val="15"/>
                <w:szCs w:val="15"/>
                <w:color w:val="auto"/>
              </w:rPr>
            </w:pPr>
          </w:p>
        </w:tc>
        <w:tc>
          <w:tcPr>
            <w:tcW w:w="780" w:type="dxa"/>
            <w:vAlign w:val="bottom"/>
            <w:tcBorders>
              <w:top w:val="single" w:sz="8" w:color="A6A6A6"/>
              <w:bottom w:val="single" w:sz="8" w:color="A6A6A6"/>
            </w:tcBorders>
          </w:tcPr>
          <w:p>
            <w:pPr>
              <w:spacing w:after="0"/>
              <w:rPr>
                <w:sz w:val="15"/>
                <w:szCs w:val="15"/>
                <w:color w:val="auto"/>
              </w:rPr>
            </w:pPr>
          </w:p>
        </w:tc>
        <w:tc>
          <w:tcPr>
            <w:tcW w:w="84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004483"/>
              </w:rPr>
              <w:t>Cash Equivalents</w:t>
            </w:r>
          </w:p>
        </w:tc>
        <w:tc>
          <w:tcPr>
            <w:tcW w:w="64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340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420" w:type="dxa"/>
            <w:vAlign w:val="bottom"/>
            <w:tcBorders>
              <w:bottom w:val="single" w:sz="8" w:color="A6A6A6"/>
            </w:tcBorders>
          </w:tcPr>
          <w:p>
            <w:pPr>
              <w:spacing w:after="0"/>
              <w:rPr>
                <w:sz w:val="2"/>
                <w:szCs w:val="2"/>
                <w:color w:val="auto"/>
              </w:rPr>
            </w:pPr>
          </w:p>
        </w:tc>
        <w:tc>
          <w:tcPr>
            <w:tcW w:w="180" w:type="dxa"/>
            <w:vAlign w:val="bottom"/>
            <w:tcBorders>
              <w:bottom w:val="single" w:sz="8" w:color="A3A3A3"/>
            </w:tcBorders>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00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3A3A3"/>
            </w:tcBorders>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8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5"/>
                <w:szCs w:val="15"/>
                <w:color w:val="auto"/>
              </w:rPr>
            </w:pPr>
          </w:p>
        </w:tc>
        <w:tc>
          <w:tcPr>
            <w:tcW w:w="640" w:type="dxa"/>
            <w:vAlign w:val="bottom"/>
            <w:tcBorders>
              <w:bottom w:val="single" w:sz="8" w:color="004483"/>
            </w:tcBorders>
          </w:tcPr>
          <w:p>
            <w:pPr>
              <w:jc w:val="right"/>
              <w:ind w:right="459"/>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11,690</w:t>
            </w: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004483"/>
            </w:tcBorders>
          </w:tcPr>
          <w:p>
            <w:pPr>
              <w:jc w:val="right"/>
              <w:ind w:right="599"/>
              <w:spacing w:after="0" w:line="183"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plan's consolidated assets were determined using the fair value hierarchy of inputs described in Note 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by category of inputs were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shd w:val="clear" w:color="auto" w:fill="004483"/>
          </w:tcPr>
          <w:p>
            <w:pPr>
              <w:spacing w:after="0"/>
              <w:rPr>
                <w:sz w:val="15"/>
                <w:szCs w:val="15"/>
                <w:color w:val="auto"/>
              </w:rPr>
            </w:pPr>
          </w:p>
        </w:tc>
        <w:tc>
          <w:tcPr>
            <w:tcW w:w="1000" w:type="dxa"/>
            <w:vAlign w:val="bottom"/>
            <w:tcBorders>
              <w:bottom w:val="single" w:sz="8" w:color="auto"/>
            </w:tcBorders>
            <w:shd w:val="clear" w:color="auto" w:fill="004483"/>
          </w:tcPr>
          <w:p>
            <w:pPr>
              <w:spacing w:after="0"/>
              <w:rPr>
                <w:sz w:val="15"/>
                <w:szCs w:val="15"/>
                <w:color w:val="auto"/>
              </w:rPr>
            </w:pPr>
          </w:p>
        </w:tc>
        <w:tc>
          <w:tcPr>
            <w:tcW w:w="120" w:type="dxa"/>
            <w:vAlign w:val="bottom"/>
            <w:tcBorders>
              <w:bottom w:val="single" w:sz="8" w:color="auto"/>
            </w:tcBorders>
            <w:shd w:val="clear" w:color="auto" w:fill="004483"/>
          </w:tcPr>
          <w:p>
            <w:pPr>
              <w:spacing w:after="0"/>
              <w:rPr>
                <w:sz w:val="15"/>
                <w:szCs w:val="15"/>
                <w:color w:val="auto"/>
              </w:rPr>
            </w:pPr>
          </w:p>
        </w:tc>
        <w:tc>
          <w:tcPr>
            <w:tcW w:w="140" w:type="dxa"/>
            <w:vAlign w:val="bottom"/>
            <w:tcBorders>
              <w:bottom w:val="single" w:sz="8" w:color="auto"/>
            </w:tcBorders>
            <w:shd w:val="clear" w:color="auto" w:fill="004483"/>
          </w:tcPr>
          <w:p>
            <w:pPr>
              <w:spacing w:after="0"/>
              <w:rPr>
                <w:sz w:val="15"/>
                <w:szCs w:val="15"/>
                <w:color w:val="auto"/>
              </w:rPr>
            </w:pPr>
          </w:p>
        </w:tc>
        <w:tc>
          <w:tcPr>
            <w:tcW w:w="160" w:type="dxa"/>
            <w:vAlign w:val="bottom"/>
            <w:tcBorders>
              <w:bottom w:val="single" w:sz="8" w:color="auto"/>
            </w:tcBorders>
            <w:shd w:val="clear" w:color="auto" w:fill="004483"/>
          </w:tcPr>
          <w:p>
            <w:pPr>
              <w:spacing w:after="0"/>
              <w:rPr>
                <w:sz w:val="15"/>
                <w:szCs w:val="15"/>
                <w:color w:val="auto"/>
              </w:rPr>
            </w:pPr>
          </w:p>
        </w:tc>
        <w:tc>
          <w:tcPr>
            <w:tcW w:w="2460" w:type="dxa"/>
            <w:vAlign w:val="bottom"/>
            <w:tcBorders>
              <w:bottom w:val="single" w:sz="8" w:color="auto"/>
            </w:tcBorders>
            <w:gridSpan w:val="5"/>
            <w:shd w:val="clear" w:color="auto" w:fill="004483"/>
          </w:tcPr>
          <w:p>
            <w:pPr>
              <w:jc w:val="center"/>
              <w:ind w:right="127"/>
              <w:spacing w:after="0"/>
              <w:rPr>
                <w:sz w:val="20"/>
                <w:szCs w:val="20"/>
                <w:color w:val="auto"/>
              </w:rPr>
            </w:pPr>
            <w:r>
              <w:rPr>
                <w:rFonts w:ascii="Arial" w:cs="Arial" w:eastAsia="Arial" w:hAnsi="Arial"/>
                <w:sz w:val="13"/>
                <w:szCs w:val="13"/>
                <w:b w:val="1"/>
                <w:bCs w:val="1"/>
                <w:color w:val="FFFFFF"/>
                <w:w w:val="87"/>
              </w:rPr>
              <w:t>December 31, 2021</w:t>
            </w:r>
          </w:p>
        </w:tc>
        <w:tc>
          <w:tcPr>
            <w:tcW w:w="100" w:type="dxa"/>
            <w:vAlign w:val="bottom"/>
            <w:tcBorders>
              <w:bottom w:val="single" w:sz="8" w:color="auto"/>
            </w:tcBorders>
            <w:shd w:val="clear" w:color="auto" w:fill="004483"/>
          </w:tcPr>
          <w:p>
            <w:pPr>
              <w:spacing w:after="0"/>
              <w:rPr>
                <w:sz w:val="15"/>
                <w:szCs w:val="15"/>
                <w:color w:val="auto"/>
              </w:rPr>
            </w:pPr>
          </w:p>
        </w:tc>
        <w:tc>
          <w:tcPr>
            <w:tcW w:w="140" w:type="dxa"/>
            <w:vAlign w:val="bottom"/>
            <w:tcBorders>
              <w:bottom w:val="single" w:sz="8" w:color="auto"/>
            </w:tcBorders>
            <w:shd w:val="clear" w:color="auto" w:fill="004483"/>
          </w:tcPr>
          <w:p>
            <w:pPr>
              <w:spacing w:after="0"/>
              <w:rPr>
                <w:sz w:val="15"/>
                <w:szCs w:val="15"/>
                <w:color w:val="auto"/>
              </w:rPr>
            </w:pPr>
          </w:p>
        </w:tc>
        <w:tc>
          <w:tcPr>
            <w:tcW w:w="420" w:type="dxa"/>
            <w:vAlign w:val="bottom"/>
            <w:tcBorders>
              <w:bottom w:val="single" w:sz="8" w:color="auto"/>
            </w:tcBorders>
            <w:shd w:val="clear" w:color="auto" w:fill="004483"/>
          </w:tcPr>
          <w:p>
            <w:pPr>
              <w:spacing w:after="0"/>
              <w:rPr>
                <w:sz w:val="15"/>
                <w:szCs w:val="15"/>
                <w:color w:val="auto"/>
              </w:rPr>
            </w:pPr>
          </w:p>
        </w:tc>
        <w:tc>
          <w:tcPr>
            <w:tcW w:w="780" w:type="dxa"/>
            <w:vAlign w:val="bottom"/>
            <w:tcBorders>
              <w:bottom w:val="single" w:sz="8" w:color="auto"/>
            </w:tcBorders>
            <w:shd w:val="clear" w:color="auto" w:fill="004483"/>
          </w:tcPr>
          <w:p>
            <w:pPr>
              <w:spacing w:after="0"/>
              <w:rPr>
                <w:sz w:val="15"/>
                <w:szCs w:val="15"/>
                <w:color w:val="auto"/>
              </w:rPr>
            </w:pPr>
          </w:p>
        </w:tc>
        <w:tc>
          <w:tcPr>
            <w:tcW w:w="100" w:type="dxa"/>
            <w:vAlign w:val="bottom"/>
            <w:tcBorders>
              <w:bottom w:val="single" w:sz="8" w:color="004483"/>
            </w:tcBorders>
            <w:shd w:val="clear" w:color="auto" w:fill="004483"/>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Quoted Prices in</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Significant Other</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Active Markets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for Identical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Observable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Unobservable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5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Asset Categories</w:t>
            </w:r>
          </w:p>
        </w:tc>
        <w:tc>
          <w:tcPr>
            <w:tcW w:w="20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8"/>
              </w:rPr>
              <w:t>Assets (Level 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Inputs (Level 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8"/>
              </w:rPr>
              <w:t>Inputs (Level 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004483"/>
            </w:tcBorders>
            <w:gridSpan w:val="2"/>
            <w:vMerge w:val="continue"/>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2460" w:type="dxa"/>
            <w:vAlign w:val="bottom"/>
            <w:tcBorders>
              <w:bottom w:val="single" w:sz="8" w:color="004483"/>
            </w:tcBorders>
            <w:gridSpan w:val="5"/>
          </w:tcPr>
          <w:p>
            <w:pPr>
              <w:jc w:val="center"/>
              <w:ind w:right="107"/>
              <w:spacing w:after="0"/>
              <w:rPr>
                <w:sz w:val="20"/>
                <w:szCs w:val="20"/>
                <w:color w:val="auto"/>
              </w:rPr>
            </w:pPr>
            <w:r>
              <w:rPr>
                <w:rFonts w:ascii="Arial" w:cs="Arial" w:eastAsia="Arial" w:hAnsi="Arial"/>
                <w:sz w:val="13"/>
                <w:szCs w:val="13"/>
                <w:color w:val="auto"/>
                <w:w w:val="86"/>
              </w:rPr>
              <w:t>(dollars in thousands)</w:t>
            </w:r>
          </w:p>
        </w:tc>
        <w:tc>
          <w:tcPr>
            <w:tcW w:w="1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ind w:left="20"/>
              <w:spacing w:after="0" w:line="189" w:lineRule="exact"/>
              <w:rPr>
                <w:sz w:val="20"/>
                <w:szCs w:val="20"/>
                <w:color w:val="auto"/>
              </w:rPr>
            </w:pPr>
            <w:r>
              <w:rPr>
                <w:rFonts w:ascii="Arial" w:cs="Arial" w:eastAsia="Arial" w:hAnsi="Arial"/>
                <w:sz w:val="16"/>
                <w:szCs w:val="16"/>
                <w:b w:val="1"/>
                <w:bCs w:val="1"/>
                <w:color w:val="004483"/>
              </w:rPr>
              <w:t xml:space="preserve">Equity Securities </w:t>
            </w:r>
            <w:r>
              <w:rPr>
                <w:rFonts w:ascii="Arial" w:cs="Arial" w:eastAsia="Arial" w:hAnsi="Arial"/>
                <w:sz w:val="21"/>
                <w:szCs w:val="21"/>
                <w:b w:val="1"/>
                <w:bCs w:val="1"/>
                <w:color w:val="004483"/>
                <w:vertAlign w:val="superscript"/>
              </w:rPr>
              <w:t>(a)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835</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5,068</w:t>
            </w:r>
          </w:p>
        </w:tc>
        <w:tc>
          <w:tcPr>
            <w:tcW w:w="460" w:type="dxa"/>
            <w:vAlign w:val="bottom"/>
            <w:gridSpan w:val="3"/>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 xml:space="preserve">Fixed Income Securities </w:t>
            </w:r>
            <w:r>
              <w:rPr>
                <w:rFonts w:ascii="Arial" w:cs="Arial" w:eastAsia="Arial" w:hAnsi="Arial"/>
                <w:sz w:val="21"/>
                <w:szCs w:val="21"/>
                <w:b w:val="1"/>
                <w:bCs w:val="1"/>
                <w:color w:val="004483"/>
                <w:vertAlign w:val="superscript"/>
              </w:rPr>
              <w:t>(a)</w:t>
            </w:r>
          </w:p>
        </w:tc>
        <w:tc>
          <w:tcPr>
            <w:tcW w:w="140" w:type="dxa"/>
            <w:vAlign w:val="bottom"/>
            <w:tcBorders>
              <w:top w:val="single" w:sz="8" w:color="A3A3A3"/>
              <w:bottom w:val="single" w:sz="8" w:color="A3A3A3"/>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10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1,360</w:t>
            </w:r>
          </w:p>
        </w:tc>
        <w:tc>
          <w:tcPr>
            <w:tcW w:w="120" w:type="dxa"/>
            <w:vAlign w:val="bottom"/>
          </w:tcPr>
          <w:p>
            <w:pPr>
              <w:spacing w:after="0"/>
              <w:rPr>
                <w:sz w:val="15"/>
                <w:szCs w:val="15"/>
                <w:color w:val="auto"/>
              </w:rPr>
            </w:pPr>
          </w:p>
        </w:tc>
        <w:tc>
          <w:tcPr>
            <w:tcW w:w="140" w:type="dxa"/>
            <w:vAlign w:val="bottom"/>
            <w:tcBorders>
              <w:top w:val="single" w:sz="8" w:color="A3A3A3"/>
              <w:bottom w:val="single" w:sz="8" w:color="A3A3A3"/>
            </w:tcBorders>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10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4,087</w:t>
            </w:r>
          </w:p>
        </w:tc>
        <w:tc>
          <w:tcPr>
            <w:tcW w:w="120" w:type="dxa"/>
            <w:vAlign w:val="bottom"/>
          </w:tcPr>
          <w:p>
            <w:pPr>
              <w:spacing w:after="0"/>
              <w:rPr>
                <w:sz w:val="15"/>
                <w:szCs w:val="15"/>
                <w:color w:val="auto"/>
              </w:rPr>
            </w:pPr>
          </w:p>
        </w:tc>
        <w:tc>
          <w:tcPr>
            <w:tcW w:w="140" w:type="dxa"/>
            <w:vAlign w:val="bottom"/>
            <w:tcBorders>
              <w:top w:val="single" w:sz="8" w:color="A3A3A3"/>
              <w:bottom w:val="single" w:sz="8" w:color="A3A3A3"/>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9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Borders>
              <w:top w:val="single" w:sz="8" w:color="A3A3A3"/>
              <w:bottom w:val="single" w:sz="8" w:color="A3A3A3"/>
            </w:tcBorders>
          </w:tcPr>
          <w:p>
            <w:pPr>
              <w:spacing w:after="0"/>
              <w:rPr>
                <w:sz w:val="15"/>
                <w:szCs w:val="15"/>
                <w:color w:val="auto"/>
              </w:rPr>
            </w:pPr>
          </w:p>
        </w:tc>
        <w:tc>
          <w:tcPr>
            <w:tcW w:w="420" w:type="dxa"/>
            <w:vAlign w:val="bottom"/>
            <w:tcBorders>
              <w:top w:val="single" w:sz="8" w:color="A6A6A6"/>
              <w:bottom w:val="single" w:sz="8" w:color="A6A6A6"/>
            </w:tcBorders>
          </w:tcPr>
          <w:p>
            <w:pPr>
              <w:spacing w:after="0"/>
              <w:rPr>
                <w:sz w:val="15"/>
                <w:szCs w:val="15"/>
                <w:color w:val="auto"/>
              </w:rPr>
            </w:pPr>
          </w:p>
        </w:tc>
        <w:tc>
          <w:tcPr>
            <w:tcW w:w="7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5,447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Cash Equivalents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340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A6A6A6"/>
            </w:tcBorders>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00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2,535</w:t>
            </w: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9,155</w:t>
            </w: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004483"/>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11,690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shd w:val="clear" w:color="auto" w:fill="004483"/>
          </w:tcPr>
          <w:p>
            <w:pPr>
              <w:spacing w:after="0"/>
              <w:rPr>
                <w:sz w:val="14"/>
                <w:szCs w:val="14"/>
                <w:color w:val="auto"/>
              </w:rPr>
            </w:pPr>
          </w:p>
        </w:tc>
        <w:tc>
          <w:tcPr>
            <w:tcW w:w="100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auto"/>
            </w:tcBorders>
            <w:shd w:val="clear" w:color="auto" w:fill="004483"/>
          </w:tcPr>
          <w:p>
            <w:pPr>
              <w:spacing w:after="0"/>
              <w:rPr>
                <w:sz w:val="14"/>
                <w:szCs w:val="14"/>
                <w:color w:val="auto"/>
              </w:rPr>
            </w:pPr>
          </w:p>
        </w:tc>
        <w:tc>
          <w:tcPr>
            <w:tcW w:w="140" w:type="dxa"/>
            <w:vAlign w:val="bottom"/>
            <w:tcBorders>
              <w:bottom w:val="single" w:sz="8" w:color="auto"/>
            </w:tcBorders>
            <w:shd w:val="clear" w:color="auto" w:fill="004483"/>
          </w:tcPr>
          <w:p>
            <w:pPr>
              <w:spacing w:after="0"/>
              <w:rPr>
                <w:sz w:val="14"/>
                <w:szCs w:val="14"/>
                <w:color w:val="auto"/>
              </w:rPr>
            </w:pPr>
          </w:p>
        </w:tc>
        <w:tc>
          <w:tcPr>
            <w:tcW w:w="160" w:type="dxa"/>
            <w:vAlign w:val="bottom"/>
            <w:tcBorders>
              <w:bottom w:val="single" w:sz="8" w:color="auto"/>
            </w:tcBorders>
            <w:shd w:val="clear" w:color="auto" w:fill="004483"/>
          </w:tcPr>
          <w:p>
            <w:pPr>
              <w:spacing w:after="0"/>
              <w:rPr>
                <w:sz w:val="14"/>
                <w:szCs w:val="14"/>
                <w:color w:val="auto"/>
              </w:rPr>
            </w:pPr>
          </w:p>
        </w:tc>
        <w:tc>
          <w:tcPr>
            <w:tcW w:w="2460" w:type="dxa"/>
            <w:vAlign w:val="bottom"/>
            <w:tcBorders>
              <w:bottom w:val="single" w:sz="8" w:color="auto"/>
            </w:tcBorders>
            <w:gridSpan w:val="5"/>
            <w:shd w:val="clear" w:color="auto" w:fill="004483"/>
          </w:tcPr>
          <w:p>
            <w:pPr>
              <w:jc w:val="center"/>
              <w:ind w:right="127"/>
              <w:spacing w:after="0"/>
              <w:rPr>
                <w:sz w:val="20"/>
                <w:szCs w:val="20"/>
                <w:color w:val="auto"/>
              </w:rPr>
            </w:pPr>
            <w:r>
              <w:rPr>
                <w:rFonts w:ascii="Arial" w:cs="Arial" w:eastAsia="Arial" w:hAnsi="Arial"/>
                <w:sz w:val="13"/>
                <w:szCs w:val="13"/>
                <w:b w:val="1"/>
                <w:bCs w:val="1"/>
                <w:color w:val="FFFFFF"/>
                <w:w w:val="87"/>
              </w:rPr>
              <w:t>December 31, 2020</w:t>
            </w:r>
          </w:p>
        </w:tc>
        <w:tc>
          <w:tcPr>
            <w:tcW w:w="100" w:type="dxa"/>
            <w:vAlign w:val="bottom"/>
            <w:tcBorders>
              <w:bottom w:val="single" w:sz="8" w:color="auto"/>
            </w:tcBorders>
            <w:shd w:val="clear" w:color="auto" w:fill="004483"/>
          </w:tcPr>
          <w:p>
            <w:pPr>
              <w:spacing w:after="0"/>
              <w:rPr>
                <w:sz w:val="14"/>
                <w:szCs w:val="14"/>
                <w:color w:val="auto"/>
              </w:rPr>
            </w:pPr>
          </w:p>
        </w:tc>
        <w:tc>
          <w:tcPr>
            <w:tcW w:w="140" w:type="dxa"/>
            <w:vAlign w:val="bottom"/>
            <w:tcBorders>
              <w:bottom w:val="single" w:sz="8" w:color="auto"/>
            </w:tcBorders>
            <w:shd w:val="clear" w:color="auto" w:fill="004483"/>
          </w:tcPr>
          <w:p>
            <w:pPr>
              <w:spacing w:after="0"/>
              <w:rPr>
                <w:sz w:val="14"/>
                <w:szCs w:val="14"/>
                <w:color w:val="auto"/>
              </w:rPr>
            </w:pPr>
          </w:p>
        </w:tc>
        <w:tc>
          <w:tcPr>
            <w:tcW w:w="420" w:type="dxa"/>
            <w:vAlign w:val="bottom"/>
            <w:tcBorders>
              <w:bottom w:val="single" w:sz="8" w:color="auto"/>
            </w:tcBorders>
            <w:shd w:val="clear" w:color="auto" w:fill="004483"/>
          </w:tcPr>
          <w:p>
            <w:pPr>
              <w:spacing w:after="0"/>
              <w:rPr>
                <w:sz w:val="14"/>
                <w:szCs w:val="14"/>
                <w:color w:val="auto"/>
              </w:rPr>
            </w:pPr>
          </w:p>
        </w:tc>
        <w:tc>
          <w:tcPr>
            <w:tcW w:w="78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Quoted Prices in</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Significant Other</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Active Markets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for Identical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Observable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Unobservable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5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Asset Categories</w:t>
            </w:r>
          </w:p>
        </w:tc>
        <w:tc>
          <w:tcPr>
            <w:tcW w:w="20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8"/>
              </w:rPr>
              <w:t>Assets (Level 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Inputs (Level 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8"/>
              </w:rPr>
              <w:t>Inputs (Level 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004483"/>
            </w:tcBorders>
            <w:gridSpan w:val="2"/>
            <w:vMerge w:val="continue"/>
          </w:tcPr>
          <w:p>
            <w:pPr>
              <w:spacing w:after="0"/>
              <w:rPr>
                <w:sz w:val="15"/>
                <w:szCs w:val="15"/>
                <w:color w:val="auto"/>
              </w:rPr>
            </w:pPr>
          </w:p>
        </w:tc>
        <w:tc>
          <w:tcPr>
            <w:tcW w:w="20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2460" w:type="dxa"/>
            <w:vAlign w:val="bottom"/>
            <w:tcBorders>
              <w:bottom w:val="single" w:sz="8" w:color="004483"/>
            </w:tcBorders>
            <w:gridSpan w:val="5"/>
          </w:tcPr>
          <w:p>
            <w:pPr>
              <w:jc w:val="center"/>
              <w:ind w:right="107"/>
              <w:spacing w:after="0"/>
              <w:rPr>
                <w:sz w:val="20"/>
                <w:szCs w:val="20"/>
                <w:color w:val="auto"/>
              </w:rPr>
            </w:pPr>
            <w:r>
              <w:rPr>
                <w:rFonts w:ascii="Arial" w:cs="Arial" w:eastAsia="Arial" w:hAnsi="Arial"/>
                <w:sz w:val="13"/>
                <w:szCs w:val="13"/>
                <w:color w:val="auto"/>
                <w:w w:val="86"/>
              </w:rPr>
              <w:t>(dollars in thousands)</w:t>
            </w:r>
          </w:p>
        </w:tc>
        <w:tc>
          <w:tcPr>
            <w:tcW w:w="100" w:type="dxa"/>
            <w:vAlign w:val="bottom"/>
            <w:tcBorders>
              <w:bottom w:val="single" w:sz="8" w:color="004483"/>
            </w:tcBorders>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420" w:type="dxa"/>
            <w:vAlign w:val="bottom"/>
            <w:tcBorders>
              <w:bottom w:val="single" w:sz="8" w:color="004483"/>
            </w:tcBorders>
          </w:tcPr>
          <w:p>
            <w:pPr>
              <w:spacing w:after="0"/>
              <w:rPr>
                <w:sz w:val="15"/>
                <w:szCs w:val="15"/>
                <w:color w:val="auto"/>
              </w:rPr>
            </w:pPr>
          </w:p>
        </w:tc>
        <w:tc>
          <w:tcPr>
            <w:tcW w:w="780" w:type="dxa"/>
            <w:vAlign w:val="bottom"/>
            <w:tcBorders>
              <w:bottom w:val="single" w:sz="8" w:color="004483"/>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ind w:left="20"/>
              <w:spacing w:after="0" w:line="189" w:lineRule="exact"/>
              <w:rPr>
                <w:sz w:val="20"/>
                <w:szCs w:val="20"/>
                <w:color w:val="auto"/>
              </w:rPr>
            </w:pPr>
            <w:r>
              <w:rPr>
                <w:rFonts w:ascii="Arial" w:cs="Arial" w:eastAsia="Arial" w:hAnsi="Arial"/>
                <w:sz w:val="16"/>
                <w:szCs w:val="16"/>
                <w:b w:val="1"/>
                <w:bCs w:val="1"/>
                <w:color w:val="004483"/>
              </w:rPr>
              <w:t xml:space="preserve">Equity Securities </w:t>
            </w:r>
            <w:r>
              <w:rPr>
                <w:rFonts w:ascii="Arial" w:cs="Arial" w:eastAsia="Arial" w:hAnsi="Arial"/>
                <w:sz w:val="21"/>
                <w:szCs w:val="21"/>
                <w:b w:val="1"/>
                <w:bCs w:val="1"/>
                <w:color w:val="004483"/>
                <w:vertAlign w:val="superscript"/>
              </w:rPr>
              <w:t>(a)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665</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4,639</w:t>
            </w:r>
          </w:p>
        </w:tc>
        <w:tc>
          <w:tcPr>
            <w:tcW w:w="460" w:type="dxa"/>
            <w:vAlign w:val="bottom"/>
            <w:gridSpan w:val="3"/>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tcBorders>
              <w:top w:val="single" w:sz="8" w:color="A6A6A6"/>
              <w:bottom w:val="single" w:sz="8" w:color="A6A6A6"/>
            </w:tcBorders>
          </w:tcPr>
          <w:p>
            <w:pPr>
              <w:ind w:left="20"/>
              <w:spacing w:after="0" w:line="183" w:lineRule="exact"/>
              <w:rPr>
                <w:sz w:val="20"/>
                <w:szCs w:val="20"/>
                <w:color w:val="auto"/>
              </w:rPr>
            </w:pPr>
            <w:r>
              <w:rPr>
                <w:rFonts w:ascii="Arial" w:cs="Arial" w:eastAsia="Arial" w:hAnsi="Arial"/>
                <w:sz w:val="16"/>
                <w:szCs w:val="16"/>
                <w:b w:val="1"/>
                <w:bCs w:val="1"/>
                <w:color w:val="004483"/>
              </w:rPr>
              <w:t xml:space="preserve">Fixed Income Securities </w:t>
            </w:r>
            <w:r>
              <w:rPr>
                <w:rFonts w:ascii="Arial" w:cs="Arial" w:eastAsia="Arial" w:hAnsi="Arial"/>
                <w:sz w:val="21"/>
                <w:szCs w:val="21"/>
                <w:b w:val="1"/>
                <w:bCs w:val="1"/>
                <w:color w:val="004483"/>
                <w:vertAlign w:val="superscript"/>
              </w:rPr>
              <w:t>(a)</w:t>
            </w:r>
          </w:p>
        </w:tc>
        <w:tc>
          <w:tcPr>
            <w:tcW w:w="140" w:type="dxa"/>
            <w:vAlign w:val="bottom"/>
            <w:tcBorders>
              <w:top w:val="single" w:sz="8" w:color="A3A3A3"/>
              <w:bottom w:val="single" w:sz="8" w:color="A3A3A3"/>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100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1,218</w:t>
            </w:r>
          </w:p>
        </w:tc>
        <w:tc>
          <w:tcPr>
            <w:tcW w:w="120" w:type="dxa"/>
            <w:vAlign w:val="bottom"/>
          </w:tcPr>
          <w:p>
            <w:pPr>
              <w:spacing w:after="0"/>
              <w:rPr>
                <w:sz w:val="15"/>
                <w:szCs w:val="15"/>
                <w:color w:val="auto"/>
              </w:rPr>
            </w:pPr>
          </w:p>
        </w:tc>
        <w:tc>
          <w:tcPr>
            <w:tcW w:w="140" w:type="dxa"/>
            <w:vAlign w:val="bottom"/>
            <w:tcBorders>
              <w:top w:val="single" w:sz="8" w:color="A3A3A3"/>
              <w:bottom w:val="single" w:sz="8" w:color="A3A3A3"/>
            </w:tcBorders>
          </w:tcPr>
          <w:p>
            <w:pPr>
              <w:spacing w:after="0"/>
              <w:rPr>
                <w:sz w:val="15"/>
                <w:szCs w:val="15"/>
                <w:color w:val="auto"/>
              </w:rPr>
            </w:pPr>
          </w:p>
        </w:tc>
        <w:tc>
          <w:tcPr>
            <w:tcW w:w="160" w:type="dxa"/>
            <w:vAlign w:val="bottom"/>
            <w:tcBorders>
              <w:top w:val="single" w:sz="8" w:color="A6A6A6"/>
              <w:bottom w:val="single" w:sz="8" w:color="A6A6A6"/>
            </w:tcBorders>
          </w:tcPr>
          <w:p>
            <w:pPr>
              <w:spacing w:after="0"/>
              <w:rPr>
                <w:sz w:val="15"/>
                <w:szCs w:val="15"/>
                <w:color w:val="auto"/>
              </w:rPr>
            </w:pPr>
          </w:p>
        </w:tc>
        <w:tc>
          <w:tcPr>
            <w:tcW w:w="102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3,656</w:t>
            </w:r>
          </w:p>
        </w:tc>
        <w:tc>
          <w:tcPr>
            <w:tcW w:w="120" w:type="dxa"/>
            <w:vAlign w:val="bottom"/>
          </w:tcPr>
          <w:p>
            <w:pPr>
              <w:spacing w:after="0"/>
              <w:rPr>
                <w:sz w:val="15"/>
                <w:szCs w:val="15"/>
                <w:color w:val="auto"/>
              </w:rPr>
            </w:pPr>
          </w:p>
        </w:tc>
        <w:tc>
          <w:tcPr>
            <w:tcW w:w="140" w:type="dxa"/>
            <w:vAlign w:val="bottom"/>
            <w:tcBorders>
              <w:top w:val="single" w:sz="8" w:color="A3A3A3"/>
              <w:bottom w:val="single" w:sz="8" w:color="A3A3A3"/>
            </w:tcBorders>
          </w:tcPr>
          <w:p>
            <w:pPr>
              <w:spacing w:after="0"/>
              <w:rPr>
                <w:sz w:val="15"/>
                <w:szCs w:val="15"/>
                <w:color w:val="auto"/>
              </w:rPr>
            </w:pPr>
          </w:p>
        </w:tc>
        <w:tc>
          <w:tcPr>
            <w:tcW w:w="200" w:type="dxa"/>
            <w:vAlign w:val="bottom"/>
            <w:tcBorders>
              <w:top w:val="single" w:sz="8" w:color="A6A6A6"/>
              <w:bottom w:val="single" w:sz="8" w:color="A6A6A6"/>
            </w:tcBorders>
          </w:tcPr>
          <w:p>
            <w:pPr>
              <w:spacing w:after="0"/>
              <w:rPr>
                <w:sz w:val="15"/>
                <w:szCs w:val="15"/>
                <w:color w:val="auto"/>
              </w:rPr>
            </w:pPr>
          </w:p>
        </w:tc>
        <w:tc>
          <w:tcPr>
            <w:tcW w:w="9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Borders>
              <w:top w:val="single" w:sz="8" w:color="A3A3A3"/>
              <w:bottom w:val="single" w:sz="8" w:color="A3A3A3"/>
            </w:tcBorders>
          </w:tcPr>
          <w:p>
            <w:pPr>
              <w:spacing w:after="0"/>
              <w:rPr>
                <w:sz w:val="15"/>
                <w:szCs w:val="15"/>
                <w:color w:val="auto"/>
              </w:rPr>
            </w:pPr>
          </w:p>
        </w:tc>
        <w:tc>
          <w:tcPr>
            <w:tcW w:w="420" w:type="dxa"/>
            <w:vAlign w:val="bottom"/>
            <w:tcBorders>
              <w:top w:val="single" w:sz="8" w:color="A6A6A6"/>
              <w:bottom w:val="single" w:sz="8" w:color="A6A6A6"/>
            </w:tcBorders>
          </w:tcPr>
          <w:p>
            <w:pPr>
              <w:spacing w:after="0"/>
              <w:rPr>
                <w:sz w:val="15"/>
                <w:szCs w:val="15"/>
                <w:color w:val="auto"/>
              </w:rPr>
            </w:pPr>
          </w:p>
        </w:tc>
        <w:tc>
          <w:tcPr>
            <w:tcW w:w="780" w:type="dxa"/>
            <w:vAlign w:val="bottom"/>
            <w:tcBorders>
              <w:top w:val="single" w:sz="8" w:color="A6A6A6"/>
              <w:bottom w:val="single" w:sz="8" w:color="A6A6A6"/>
            </w:tcBorders>
          </w:tcPr>
          <w:p>
            <w:pPr>
              <w:jc w:val="right"/>
              <w:spacing w:after="0" w:line="183" w:lineRule="exact"/>
              <w:rPr>
                <w:sz w:val="20"/>
                <w:szCs w:val="20"/>
                <w:color w:val="auto"/>
              </w:rPr>
            </w:pPr>
            <w:r>
              <w:rPr>
                <w:rFonts w:ascii="Arial" w:cs="Arial" w:eastAsia="Arial" w:hAnsi="Arial"/>
                <w:sz w:val="16"/>
                <w:szCs w:val="16"/>
                <w:color w:val="auto"/>
              </w:rPr>
              <w:t>4,874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ind w:left="20"/>
              <w:spacing w:after="0" w:line="183" w:lineRule="exact"/>
              <w:rPr>
                <w:sz w:val="20"/>
                <w:szCs w:val="20"/>
                <w:color w:val="auto"/>
              </w:rPr>
            </w:pPr>
            <w:r>
              <w:rPr>
                <w:rFonts w:ascii="Arial" w:cs="Arial" w:eastAsia="Arial" w:hAnsi="Arial"/>
                <w:sz w:val="16"/>
                <w:szCs w:val="16"/>
                <w:b w:val="1"/>
                <w:bCs w:val="1"/>
                <w:color w:val="004483"/>
              </w:rPr>
              <w:t>Cash Equivalents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A6A6A6"/>
            </w:tcBorders>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100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3A3A3"/>
            </w:tcBorders>
          </w:tcPr>
          <w:p>
            <w:pPr>
              <w:spacing w:after="0"/>
              <w:rPr>
                <w:sz w:val="2"/>
                <w:szCs w:val="2"/>
                <w:color w:val="auto"/>
              </w:rPr>
            </w:pPr>
          </w:p>
        </w:tc>
        <w:tc>
          <w:tcPr>
            <w:tcW w:w="42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004483"/>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2,145</w:t>
            </w: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8,295</w:t>
            </w: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004483"/>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4483"/>
            </w:tcBorders>
          </w:tcPr>
          <w:p>
            <w:pPr>
              <w:jc w:val="right"/>
              <w:ind w:right="239"/>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line="183" w:lineRule="exact"/>
              <w:rPr>
                <w:sz w:val="20"/>
                <w:szCs w:val="20"/>
                <w:color w:val="auto"/>
              </w:rPr>
            </w:pPr>
            <w:r>
              <w:rPr>
                <w:rFonts w:ascii="Arial" w:cs="Arial" w:eastAsia="Arial" w:hAnsi="Arial"/>
                <w:sz w:val="16"/>
                <w:szCs w:val="16"/>
                <w:b w:val="1"/>
                <w:bCs w:val="1"/>
                <w:color w:val="auto"/>
              </w:rPr>
              <w:t>10,440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Level 2 assets are maintained by an investment manager and consist of collective funds that are not actively traded.</w:t>
      </w:r>
    </w:p>
    <w:p>
      <w:pPr>
        <w:spacing w:after="0" w:line="173" w:lineRule="exact"/>
        <w:rPr>
          <w:sz w:val="20"/>
          <w:szCs w:val="20"/>
          <w:color w:val="auto"/>
        </w:rPr>
      </w:pPr>
    </w:p>
    <w:p>
      <w:pPr>
        <w:ind w:right="380"/>
        <w:spacing w:after="0" w:line="311" w:lineRule="auto"/>
        <w:rPr>
          <w:sz w:val="20"/>
          <w:szCs w:val="20"/>
          <w:color w:val="auto"/>
        </w:rPr>
      </w:pPr>
      <w:r>
        <w:rPr>
          <w:rFonts w:ascii="Arial" w:cs="Arial" w:eastAsia="Arial" w:hAnsi="Arial"/>
          <w:sz w:val="17"/>
          <w:szCs w:val="17"/>
          <w:color w:val="auto"/>
        </w:rPr>
        <w:t>Texas Lehigh also provides a profit sharing plan, which covers substantially all salaried employees, and a 401(k) plan, which covers substantially all employees. Texas Lehigh matches employees’ 401(k) contributions up to 4% of employees’ salaries. Texas Lehigh’s contributions to the profit sharing and 401(k) plans were $0.7 million, $0.8 million, and $0.8 million in 2021, 2020, and 2019, respectively.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(J) RELATED-PARTY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Texas Lehigh had sales to affiliates of $24.9 million, $24.6 million, and $28.9 million in 2021, 2020, and 2019, respectively, of which $6.1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million and $3.3 million were included in trade accounts receivable at December 31, 2021 and 2020, respectively. Texas Lehigh purchased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$30.7 million, $28.0 million, and $29.8 million of cement from HCC in 2021, 2020, and 2019, respectively; $1.1 million and $1.7 million of slag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from Skyway Cement Company in 2021 and 2020, respectively; and $0.1 million of slag from Lehigh Hanson Cement in 2020. Texas Lehigh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accrued $0.1 million and ($0.2) million for purchased cement and slag received from these affiliates but not paid for at December 31, 2021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and 2020, respectively.</w:t>
      </w:r>
    </w:p>
    <w:p>
      <w:pPr>
        <w:spacing w:after="0" w:line="144" w:lineRule="exact"/>
        <w:rPr>
          <w:sz w:val="20"/>
          <w:szCs w:val="20"/>
          <w:color w:val="auto"/>
        </w:rPr>
      </w:pPr>
    </w:p>
    <w:p>
      <w:pPr>
        <w:ind w:right="140"/>
        <w:spacing w:after="0" w:line="311" w:lineRule="auto"/>
        <w:rPr>
          <w:sz w:val="20"/>
          <w:szCs w:val="20"/>
          <w:color w:val="auto"/>
        </w:rPr>
      </w:pPr>
      <w:r>
        <w:rPr>
          <w:rFonts w:ascii="Arial" w:cs="Arial" w:eastAsia="Arial" w:hAnsi="Arial"/>
          <w:sz w:val="17"/>
          <w:szCs w:val="17"/>
          <w:color w:val="auto"/>
        </w:rPr>
        <w:t>Texas Lehigh reimburses EXP for certain expenses paid by EXP on Texas Lehigh’s behalf. Total payments made to EXP for reimbursement of expenses were $4.1 million, $3.9 million, and $3.7 million during 2021, 2020, and 2019, respectively. At December 31, 2021 and 2020, Texas Lehigh had accrued liabilities of $0.2 million and $0.5 million, respectively, for the reimbursement of expenses paid by EXP.</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11" w:name="page112"/>
    <w:bookmarkEnd w:id="111"/>
    <w:p>
      <w:pPr>
        <w:jc w:val="center"/>
        <w:ind w:right="-99"/>
        <w:spacing w:after="0"/>
        <w:rPr>
          <w:sz w:val="20"/>
          <w:szCs w:val="20"/>
          <w:color w:val="auto"/>
        </w:rPr>
      </w:pPr>
      <w:r>
        <w:rPr>
          <w:rFonts w:ascii="Arial" w:cs="Arial" w:eastAsia="Arial" w:hAnsi="Arial"/>
          <w:sz w:val="18"/>
          <w:szCs w:val="18"/>
          <w:b w:val="1"/>
          <w:bCs w:val="1"/>
          <w:color w:val="auto"/>
        </w:rPr>
        <w:t>Report of Independent Auditors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Committee of Texas Lehigh Cement Company LP: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80"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color w:val="auto"/>
        </w:rPr>
        <w:t>We have audited the financial statements of Texas Lehigh Cement Company LP, which comprise the balance sheets as of December 31, 2021 and 2020, and the related statements of earnings, comprehensive earnings, changes in partners’ capital, and cash flows for the three years then ended, and the related notes (collectively referred to as the “financial statements”).</w:t>
      </w:r>
    </w:p>
    <w:p>
      <w:pPr>
        <w:spacing w:after="0" w:line="94" w:lineRule="exact"/>
        <w:rPr>
          <w:sz w:val="20"/>
          <w:szCs w:val="20"/>
          <w:color w:val="auto"/>
        </w:rPr>
      </w:pPr>
    </w:p>
    <w:p>
      <w:pPr>
        <w:jc w:val="both"/>
        <w:ind w:right="660"/>
        <w:spacing w:after="0" w:line="303" w:lineRule="auto"/>
        <w:rPr>
          <w:sz w:val="20"/>
          <w:szCs w:val="20"/>
          <w:color w:val="auto"/>
        </w:rPr>
      </w:pPr>
      <w:r>
        <w:rPr>
          <w:rFonts w:ascii="Arial" w:cs="Arial" w:eastAsia="Arial" w:hAnsi="Arial"/>
          <w:sz w:val="18"/>
          <w:szCs w:val="18"/>
          <w:color w:val="auto"/>
        </w:rPr>
        <w:t>In our opinion, the accompanying financial statements present fairly, in all material respects, the financial position of the Company at December 31, 2021 and 2020, and the results of its operations and its cash flows for the three years then ended in accordance with accounting principles generally accepted in the United States of America.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Financial Statements</w:t>
      </w:r>
    </w:p>
    <w:p>
      <w:pPr>
        <w:spacing w:after="0" w:line="180"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94" w:lineRule="exact"/>
        <w:rPr>
          <w:sz w:val="20"/>
          <w:szCs w:val="20"/>
          <w:color w:val="auto"/>
        </w:rPr>
      </w:pPr>
    </w:p>
    <w:p>
      <w:pPr>
        <w:ind w:right="560"/>
        <w:spacing w:after="0" w:line="303" w:lineRule="auto"/>
        <w:rPr>
          <w:sz w:val="20"/>
          <w:szCs w:val="20"/>
          <w:color w:val="auto"/>
        </w:rPr>
      </w:pPr>
      <w:r>
        <w:rPr>
          <w:rFonts w:ascii="Arial" w:cs="Arial" w:eastAsia="Arial" w:hAnsi="Arial"/>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Financial Statements</w:t>
      </w:r>
    </w:p>
    <w:p>
      <w:pPr>
        <w:spacing w:after="0" w:line="180" w:lineRule="exact"/>
        <w:rPr>
          <w:sz w:val="20"/>
          <w:szCs w:val="20"/>
          <w:color w:val="auto"/>
        </w:rPr>
      </w:pPr>
    </w:p>
    <w:p>
      <w:pPr>
        <w:ind w:right="140"/>
        <w:spacing w:after="0" w:line="299" w:lineRule="auto"/>
        <w:rPr>
          <w:sz w:val="20"/>
          <w:szCs w:val="20"/>
          <w:color w:val="auto"/>
        </w:rPr>
      </w:pPr>
      <w:r>
        <w:rPr>
          <w:rFonts w:ascii="Arial" w:cs="Arial" w:eastAsia="Arial" w:hAnsi="Arial"/>
          <w:sz w:val="18"/>
          <w:szCs w:val="18"/>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32" w:right="41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In performing an audit in accordance with GAAS, we:</w:t>
      </w:r>
    </w:p>
    <w:p>
      <w:pPr>
        <w:spacing w:after="0" w:line="158"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157" w:lineRule="exact"/>
        <w:rPr>
          <w:rFonts w:ascii="Arial" w:cs="Arial" w:eastAsia="Arial" w:hAnsi="Arial"/>
          <w:sz w:val="18"/>
          <w:szCs w:val="18"/>
          <w:color w:val="auto"/>
        </w:rPr>
      </w:pPr>
    </w:p>
    <w:p>
      <w:pPr>
        <w:jc w:val="both"/>
        <w:ind w:left="1020" w:hanging="503"/>
        <w:spacing w:after="0" w:line="30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93" w:lineRule="exact"/>
        <w:rPr>
          <w:rFonts w:ascii="Arial" w:cs="Arial" w:eastAsia="Arial" w:hAnsi="Arial"/>
          <w:sz w:val="18"/>
          <w:szCs w:val="18"/>
          <w:color w:val="auto"/>
        </w:rPr>
      </w:pPr>
    </w:p>
    <w:p>
      <w:pPr>
        <w:ind w:left="1020" w:right="200" w:hanging="503"/>
        <w:spacing w:after="0" w:line="30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93" w:lineRule="exact"/>
        <w:rPr>
          <w:rFonts w:ascii="Arial" w:cs="Arial" w:eastAsia="Arial" w:hAnsi="Arial"/>
          <w:sz w:val="18"/>
          <w:szCs w:val="18"/>
          <w:color w:val="auto"/>
        </w:rPr>
      </w:pPr>
    </w:p>
    <w:p>
      <w:pPr>
        <w:ind w:left="1020" w:right="120" w:hanging="503"/>
        <w:spacing w:after="0" w:line="30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89" w:lineRule="exact"/>
        <w:rPr>
          <w:rFonts w:ascii="Arial" w:cs="Arial" w:eastAsia="Arial" w:hAnsi="Arial"/>
          <w:sz w:val="18"/>
          <w:szCs w:val="18"/>
          <w:color w:val="auto"/>
        </w:rPr>
      </w:pPr>
    </w:p>
    <w:p>
      <w:pPr>
        <w:ind w:left="1020" w:right="340" w:hanging="503"/>
        <w:spacing w:after="0" w:line="30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90"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May 11, 2022</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13" w:name="page114"/>
    <w:bookmarkEnd w:id="113"/>
    <w:p>
      <w:pPr>
        <w:spacing w:after="0"/>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EVALUATION OF DISCLOSURE CONTROLS AND PROCEDURES</w:t>
      </w:r>
    </w:p>
    <w:p>
      <w:pPr>
        <w:spacing w:after="0" w:line="166"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We have established a system of disclosure controls and other procedures that are designed to ensure that information required to be disclosed by us in the reports that we file or submit under the Securities Exchange Act of 1934 (Exchange Act) is recorded, processed, summarized, and reported within the time periods specified by the SEC. Such information is also accumulated and communicated to management, including our Chief Executive Officer and Chief Financial Officer, as appropriate to allow timely decisions regarding required disclosure. An evaluation of the effectiveness of the design and operation of our disclosure controls and procedures (as defined in Exchange Act Rule 13a-15(e)) was performed as of the end of the period covered by this annual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9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There were no changes that occurred during our last fiscal quarter that have materially affected, or are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MANAGEMENT REPORT ON INTERNAL CONTROL OVER FINANCIAL REPORTING</w:t>
      </w:r>
    </w:p>
    <w:p>
      <w:pPr>
        <w:spacing w:after="0" w:line="166"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Exchange Act Rule 13a-15(f). Under the supervision and with the participation of our management, including our CEO and CFO,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Based on our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March 31, 2022. The effectiveness of our internal control over financial reporting as of March 31, 2022, has been audited by Ernst &amp; Young LLP, an independent registered public accounting firm, as stated in their report which is included herein.</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5" w:right="3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ind w:right="4300"/>
        <w:spacing w:after="0" w:line="406" w:lineRule="auto"/>
        <w:rPr>
          <w:sz w:val="20"/>
          <w:szCs w:val="20"/>
          <w:color w:val="auto"/>
        </w:rPr>
      </w:pPr>
      <w:r>
        <w:rPr>
          <w:rFonts w:ascii="Arial" w:cs="Arial" w:eastAsia="Arial" w:hAnsi="Arial"/>
          <w:sz w:val="18"/>
          <w:szCs w:val="18"/>
          <w:color w:val="auto"/>
        </w:rPr>
        <w:t xml:space="preserve">To the Stockholders and the Board of Directors of Eagle Materials Inc. and Subsidiaries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We have audited Eagle Materials Inc. and Subsidiaries’ internal control over financial reporting as of March 31, 2022, based on criteria established in Internal Control—Integrated Framework issued by the Committee of Sponsoring Organizations of the Treadway Commission (2013 framework), (the COSO criteria). In our opinion, Eagle Materials Inc. and Subsidiaries (the Company) maintained, in all material respects, effective internal control over financial reporting as of March 31, 2022, based on the COSO criteria.</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2022 and 2021, the related consolidated statements of earnings, comprehensive earnings, stockholders’ equity and cash flows for each of the three years in the period ended March 31, 2022, and the related notes, and our report dated May 20, 2022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8"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6"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5" w:name="page116"/>
    <w:bookmarkEnd w:id="115"/>
    <w:p>
      <w:pPr>
        <w:jc w:val="both"/>
        <w:spacing w:after="0" w:line="28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03" w:right="479" w:bottom="1440" w:gutter="0" w:footer="0" w:header="0"/>
        </w:sectPr>
      </w:pPr>
    </w:p>
    <w:bookmarkStart w:id="116" w:name="page117"/>
    <w:bookmarkEnd w:id="116"/>
    <w:p>
      <w:pPr>
        <w:spacing w:after="0"/>
        <w:rPr>
          <w:sz w:val="20"/>
          <w:szCs w:val="20"/>
          <w:color w:val="auto"/>
        </w:rPr>
      </w:pPr>
      <w:r>
        <w:rPr>
          <w:rFonts w:ascii="Arial" w:cs="Arial" w:eastAsia="Arial" w:hAnsi="Arial"/>
          <w:sz w:val="23"/>
          <w:szCs w:val="23"/>
          <w:b w:val="1"/>
          <w:bCs w:val="1"/>
          <w:color w:val="004483"/>
        </w:rPr>
        <w:t>PART III</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Except for the information below regarding our code of ethics, the information called for by Items 10, 11, 12, 13, and 14 is incorporated herein by reference to the information included and referenced under the following captions in the Company’s Proxy Statement for the Company’s August 5, 2022 Annual Meeting of Stockholders (the 2022 EXP Proxy Statement):</w:t>
      </w:r>
    </w:p>
    <w:p>
      <w:pPr>
        <w:spacing w:after="0" w:line="158"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6"/>
          <w:szCs w:val="16"/>
          <w:b w:val="1"/>
          <w:bCs w:val="1"/>
          <w:color w:val="auto"/>
        </w:rPr>
        <w:t>Items</w:t>
      </w:r>
      <w:r>
        <w:rPr>
          <w:sz w:val="20"/>
          <w:szCs w:val="20"/>
          <w:color w:val="auto"/>
        </w:rPr>
        <w:tab/>
      </w:r>
      <w:r>
        <w:rPr>
          <w:rFonts w:ascii="Arial" w:cs="Arial" w:eastAsia="Arial" w:hAnsi="Arial"/>
          <w:sz w:val="16"/>
          <w:szCs w:val="16"/>
          <w:b w:val="1"/>
          <w:bCs w:val="1"/>
          <w:color w:val="auto"/>
        </w:rPr>
        <w:t>Caption in the 2022 EXP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0"/>
          <w:szCs w:val="20"/>
          <w:color w:val="auto"/>
        </w:rPr>
      </w:pPr>
    </w:p>
    <w:p>
      <w:pPr>
        <w:ind w:left="780" w:hanging="759"/>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004483"/>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780" w:hanging="759"/>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004483"/>
        </w:rPr>
        <w:t>Election of Directors and Related Matters Stock Ownership-Section 16(a) Beneficial Ownership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780" w:hanging="759"/>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004483"/>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780" w:hanging="759"/>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004483"/>
        </w:rPr>
        <w:t>Stock Ownership – Code of Conduct</w:t>
      </w:r>
    </w:p>
    <w:p>
      <w:pPr>
        <w:spacing w:after="0" w:line="32" w:lineRule="exact"/>
        <w:rPr>
          <w:rFonts w:ascii="Arial" w:cs="Arial" w:eastAsia="Arial" w:hAnsi="Arial"/>
          <w:sz w:val="16"/>
          <w:szCs w:val="16"/>
          <w:color w:val="auto"/>
        </w:rPr>
      </w:pPr>
    </w:p>
    <w:p>
      <w:pPr>
        <w:ind w:left="780" w:hanging="759"/>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00448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780" w:hanging="759"/>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00448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780" w:hanging="759"/>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004483"/>
        </w:rPr>
        <w:t>Potential Payments Upon Termination or Change in Control</w:t>
      </w:r>
    </w:p>
    <w:p>
      <w:pPr>
        <w:spacing w:after="0" w:line="32" w:lineRule="exact"/>
        <w:rPr>
          <w:rFonts w:ascii="Arial" w:cs="Arial" w:eastAsia="Arial" w:hAnsi="Arial"/>
          <w:sz w:val="16"/>
          <w:szCs w:val="16"/>
          <w:color w:val="auto"/>
        </w:rPr>
      </w:pPr>
    </w:p>
    <w:p>
      <w:pPr>
        <w:ind w:left="780" w:hanging="759"/>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004483"/>
        </w:rPr>
        <w:t>Stock Ownership</w:t>
      </w:r>
    </w:p>
    <w:p>
      <w:pPr>
        <w:spacing w:after="0" w:line="32" w:lineRule="exact"/>
        <w:rPr>
          <w:rFonts w:ascii="Arial" w:cs="Arial" w:eastAsia="Arial" w:hAnsi="Arial"/>
          <w:sz w:val="16"/>
          <w:szCs w:val="16"/>
          <w:color w:val="auto"/>
        </w:rPr>
      </w:pPr>
    </w:p>
    <w:p>
      <w:pPr>
        <w:ind w:left="780" w:hanging="759"/>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004483"/>
        </w:rPr>
        <w:t>Stock Ownership –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0"/>
          <w:szCs w:val="20"/>
          <w:color w:val="auto"/>
        </w:rPr>
      </w:pPr>
    </w:p>
    <w:p>
      <w:pPr>
        <w:ind w:left="780" w:hanging="759"/>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004483"/>
        </w:rPr>
        <w:t>Election of Directors and Related Matters</w:t>
      </w:r>
    </w:p>
    <w:p>
      <w:pPr>
        <w:spacing w:after="0" w:line="32" w:lineRule="exact"/>
        <w:rPr>
          <w:rFonts w:ascii="Arial" w:cs="Arial" w:eastAsia="Arial" w:hAnsi="Arial"/>
          <w:sz w:val="16"/>
          <w:szCs w:val="16"/>
          <w:color w:val="auto"/>
        </w:rPr>
      </w:pPr>
    </w:p>
    <w:p>
      <w:pPr>
        <w:ind w:left="780" w:hanging="759"/>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004483"/>
        </w:rPr>
        <w:t>Relationship with 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CODE OF ETHICS</w:t>
      </w:r>
    </w:p>
    <w:p>
      <w:pPr>
        <w:spacing w:after="0" w:line="148"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policies comprising the Company’s code of ethics (</w:t>
      </w:r>
      <w:r>
        <w:rPr>
          <w:rFonts w:ascii="Arial" w:cs="Arial" w:eastAsia="Arial" w:hAnsi="Arial"/>
          <w:sz w:val="18"/>
          <w:szCs w:val="18"/>
          <w:i w:val="1"/>
          <w:iCs w:val="1"/>
          <w:color w:val="auto"/>
        </w:rPr>
        <w:t>The Eagle Way – A Guide to Decision-Making on Business Conduct Issues</w:t>
      </w:r>
      <w:r>
        <w:rPr>
          <w:rFonts w:ascii="Arial" w:cs="Arial" w:eastAsia="Arial" w:hAnsi="Arial"/>
          <w:sz w:val="18"/>
          <w:szCs w:val="18"/>
          <w:color w:val="auto"/>
        </w:rPr>
        <w:t xml:space="preserve">) represents the code of ethics for the principal executive officer, principal financial officer, and principal accounting officer under SEC rules, as well as the code of business conduct and ethics for directors, officers, and employees under NYSE listing standards. The code of ethics is published on the corporate governance section of the Company’s website at </w:t>
      </w:r>
      <w:r>
        <w:rPr>
          <w:rFonts w:ascii="Arial" w:cs="Arial" w:eastAsia="Arial" w:hAnsi="Arial"/>
          <w:sz w:val="18"/>
          <w:szCs w:val="18"/>
          <w:u w:val="single" w:color="auto"/>
          <w:color w:val="auto"/>
        </w:rPr>
        <w:t>eaglematerials.com</w:t>
      </w:r>
      <w:r>
        <w:rPr>
          <w:rFonts w:ascii="Arial" w:cs="Arial" w:eastAsia="Arial" w:hAnsi="Arial"/>
          <w:sz w:val="18"/>
          <w:szCs w:val="18"/>
          <w:color w:val="auto"/>
        </w:rPr>
        <w:t>.</w:t>
      </w:r>
    </w:p>
    <w:p>
      <w:pPr>
        <w:spacing w:after="0" w:line="9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Although the Company does not anticipate that any waivers of the code of ethics will be granted, should a waiver occur for the principal executive officer, principal financial officer, principal accounting officer, or controller, it will be promptly disclosed on our website. Also, any amendments of the code will be promptly posted on our website.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00" w:lineRule="exact"/>
        <w:rPr>
          <w:sz w:val="20"/>
          <w:szCs w:val="20"/>
          <w:color w:val="auto"/>
        </w:rPr>
      </w:pPr>
    </w:p>
    <w:p>
      <w:pPr>
        <w:spacing w:after="0" w:line="286" w:lineRule="exact"/>
        <w:rPr>
          <w:sz w:val="20"/>
          <w:szCs w:val="20"/>
          <w:color w:val="auto"/>
        </w:rPr>
      </w:pPr>
    </w:p>
    <w:p>
      <w:pPr>
        <w:ind w:right="1340"/>
        <w:spacing w:after="0" w:line="261"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004483"/>
        </w:rPr>
        <w:t>EQUITY COMPENSATION PLAN</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The following table shows the number of outstanding options and shares available for future issuance of options under the Company’s equity compensation plans as of March 31, 2022. Our equity compensation plans have been approved by the Company’s stockholders.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22"/>
        </w:trPr>
        <w:tc>
          <w:tcPr>
            <w:tcW w:w="4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right"/>
              <w:ind w:right="54"/>
              <w:spacing w:after="0" w:line="122"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22"/>
        </w:trPr>
        <w:tc>
          <w:tcPr>
            <w:tcW w:w="4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80" w:type="dxa"/>
            <w:vAlign w:val="bottom"/>
            <w:vMerge w:val="restart"/>
          </w:tcPr>
          <w:p>
            <w:pPr>
              <w:jc w:val="right"/>
              <w:ind w:right="52"/>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right"/>
              <w:ind w:right="54"/>
              <w:spacing w:after="0" w:line="122" w:lineRule="exact"/>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21"/>
        </w:trPr>
        <w:tc>
          <w:tcPr>
            <w:tcW w:w="4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right"/>
              <w:ind w:right="54"/>
              <w:spacing w:after="0" w:line="122" w:lineRule="exact"/>
              <w:rPr>
                <w:sz w:val="20"/>
                <w:szCs w:val="20"/>
                <w:color w:val="auto"/>
              </w:rPr>
            </w:pPr>
            <w:r>
              <w:rPr>
                <w:rFonts w:ascii="Arial" w:cs="Arial" w:eastAsia="Arial" w:hAnsi="Arial"/>
                <w:sz w:val="13"/>
                <w:szCs w:val="13"/>
                <w:b w:val="1"/>
                <w:bCs w:val="1"/>
                <w:color w:val="auto"/>
              </w:rPr>
              <w:t>for future</w:t>
            </w:r>
          </w:p>
        </w:tc>
        <w:tc>
          <w:tcPr>
            <w:tcW w:w="0" w:type="dxa"/>
            <w:vAlign w:val="bottom"/>
          </w:tcPr>
          <w:p>
            <w:pPr>
              <w:spacing w:after="0"/>
              <w:rPr>
                <w:sz w:val="1"/>
                <w:szCs w:val="1"/>
                <w:color w:val="auto"/>
              </w:rPr>
            </w:pPr>
          </w:p>
        </w:tc>
      </w:tr>
      <w:tr>
        <w:trPr>
          <w:trHeight w:val="122"/>
        </w:trPr>
        <w:tc>
          <w:tcPr>
            <w:tcW w:w="4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80" w:type="dxa"/>
            <w:vAlign w:val="bottom"/>
          </w:tcPr>
          <w:p>
            <w:pPr>
              <w:jc w:val="right"/>
              <w:ind w:right="52"/>
              <w:spacing w:after="0" w:line="122" w:lineRule="exact"/>
              <w:rPr>
                <w:sz w:val="20"/>
                <w:szCs w:val="20"/>
                <w:color w:val="auto"/>
              </w:rPr>
            </w:pPr>
            <w:r>
              <w:rPr>
                <w:rFonts w:ascii="Arial" w:cs="Arial" w:eastAsia="Arial" w:hAnsi="Arial"/>
                <w:sz w:val="13"/>
                <w:szCs w:val="13"/>
                <w:b w:val="1"/>
                <w:bCs w:val="1"/>
                <w:color w:val="auto"/>
              </w:rPr>
              <w:t>securities to</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right"/>
              <w:ind w:right="54"/>
              <w:spacing w:after="0" w:line="122" w:lineRule="exact"/>
              <w:rPr>
                <w:sz w:val="20"/>
                <w:szCs w:val="20"/>
                <w:color w:val="auto"/>
              </w:rPr>
            </w:pPr>
            <w:r>
              <w:rPr>
                <w:rFonts w:ascii="Arial" w:cs="Arial" w:eastAsia="Arial" w:hAnsi="Arial"/>
                <w:sz w:val="13"/>
                <w:szCs w:val="13"/>
                <w:b w:val="1"/>
                <w:bCs w:val="1"/>
                <w:color w:val="auto"/>
              </w:rPr>
              <w:t>issuance</w:t>
            </w:r>
          </w:p>
        </w:tc>
        <w:tc>
          <w:tcPr>
            <w:tcW w:w="0" w:type="dxa"/>
            <w:vAlign w:val="bottom"/>
          </w:tcPr>
          <w:p>
            <w:pPr>
              <w:spacing w:after="0"/>
              <w:rPr>
                <w:sz w:val="1"/>
                <w:szCs w:val="1"/>
                <w:color w:val="auto"/>
              </w:rPr>
            </w:pPr>
          </w:p>
        </w:tc>
      </w:tr>
      <w:tr>
        <w:trPr>
          <w:trHeight w:val="122"/>
        </w:trPr>
        <w:tc>
          <w:tcPr>
            <w:tcW w:w="4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80" w:type="dxa"/>
            <w:vAlign w:val="bottom"/>
          </w:tcPr>
          <w:p>
            <w:pPr>
              <w:jc w:val="right"/>
              <w:ind w:right="52"/>
              <w:spacing w:after="0" w:line="122" w:lineRule="exact"/>
              <w:rPr>
                <w:sz w:val="20"/>
                <w:szCs w:val="20"/>
                <w:color w:val="auto"/>
              </w:rPr>
            </w:pPr>
            <w:r>
              <w:rPr>
                <w:rFonts w:ascii="Arial" w:cs="Arial" w:eastAsia="Arial" w:hAnsi="Arial"/>
                <w:sz w:val="13"/>
                <w:szCs w:val="13"/>
                <w:b w:val="1"/>
                <w:bCs w:val="1"/>
                <w:color w:val="auto"/>
              </w:rPr>
              <w:t>be issued upon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96"/>
              </w:rPr>
              <w:t>Weighted-average</w:t>
            </w:r>
          </w:p>
        </w:tc>
        <w:tc>
          <w:tcPr>
            <w:tcW w:w="140" w:type="dxa"/>
            <w:vAlign w:val="bottom"/>
          </w:tcPr>
          <w:p>
            <w:pPr>
              <w:spacing w:after="0"/>
              <w:rPr>
                <w:sz w:val="10"/>
                <w:szCs w:val="10"/>
                <w:color w:val="auto"/>
              </w:rPr>
            </w:pPr>
          </w:p>
        </w:tc>
        <w:tc>
          <w:tcPr>
            <w:tcW w:w="1240" w:type="dxa"/>
            <w:vAlign w:val="bottom"/>
          </w:tcPr>
          <w:p>
            <w:pPr>
              <w:jc w:val="right"/>
              <w:ind w:right="54"/>
              <w:spacing w:after="0" w:line="122" w:lineRule="exact"/>
              <w:rPr>
                <w:sz w:val="20"/>
                <w:szCs w:val="20"/>
                <w:color w:val="auto"/>
              </w:rPr>
            </w:pPr>
            <w:r>
              <w:rPr>
                <w:rFonts w:ascii="Arial" w:cs="Arial" w:eastAsia="Arial" w:hAnsi="Arial"/>
                <w:sz w:val="13"/>
                <w:szCs w:val="13"/>
                <w:b w:val="1"/>
                <w:bCs w:val="1"/>
                <w:color w:val="auto"/>
              </w:rPr>
              <w:t>under equity</w:t>
            </w:r>
          </w:p>
        </w:tc>
        <w:tc>
          <w:tcPr>
            <w:tcW w:w="0" w:type="dxa"/>
            <w:vAlign w:val="bottom"/>
          </w:tcPr>
          <w:p>
            <w:pPr>
              <w:spacing w:after="0"/>
              <w:rPr>
                <w:sz w:val="1"/>
                <w:szCs w:val="1"/>
                <w:color w:val="auto"/>
              </w:rPr>
            </w:pPr>
          </w:p>
        </w:tc>
      </w:tr>
      <w:tr>
        <w:trPr>
          <w:trHeight w:val="122"/>
        </w:trPr>
        <w:tc>
          <w:tcPr>
            <w:tcW w:w="4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80" w:type="dxa"/>
            <w:vAlign w:val="bottom"/>
          </w:tcPr>
          <w:p>
            <w:pPr>
              <w:jc w:val="right"/>
              <w:ind w:right="52"/>
              <w:spacing w:after="0" w:line="122" w:lineRule="exact"/>
              <w:rPr>
                <w:sz w:val="20"/>
                <w:szCs w:val="20"/>
                <w:color w:val="auto"/>
              </w:rPr>
            </w:pPr>
            <w:r>
              <w:rPr>
                <w:rFonts w:ascii="Arial" w:cs="Arial" w:eastAsia="Arial" w:hAnsi="Arial"/>
                <w:sz w:val="13"/>
                <w:szCs w:val="13"/>
                <w:b w:val="1"/>
                <w:bCs w:val="1"/>
                <w:color w:val="auto"/>
              </w:rPr>
              <w:t>exercise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right"/>
              <w:ind w:right="54"/>
              <w:spacing w:after="0" w:line="122" w:lineRule="exact"/>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22"/>
        </w:trPr>
        <w:tc>
          <w:tcPr>
            <w:tcW w:w="4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80" w:type="dxa"/>
            <w:vAlign w:val="bottom"/>
          </w:tcPr>
          <w:p>
            <w:pPr>
              <w:jc w:val="right"/>
              <w:ind w:right="52"/>
              <w:spacing w:after="0" w:line="122" w:lineRule="exact"/>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50"/>
              <w:spacing w:after="0" w:line="122" w:lineRule="exact"/>
              <w:rPr>
                <w:sz w:val="20"/>
                <w:szCs w:val="20"/>
                <w:color w:val="auto"/>
              </w:rPr>
            </w:pPr>
            <w:r>
              <w:rPr>
                <w:rFonts w:ascii="Arial" w:cs="Arial" w:eastAsia="Arial" w:hAnsi="Arial"/>
                <w:sz w:val="13"/>
                <w:szCs w:val="13"/>
                <w:b w:val="1"/>
                <w:bCs w:val="1"/>
                <w:color w:val="auto"/>
              </w:rPr>
              <w:t>exercise price of</w:t>
            </w:r>
          </w:p>
        </w:tc>
        <w:tc>
          <w:tcPr>
            <w:tcW w:w="140" w:type="dxa"/>
            <w:vAlign w:val="bottom"/>
          </w:tcPr>
          <w:p>
            <w:pPr>
              <w:spacing w:after="0"/>
              <w:rPr>
                <w:sz w:val="10"/>
                <w:szCs w:val="10"/>
                <w:color w:val="auto"/>
              </w:rPr>
            </w:pPr>
          </w:p>
        </w:tc>
        <w:tc>
          <w:tcPr>
            <w:tcW w:w="1240" w:type="dxa"/>
            <w:vAlign w:val="bottom"/>
          </w:tcPr>
          <w:p>
            <w:pPr>
              <w:jc w:val="right"/>
              <w:ind w:right="54"/>
              <w:spacing w:after="0" w:line="122" w:lineRule="exact"/>
              <w:rPr>
                <w:sz w:val="20"/>
                <w:szCs w:val="20"/>
                <w:color w:val="auto"/>
              </w:rPr>
            </w:pPr>
            <w:r>
              <w:rPr>
                <w:rFonts w:ascii="Arial" w:cs="Arial" w:eastAsia="Arial" w:hAnsi="Arial"/>
                <w:sz w:val="13"/>
                <w:szCs w:val="13"/>
                <w:b w:val="1"/>
                <w:bCs w:val="1"/>
                <w:color w:val="auto"/>
              </w:rPr>
              <w:t>plans excluding</w:t>
            </w:r>
          </w:p>
        </w:tc>
        <w:tc>
          <w:tcPr>
            <w:tcW w:w="0" w:type="dxa"/>
            <w:vAlign w:val="bottom"/>
          </w:tcPr>
          <w:p>
            <w:pPr>
              <w:spacing w:after="0"/>
              <w:rPr>
                <w:sz w:val="1"/>
                <w:szCs w:val="1"/>
                <w:color w:val="auto"/>
              </w:rPr>
            </w:pPr>
          </w:p>
        </w:tc>
      </w:tr>
      <w:tr>
        <w:trPr>
          <w:trHeight w:val="121"/>
        </w:trPr>
        <w:tc>
          <w:tcPr>
            <w:tcW w:w="4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80" w:type="dxa"/>
            <w:vAlign w:val="bottom"/>
          </w:tcPr>
          <w:p>
            <w:pPr>
              <w:jc w:val="right"/>
              <w:ind w:right="52"/>
              <w:spacing w:after="0" w:line="122" w:lineRule="exact"/>
              <w:rPr>
                <w:sz w:val="20"/>
                <w:szCs w:val="20"/>
                <w:color w:val="auto"/>
              </w:rPr>
            </w:pPr>
            <w:r>
              <w:rPr>
                <w:rFonts w:ascii="Arial" w:cs="Arial" w:eastAsia="Arial" w:hAnsi="Arial"/>
                <w:sz w:val="13"/>
                <w:szCs w:val="13"/>
                <w:b w:val="1"/>
                <w:bCs w:val="1"/>
                <w:color w:val="auto"/>
              </w:rPr>
              <w:t>options,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50"/>
              <w:spacing w:after="0" w:line="122" w:lineRule="exact"/>
              <w:rPr>
                <w:sz w:val="20"/>
                <w:szCs w:val="20"/>
                <w:color w:val="auto"/>
              </w:rPr>
            </w:pPr>
            <w:r>
              <w:rPr>
                <w:rFonts w:ascii="Arial" w:cs="Arial" w:eastAsia="Arial" w:hAnsi="Arial"/>
                <w:sz w:val="13"/>
                <w:szCs w:val="13"/>
                <w:b w:val="1"/>
                <w:bCs w:val="1"/>
                <w:color w:val="auto"/>
                <w:w w:val="83"/>
              </w:rPr>
              <w:t>outstanding options,</w:t>
            </w:r>
          </w:p>
        </w:tc>
        <w:tc>
          <w:tcPr>
            <w:tcW w:w="140" w:type="dxa"/>
            <w:vAlign w:val="bottom"/>
          </w:tcPr>
          <w:p>
            <w:pPr>
              <w:spacing w:after="0"/>
              <w:rPr>
                <w:sz w:val="10"/>
                <w:szCs w:val="10"/>
                <w:color w:val="auto"/>
              </w:rPr>
            </w:pPr>
          </w:p>
        </w:tc>
        <w:tc>
          <w:tcPr>
            <w:tcW w:w="1240" w:type="dxa"/>
            <w:vAlign w:val="bottom"/>
          </w:tcPr>
          <w:p>
            <w:pPr>
              <w:jc w:val="right"/>
              <w:ind w:right="54"/>
              <w:spacing w:after="0" w:line="122"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22"/>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16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rPr>
              <w:t>Incentive Plan</w:t>
            </w:r>
          </w:p>
        </w:tc>
        <w:tc>
          <w:tcPr>
            <w:tcW w:w="1280" w:type="dxa"/>
            <w:vAlign w:val="bottom"/>
          </w:tcPr>
          <w:p>
            <w:pPr>
              <w:jc w:val="right"/>
              <w:ind w:right="52"/>
              <w:spacing w:after="0" w:line="122" w:lineRule="exact"/>
              <w:rPr>
                <w:sz w:val="20"/>
                <w:szCs w:val="20"/>
                <w:color w:val="auto"/>
              </w:rPr>
            </w:pPr>
            <w:r>
              <w:rPr>
                <w:rFonts w:ascii="Arial" w:cs="Arial" w:eastAsia="Arial" w:hAnsi="Arial"/>
                <w:sz w:val="13"/>
                <w:szCs w:val="13"/>
                <w:b w:val="1"/>
                <w:bCs w:val="1"/>
                <w:color w:val="auto"/>
              </w:rPr>
              <w:t>warrants, and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50"/>
              <w:spacing w:after="0" w:line="122" w:lineRule="exact"/>
              <w:rPr>
                <w:sz w:val="20"/>
                <w:szCs w:val="20"/>
                <w:color w:val="auto"/>
              </w:rPr>
            </w:pPr>
            <w:r>
              <w:rPr>
                <w:rFonts w:ascii="Arial" w:cs="Arial" w:eastAsia="Arial" w:hAnsi="Arial"/>
                <w:sz w:val="13"/>
                <w:szCs w:val="13"/>
                <w:b w:val="1"/>
                <w:bCs w:val="1"/>
                <w:color w:val="auto"/>
              </w:rPr>
              <w:t>warrants, and</w:t>
            </w:r>
          </w:p>
        </w:tc>
        <w:tc>
          <w:tcPr>
            <w:tcW w:w="140" w:type="dxa"/>
            <w:vAlign w:val="bottom"/>
          </w:tcPr>
          <w:p>
            <w:pPr>
              <w:spacing w:after="0"/>
              <w:rPr>
                <w:sz w:val="10"/>
                <w:szCs w:val="10"/>
                <w:color w:val="auto"/>
              </w:rPr>
            </w:pPr>
          </w:p>
        </w:tc>
        <w:tc>
          <w:tcPr>
            <w:tcW w:w="1240" w:type="dxa"/>
            <w:vAlign w:val="bottom"/>
          </w:tcPr>
          <w:p>
            <w:pPr>
              <w:jc w:val="right"/>
              <w:ind w:right="54"/>
              <w:spacing w:after="0" w:line="122" w:lineRule="exact"/>
              <w:rPr>
                <w:sz w:val="20"/>
                <w:szCs w:val="20"/>
                <w:color w:val="auto"/>
              </w:rPr>
            </w:pPr>
            <w:r>
              <w:rPr>
                <w:rFonts w:ascii="Arial" w:cs="Arial" w:eastAsia="Arial" w:hAnsi="Arial"/>
                <w:sz w:val="13"/>
                <w:szCs w:val="13"/>
                <w:b w:val="1"/>
                <w:bCs w:val="1"/>
                <w:color w:val="auto"/>
              </w:rPr>
              <w:t>reflected in</w:t>
            </w:r>
          </w:p>
        </w:tc>
        <w:tc>
          <w:tcPr>
            <w:tcW w:w="0" w:type="dxa"/>
            <w:vAlign w:val="bottom"/>
          </w:tcPr>
          <w:p>
            <w:pPr>
              <w:spacing w:after="0"/>
              <w:rPr>
                <w:sz w:val="1"/>
                <w:szCs w:val="1"/>
                <w:color w:val="auto"/>
              </w:rPr>
            </w:pPr>
          </w:p>
        </w:tc>
      </w:tr>
      <w:tr>
        <w:trPr>
          <w:trHeight w:val="183"/>
        </w:trPr>
        <w:tc>
          <w:tcPr>
            <w:tcW w:w="4980" w:type="dxa"/>
            <w:vAlign w:val="bottom"/>
            <w:tcBorders>
              <w:bottom w:val="single" w:sz="8" w:color="004483"/>
            </w:tcBorders>
            <w:vMerge w:val="continue"/>
          </w:tcPr>
          <w:p>
            <w:pPr>
              <w:spacing w:after="0"/>
              <w:rPr>
                <w:sz w:val="15"/>
                <w:szCs w:val="15"/>
                <w:color w:val="auto"/>
              </w:rPr>
            </w:pPr>
          </w:p>
        </w:tc>
        <w:tc>
          <w:tcPr>
            <w:tcW w:w="2160" w:type="dxa"/>
            <w:vAlign w:val="bottom"/>
            <w:tcBorders>
              <w:bottom w:val="single" w:sz="8" w:color="004483"/>
            </w:tcBorders>
            <w:vMerge w:val="continue"/>
          </w:tcPr>
          <w:p>
            <w:pPr>
              <w:spacing w:after="0"/>
              <w:rPr>
                <w:sz w:val="15"/>
                <w:szCs w:val="15"/>
                <w:color w:val="auto"/>
              </w:rPr>
            </w:pPr>
          </w:p>
        </w:tc>
        <w:tc>
          <w:tcPr>
            <w:tcW w:w="1280" w:type="dxa"/>
            <w:vAlign w:val="bottom"/>
            <w:tcBorders>
              <w:bottom w:val="single" w:sz="8" w:color="004483"/>
            </w:tcBorders>
          </w:tcPr>
          <w:p>
            <w:pPr>
              <w:jc w:val="right"/>
              <w:ind w:right="52"/>
              <w:spacing w:after="0"/>
              <w:rPr>
                <w:sz w:val="20"/>
                <w:szCs w:val="20"/>
                <w:color w:val="auto"/>
              </w:rPr>
            </w:pPr>
            <w:r>
              <w:rPr>
                <w:rFonts w:ascii="Arial" w:cs="Arial" w:eastAsia="Arial" w:hAnsi="Arial"/>
                <w:sz w:val="13"/>
                <w:szCs w:val="13"/>
                <w:b w:val="1"/>
                <w:bCs w:val="1"/>
                <w:color w:val="auto"/>
              </w:rPr>
              <w:t>rights</w:t>
            </w:r>
          </w:p>
        </w:tc>
        <w:tc>
          <w:tcPr>
            <w:tcW w:w="140" w:type="dxa"/>
            <w:vAlign w:val="bottom"/>
            <w:tcBorders>
              <w:bottom w:val="single" w:sz="8" w:color="004483"/>
            </w:tcBorders>
          </w:tcPr>
          <w:p>
            <w:pPr>
              <w:spacing w:after="0"/>
              <w:rPr>
                <w:sz w:val="15"/>
                <w:szCs w:val="15"/>
                <w:color w:val="auto"/>
              </w:rPr>
            </w:pPr>
          </w:p>
        </w:tc>
        <w:tc>
          <w:tcPr>
            <w:tcW w:w="80" w:type="dxa"/>
            <w:vAlign w:val="bottom"/>
            <w:tcBorders>
              <w:bottom w:val="single" w:sz="8" w:color="004483"/>
            </w:tcBorders>
          </w:tcPr>
          <w:p>
            <w:pPr>
              <w:spacing w:after="0"/>
              <w:rPr>
                <w:sz w:val="15"/>
                <w:szCs w:val="15"/>
                <w:color w:val="auto"/>
              </w:rPr>
            </w:pPr>
          </w:p>
        </w:tc>
        <w:tc>
          <w:tcPr>
            <w:tcW w:w="1220" w:type="dxa"/>
            <w:vAlign w:val="bottom"/>
            <w:tcBorders>
              <w:bottom w:val="single" w:sz="8" w:color="004483"/>
            </w:tcBorders>
          </w:tcPr>
          <w:p>
            <w:pPr>
              <w:jc w:val="right"/>
              <w:ind w:right="50"/>
              <w:spacing w:after="0"/>
              <w:rPr>
                <w:sz w:val="20"/>
                <w:szCs w:val="20"/>
                <w:color w:val="auto"/>
              </w:rPr>
            </w:pPr>
            <w:r>
              <w:rPr>
                <w:rFonts w:ascii="Arial" w:cs="Arial" w:eastAsia="Arial" w:hAnsi="Arial"/>
                <w:sz w:val="13"/>
                <w:szCs w:val="13"/>
                <w:b w:val="1"/>
                <w:bCs w:val="1"/>
                <w:color w:val="auto"/>
              </w:rPr>
              <w:t>rights</w:t>
            </w:r>
          </w:p>
        </w:tc>
        <w:tc>
          <w:tcPr>
            <w:tcW w:w="140" w:type="dxa"/>
            <w:vAlign w:val="bottom"/>
            <w:tcBorders>
              <w:bottom w:val="single" w:sz="8" w:color="004483"/>
            </w:tcBorders>
          </w:tcPr>
          <w:p>
            <w:pPr>
              <w:spacing w:after="0"/>
              <w:rPr>
                <w:sz w:val="15"/>
                <w:szCs w:val="15"/>
                <w:color w:val="auto"/>
              </w:rPr>
            </w:pPr>
          </w:p>
        </w:tc>
        <w:tc>
          <w:tcPr>
            <w:tcW w:w="1240" w:type="dxa"/>
            <w:vAlign w:val="bottom"/>
            <w:tcBorders>
              <w:bottom w:val="single" w:sz="8" w:color="004483"/>
            </w:tcBorders>
          </w:tcPr>
          <w:p>
            <w:pPr>
              <w:jc w:val="right"/>
              <w:ind w:right="54"/>
              <w:spacing w:after="0"/>
              <w:rPr>
                <w:sz w:val="20"/>
                <w:szCs w:val="20"/>
                <w:color w:val="auto"/>
              </w:rPr>
            </w:pPr>
            <w:r>
              <w:rPr>
                <w:rFonts w:ascii="Arial" w:cs="Arial" w:eastAsia="Arial" w:hAnsi="Arial"/>
                <w:sz w:val="13"/>
                <w:szCs w:val="13"/>
                <w:b w:val="1"/>
                <w:bCs w:val="1"/>
                <w:color w:val="auto"/>
              </w:rPr>
              <w:t>column</w:t>
            </w:r>
          </w:p>
        </w:tc>
        <w:tc>
          <w:tcPr>
            <w:tcW w:w="0" w:type="dxa"/>
            <w:vAlign w:val="bottom"/>
          </w:tcPr>
          <w:p>
            <w:pPr>
              <w:spacing w:after="0"/>
              <w:rPr>
                <w:sz w:val="1"/>
                <w:szCs w:val="1"/>
                <w:color w:val="auto"/>
              </w:rPr>
            </w:pPr>
          </w:p>
        </w:tc>
      </w:tr>
      <w:tr>
        <w:trPr>
          <w:trHeight w:val="18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Equity compensation plans approved by stockholders</w:t>
            </w:r>
          </w:p>
        </w:tc>
        <w:tc>
          <w:tcPr>
            <w:tcW w:w="2160" w:type="dxa"/>
            <w:vAlign w:val="bottom"/>
            <w:tcBorders>
              <w:bottom w:val="single" w:sz="8" w:color="A6A6A6"/>
            </w:tcBorders>
          </w:tcPr>
          <w:p>
            <w:pPr>
              <w:jc w:val="right"/>
              <w:ind w:right="88"/>
              <w:spacing w:after="0"/>
              <w:rPr>
                <w:sz w:val="20"/>
                <w:szCs w:val="20"/>
                <w:color w:val="auto"/>
              </w:rPr>
            </w:pPr>
            <w:r>
              <w:rPr>
                <w:rFonts w:ascii="Arial" w:cs="Arial" w:eastAsia="Arial" w:hAnsi="Arial"/>
                <w:sz w:val="16"/>
                <w:szCs w:val="16"/>
                <w:color w:val="auto"/>
              </w:rPr>
              <w:t>2013</w:t>
            </w:r>
          </w:p>
        </w:tc>
        <w:tc>
          <w:tcPr>
            <w:tcW w:w="1280" w:type="dxa"/>
            <w:vAlign w:val="bottom"/>
            <w:tcBorders>
              <w:bottom w:val="single" w:sz="8" w:color="A6A6A6"/>
            </w:tcBorders>
          </w:tcPr>
          <w:p>
            <w:pPr>
              <w:jc w:val="right"/>
              <w:ind w:right="52"/>
              <w:spacing w:after="0"/>
              <w:rPr>
                <w:sz w:val="20"/>
                <w:szCs w:val="20"/>
                <w:color w:val="auto"/>
              </w:rPr>
            </w:pPr>
            <w:r>
              <w:rPr>
                <w:rFonts w:ascii="Arial" w:cs="Arial" w:eastAsia="Arial" w:hAnsi="Arial"/>
                <w:sz w:val="16"/>
                <w:szCs w:val="16"/>
                <w:color w:val="auto"/>
              </w:rPr>
              <w:t>456,849</w:t>
            </w:r>
          </w:p>
        </w:tc>
        <w:tc>
          <w:tcPr>
            <w:tcW w:w="2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6A6A6"/>
            </w:tcBorders>
          </w:tcPr>
          <w:p>
            <w:pPr>
              <w:jc w:val="right"/>
              <w:ind w:right="50"/>
              <w:spacing w:after="0"/>
              <w:rPr>
                <w:sz w:val="20"/>
                <w:szCs w:val="20"/>
                <w:color w:val="auto"/>
              </w:rPr>
            </w:pPr>
            <w:r>
              <w:rPr>
                <w:rFonts w:ascii="Arial" w:cs="Arial" w:eastAsia="Arial" w:hAnsi="Arial"/>
                <w:sz w:val="16"/>
                <w:szCs w:val="16"/>
                <w:color w:val="auto"/>
              </w:rPr>
              <w:t>83.81</w:t>
            </w:r>
          </w:p>
        </w:tc>
        <w:tc>
          <w:tcPr>
            <w:tcW w:w="1380" w:type="dxa"/>
            <w:vAlign w:val="bottom"/>
            <w:tcBorders>
              <w:bottom w:val="single" w:sz="8" w:color="A6A6A6"/>
            </w:tcBorders>
            <w:gridSpan w:val="2"/>
          </w:tcPr>
          <w:p>
            <w:pPr>
              <w:jc w:val="right"/>
              <w:ind w:right="54"/>
              <w:spacing w:after="0"/>
              <w:rPr>
                <w:sz w:val="20"/>
                <w:szCs w:val="20"/>
                <w:color w:val="auto"/>
              </w:rPr>
            </w:pPr>
            <w:r>
              <w:rPr>
                <w:rFonts w:ascii="Arial" w:cs="Arial" w:eastAsia="Arial" w:hAnsi="Arial"/>
                <w:sz w:val="16"/>
                <w:szCs w:val="16"/>
                <w:color w:val="auto"/>
              </w:rPr>
              <w:t>3,377,416</w:t>
            </w:r>
          </w:p>
        </w:tc>
        <w:tc>
          <w:tcPr>
            <w:tcW w:w="0" w:type="dxa"/>
            <w:vAlign w:val="bottom"/>
          </w:tcPr>
          <w:p>
            <w:pPr>
              <w:spacing w:after="0"/>
              <w:rPr>
                <w:sz w:val="1"/>
                <w:szCs w:val="1"/>
                <w:color w:val="auto"/>
              </w:rPr>
            </w:pPr>
          </w:p>
        </w:tc>
      </w:tr>
      <w:tr>
        <w:trPr>
          <w:trHeight w:val="183"/>
        </w:trPr>
        <w:tc>
          <w:tcPr>
            <w:tcW w:w="4980" w:type="dxa"/>
            <w:vAlign w:val="bottom"/>
          </w:tcPr>
          <w:p>
            <w:pPr>
              <w:ind w:left="20"/>
              <w:spacing w:after="0" w:line="183" w:lineRule="exact"/>
              <w:rPr>
                <w:sz w:val="20"/>
                <w:szCs w:val="20"/>
                <w:color w:val="auto"/>
              </w:rPr>
            </w:pPr>
            <w:r>
              <w:rPr>
                <w:rFonts w:ascii="Arial" w:cs="Arial" w:eastAsia="Arial" w:hAnsi="Arial"/>
                <w:sz w:val="16"/>
                <w:szCs w:val="16"/>
                <w:color w:val="004483"/>
              </w:rPr>
              <w:t>Equity compensation plans not approved by stockholders</w:t>
            </w:r>
          </w:p>
        </w:tc>
        <w:tc>
          <w:tcPr>
            <w:tcW w:w="2160" w:type="dxa"/>
            <w:vAlign w:val="bottom"/>
          </w:tcPr>
          <w:p>
            <w:pPr>
              <w:spacing w:after="0"/>
              <w:rPr>
                <w:sz w:val="15"/>
                <w:szCs w:val="15"/>
                <w:color w:val="auto"/>
              </w:rPr>
            </w:pPr>
          </w:p>
        </w:tc>
        <w:tc>
          <w:tcPr>
            <w:tcW w:w="1280" w:type="dxa"/>
            <w:vAlign w:val="bottom"/>
          </w:tcPr>
          <w:p>
            <w:pPr>
              <w:jc w:val="right"/>
              <w:ind w:right="52"/>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50"/>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54"/>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6A6A6"/>
            </w:tcBorders>
          </w:tcPr>
          <w:p>
            <w:pPr>
              <w:spacing w:after="0"/>
              <w:rPr>
                <w:sz w:val="2"/>
                <w:szCs w:val="2"/>
                <w:color w:val="auto"/>
              </w:rPr>
            </w:pPr>
          </w:p>
        </w:tc>
        <w:tc>
          <w:tcPr>
            <w:tcW w:w="2160" w:type="dxa"/>
            <w:vAlign w:val="bottom"/>
            <w:tcBorders>
              <w:bottom w:val="single" w:sz="8" w:color="A6A6A6"/>
            </w:tcBorders>
          </w:tcPr>
          <w:p>
            <w:pPr>
              <w:spacing w:after="0"/>
              <w:rPr>
                <w:sz w:val="2"/>
                <w:szCs w:val="2"/>
                <w:color w:val="auto"/>
              </w:rPr>
            </w:pPr>
          </w:p>
        </w:tc>
        <w:tc>
          <w:tcPr>
            <w:tcW w:w="128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80" w:type="dxa"/>
            <w:vAlign w:val="bottom"/>
            <w:tcBorders>
              <w:bottom w:val="single" w:sz="8" w:color="004483"/>
            </w:tcBorders>
            <w:shd w:val="clear" w:color="auto" w:fill="004483"/>
          </w:tcPr>
          <w:p>
            <w:pPr>
              <w:spacing w:after="0"/>
              <w:rPr>
                <w:sz w:val="2"/>
                <w:szCs w:val="2"/>
                <w:color w:val="auto"/>
              </w:rPr>
            </w:pPr>
          </w:p>
        </w:tc>
        <w:tc>
          <w:tcPr>
            <w:tcW w:w="1220" w:type="dxa"/>
            <w:vAlign w:val="bottom"/>
            <w:tcBorders>
              <w:bottom w:val="single" w:sz="8" w:color="004483"/>
            </w:tcBorders>
            <w:shd w:val="clear" w:color="auto" w:fill="004483"/>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40" w:type="dxa"/>
            <w:vAlign w:val="bottom"/>
            <w:tcBorders>
              <w:bottom w:val="single" w:sz="8" w:color="004483"/>
            </w:tcBorders>
            <w:shd w:val="clear" w:color="auto" w:fill="00448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80" w:type="dxa"/>
            <w:vAlign w:val="bottom"/>
            <w:tcBorders>
              <w:bottom w:val="single" w:sz="8" w:color="004483"/>
            </w:tcBorders>
          </w:tcPr>
          <w:p>
            <w:pPr>
              <w:jc w:val="right"/>
              <w:ind w:right="52"/>
              <w:spacing w:after="0" w:line="183" w:lineRule="exact"/>
              <w:rPr>
                <w:sz w:val="20"/>
                <w:szCs w:val="20"/>
                <w:color w:val="auto"/>
              </w:rPr>
            </w:pPr>
            <w:r>
              <w:rPr>
                <w:rFonts w:ascii="Arial" w:cs="Arial" w:eastAsia="Arial" w:hAnsi="Arial"/>
                <w:sz w:val="16"/>
                <w:szCs w:val="16"/>
                <w:b w:val="1"/>
                <w:bCs w:val="1"/>
                <w:color w:val="auto"/>
              </w:rPr>
              <w:t>456,849</w:t>
            </w:r>
          </w:p>
        </w:tc>
        <w:tc>
          <w:tcPr>
            <w:tcW w:w="140" w:type="dxa"/>
            <w:vAlign w:val="bottom"/>
          </w:tcPr>
          <w:p>
            <w:pPr>
              <w:spacing w:after="0"/>
              <w:rPr>
                <w:sz w:val="15"/>
                <w:szCs w:val="15"/>
                <w:color w:val="auto"/>
              </w:rPr>
            </w:pPr>
          </w:p>
        </w:tc>
        <w:tc>
          <w:tcPr>
            <w:tcW w:w="80" w:type="dxa"/>
            <w:vAlign w:val="bottom"/>
            <w:tcBorders>
              <w:bottom w:val="single" w:sz="8" w:color="004483"/>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004483"/>
            </w:tcBorders>
          </w:tcPr>
          <w:p>
            <w:pPr>
              <w:jc w:val="right"/>
              <w:ind w:right="50"/>
              <w:spacing w:after="0" w:line="183" w:lineRule="exact"/>
              <w:rPr>
                <w:sz w:val="20"/>
                <w:szCs w:val="20"/>
                <w:color w:val="auto"/>
              </w:rPr>
            </w:pPr>
            <w:r>
              <w:rPr>
                <w:rFonts w:ascii="Arial" w:cs="Arial" w:eastAsia="Arial" w:hAnsi="Arial"/>
                <w:sz w:val="16"/>
                <w:szCs w:val="16"/>
                <w:b w:val="1"/>
                <w:bCs w:val="1"/>
                <w:color w:val="auto"/>
              </w:rPr>
              <w:t>83.81</w:t>
            </w:r>
          </w:p>
        </w:tc>
        <w:tc>
          <w:tcPr>
            <w:tcW w:w="140" w:type="dxa"/>
            <w:vAlign w:val="bottom"/>
          </w:tcPr>
          <w:p>
            <w:pPr>
              <w:spacing w:after="0"/>
              <w:rPr>
                <w:sz w:val="15"/>
                <w:szCs w:val="15"/>
                <w:color w:val="auto"/>
              </w:rPr>
            </w:pPr>
          </w:p>
        </w:tc>
        <w:tc>
          <w:tcPr>
            <w:tcW w:w="1240" w:type="dxa"/>
            <w:vAlign w:val="bottom"/>
            <w:tcBorders>
              <w:bottom w:val="single" w:sz="8" w:color="004483"/>
            </w:tcBorders>
          </w:tcPr>
          <w:p>
            <w:pPr>
              <w:jc w:val="right"/>
              <w:ind w:right="54"/>
              <w:spacing w:after="0" w:line="183" w:lineRule="exact"/>
              <w:rPr>
                <w:sz w:val="20"/>
                <w:szCs w:val="20"/>
                <w:color w:val="auto"/>
              </w:rPr>
            </w:pPr>
            <w:r>
              <w:rPr>
                <w:rFonts w:ascii="Arial" w:cs="Arial" w:eastAsia="Arial" w:hAnsi="Arial"/>
                <w:sz w:val="16"/>
                <w:szCs w:val="16"/>
                <w:b w:val="1"/>
                <w:bCs w:val="1"/>
                <w:color w:val="auto"/>
              </w:rPr>
              <w:t>3,377,416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2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Item 10.</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18" w:name="page119"/>
    <w:bookmarkEnd w:id="118"/>
    <w:p>
      <w:pPr>
        <w:spacing w:after="0"/>
        <w:rPr>
          <w:sz w:val="20"/>
          <w:szCs w:val="20"/>
          <w:color w:val="auto"/>
        </w:rPr>
      </w:pPr>
      <w:r>
        <w:rPr>
          <w:rFonts w:ascii="Arial" w:cs="Arial" w:eastAsia="Arial" w:hAnsi="Arial"/>
          <w:sz w:val="23"/>
          <w:szCs w:val="23"/>
          <w:b w:val="1"/>
          <w:bCs w:val="1"/>
          <w:color w:val="004483"/>
        </w:rPr>
        <w:t>PART IV</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22" w:lineRule="exact"/>
        <w:rPr>
          <w:rFonts w:ascii="Arial" w:cs="Arial" w:eastAsia="Arial" w:hAnsi="Arial"/>
          <w:sz w:val="18"/>
          <w:szCs w:val="18"/>
          <w:color w:val="auto"/>
        </w:rPr>
      </w:pPr>
    </w:p>
    <w:p>
      <w:pPr>
        <w:ind w:left="480" w:hanging="248"/>
        <w:spacing w:after="0"/>
        <w:tabs>
          <w:tab w:leader="none" w:pos="48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58"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Reference is made to the Index to Financial Statements under Item 8 in Part II hereof, where these documents are listed.</w:t>
      </w:r>
    </w:p>
    <w:p>
      <w:pPr>
        <w:spacing w:after="0" w:line="122" w:lineRule="exact"/>
        <w:rPr>
          <w:rFonts w:ascii="Arial" w:cs="Arial" w:eastAsia="Arial" w:hAnsi="Arial"/>
          <w:sz w:val="18"/>
          <w:szCs w:val="18"/>
          <w:color w:val="auto"/>
        </w:rPr>
      </w:pPr>
    </w:p>
    <w:p>
      <w:pPr>
        <w:ind w:left="480" w:hanging="248"/>
        <w:spacing w:after="0"/>
        <w:tabs>
          <w:tab w:leader="none" w:pos="48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Schedules</w:t>
      </w:r>
    </w:p>
    <w:p>
      <w:pPr>
        <w:spacing w:after="0" w:line="58" w:lineRule="exact"/>
        <w:rPr>
          <w:rFonts w:ascii="Arial" w:cs="Arial" w:eastAsia="Arial" w:hAnsi="Arial"/>
          <w:sz w:val="18"/>
          <w:szCs w:val="18"/>
          <w:color w:val="auto"/>
        </w:rPr>
      </w:pPr>
    </w:p>
    <w:p>
      <w:pPr>
        <w:ind w:left="480"/>
        <w:spacing w:after="0" w:line="293" w:lineRule="auto"/>
        <w:rPr>
          <w:rFonts w:ascii="Arial" w:cs="Arial" w:eastAsia="Arial" w:hAnsi="Arial"/>
          <w:sz w:val="18"/>
          <w:szCs w:val="18"/>
          <w:color w:val="auto"/>
        </w:rPr>
      </w:pPr>
      <w:r>
        <w:rPr>
          <w:rFonts w:ascii="Arial" w:cs="Arial" w:eastAsia="Arial" w:hAnsi="Arial"/>
          <w:sz w:val="18"/>
          <w:szCs w:val="18"/>
          <w:color w:val="auto"/>
        </w:rPr>
        <w:t>Schedules are omitted because they are not applicable or not required, or the information required to be set forth therein is included in the consolidated financial statements referenced above in section (a) (1) of this Item 15.</w:t>
      </w:r>
    </w:p>
    <w:p>
      <w:pPr>
        <w:spacing w:after="0" w:line="66" w:lineRule="exact"/>
        <w:rPr>
          <w:rFonts w:ascii="Arial" w:cs="Arial" w:eastAsia="Arial" w:hAnsi="Arial"/>
          <w:sz w:val="18"/>
          <w:szCs w:val="18"/>
          <w:color w:val="auto"/>
        </w:rPr>
      </w:pPr>
    </w:p>
    <w:p>
      <w:pPr>
        <w:ind w:left="480" w:hanging="248"/>
        <w:spacing w:after="0"/>
        <w:tabs>
          <w:tab w:leader="none" w:pos="48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58" w:lineRule="exact"/>
        <w:rPr>
          <w:rFonts w:ascii="Arial" w:cs="Arial" w:eastAsia="Arial" w:hAnsi="Arial"/>
          <w:sz w:val="18"/>
          <w:szCs w:val="18"/>
          <w:color w:val="auto"/>
        </w:rPr>
      </w:pPr>
    </w:p>
    <w:p>
      <w:pPr>
        <w:ind w:left="480" w:right="140"/>
        <w:spacing w:after="0" w:line="293" w:lineRule="auto"/>
        <w:rPr>
          <w:rFonts w:ascii="Arial" w:cs="Arial" w:eastAsia="Arial" w:hAnsi="Arial"/>
          <w:sz w:val="18"/>
          <w:szCs w:val="18"/>
          <w:color w:val="auto"/>
        </w:rPr>
      </w:pPr>
      <w:r>
        <w:rPr>
          <w:rFonts w:ascii="Arial" w:cs="Arial" w:eastAsia="Arial" w:hAnsi="Arial"/>
          <w:sz w:val="18"/>
          <w:szCs w:val="18"/>
          <w:color w:val="auto"/>
        </w:rPr>
        <w:t>The information on exhibits required by this Item 15 is set forth in the Eagle Materials Inc. Index to Exhibits appearing on pages 118-123 of this Report.</w:t>
      </w: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5" w:right="45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INDEX TO EXHIBITS</w:t>
      </w:r>
    </w:p>
    <w:p>
      <w:pPr>
        <w:spacing w:after="0" w:line="235" w:lineRule="auto"/>
        <w:rPr>
          <w:sz w:val="20"/>
          <w:szCs w:val="20"/>
          <w:color w:val="auto"/>
        </w:rPr>
      </w:pPr>
      <w:r>
        <w:rPr>
          <w:rFonts w:ascii="Arial" w:cs="Arial" w:eastAsia="Arial" w:hAnsi="Arial"/>
          <w:sz w:val="20"/>
          <w:szCs w:val="20"/>
          <w:b w:val="1"/>
          <w:bCs w:val="1"/>
          <w:color w:val="auto"/>
        </w:rPr>
        <w:t>EAGLE MATERIALS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SUBSIDIARIES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4"/>
                <w:szCs w:val="14"/>
                <w:color w:val="auto"/>
              </w:rPr>
            </w:pPr>
          </w:p>
        </w:tc>
        <w:tc>
          <w:tcPr>
            <w:tcW w:w="10000" w:type="dxa"/>
            <w:vAlign w:val="bottom"/>
            <w:gridSpan w:val="25"/>
          </w:tcPr>
          <w:p>
            <w:pPr>
              <w:spacing w:after="0"/>
              <w:rPr>
                <w:sz w:val="20"/>
                <w:szCs w:val="20"/>
                <w:color w:val="auto"/>
              </w:rPr>
            </w:pPr>
            <w:r>
              <w:rPr>
                <w:rFonts w:ascii="Arial" w:cs="Arial" w:eastAsia="Arial" w:hAnsi="Arial"/>
                <w:sz w:val="14"/>
                <w:szCs w:val="14"/>
                <w:color w:val="auto"/>
              </w:rPr>
              <w:t>DESCRIPTION OF EXHIBITS</w:t>
            </w:r>
          </w:p>
        </w:tc>
      </w:tr>
      <w:tr>
        <w:trPr>
          <w:trHeight w:val="20"/>
        </w:trPr>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77"/>
        </w:trPr>
        <w:tc>
          <w:tcPr>
            <w:tcW w:w="980" w:type="dxa"/>
            <w:vAlign w:val="bottom"/>
          </w:tcPr>
          <w:p>
            <w:pPr>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19">
              <w:r>
                <w:rPr>
                  <w:rFonts w:ascii="Arial" w:cs="Arial" w:eastAsia="Arial" w:hAnsi="Arial"/>
                  <w:sz w:val="16"/>
                  <w:szCs w:val="16"/>
                  <w:color w:val="auto"/>
                </w:rPr>
                <w:t>Amended and Restated Agreement and Plan of Merger, dated as of November 4, 2003, among Centex Corporation, Centex Construction</w:t>
              </w:r>
            </w:hyperlink>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60" w:type="dxa"/>
            <w:vAlign w:val="bottom"/>
            <w:tcBorders>
              <w:top w:val="single" w:sz="8" w:color="0000EE"/>
              <w:bottom w:val="single" w:sz="8" w:color="0000EE"/>
            </w:tcBorders>
            <w:gridSpan w:val="21"/>
          </w:tcPr>
          <w:p>
            <w:pPr>
              <w:spacing w:after="0" w:line="142" w:lineRule="exact"/>
              <w:rPr>
                <w:rFonts w:ascii="Arial" w:cs="Arial" w:eastAsia="Arial" w:hAnsi="Arial"/>
                <w:sz w:val="16"/>
                <w:szCs w:val="16"/>
                <w:color w:val="auto"/>
              </w:rPr>
            </w:pPr>
            <w:hyperlink r:id="rId219">
              <w:r>
                <w:rPr>
                  <w:rFonts w:ascii="Arial" w:cs="Arial" w:eastAsia="Arial" w:hAnsi="Arial"/>
                  <w:sz w:val="16"/>
                  <w:szCs w:val="16"/>
                  <w:color w:val="auto"/>
                </w:rPr>
                <w:t>Products, Inc. (now known as Eagle Materials Inc.), and ARG Merger Corporation filed as Exhibit 2.1 to the Company’s Current Report on</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00" w:type="dxa"/>
            <w:vAlign w:val="bottom"/>
            <w:gridSpan w:val="23"/>
          </w:tcPr>
          <w:p>
            <w:pPr>
              <w:spacing w:after="0" w:line="142" w:lineRule="exact"/>
              <w:rPr>
                <w:rFonts w:ascii="Arial" w:cs="Arial" w:eastAsia="Arial" w:hAnsi="Arial"/>
                <w:sz w:val="16"/>
                <w:szCs w:val="16"/>
                <w:color w:val="auto"/>
              </w:rPr>
            </w:pPr>
            <w:hyperlink r:id="rId219">
              <w:r>
                <w:rPr>
                  <w:rFonts w:ascii="Arial" w:cs="Arial" w:eastAsia="Arial" w:hAnsi="Arial"/>
                  <w:sz w:val="16"/>
                  <w:szCs w:val="16"/>
                  <w:color w:val="auto"/>
                </w:rPr>
                <w:t>Form 8-K/A filed with the Securities and Exchange Commission (the Commission) on November 12, 2003 (File No. 001-12984) and</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tcBorders>
              <w:top w:val="single" w:sz="8" w:color="0000EE"/>
              <w:bottom w:val="single" w:sz="8" w:color="0000EE"/>
            </w:tcBorders>
            <w:gridSpan w:val="3"/>
          </w:tcPr>
          <w:p>
            <w:pPr>
              <w:spacing w:after="0" w:line="142" w:lineRule="exact"/>
              <w:rPr>
                <w:rFonts w:ascii="Arial" w:cs="Arial" w:eastAsia="Arial" w:hAnsi="Arial"/>
                <w:sz w:val="16"/>
                <w:szCs w:val="16"/>
                <w:color w:val="auto"/>
              </w:rPr>
            </w:pPr>
            <w:hyperlink r:id="rId219">
              <w:r>
                <w:rPr>
                  <w:rFonts w:ascii="Arial" w:cs="Arial" w:eastAsia="Arial" w:hAnsi="Arial"/>
                  <w:sz w:val="16"/>
                  <w:szCs w:val="16"/>
                  <w:color w:val="auto"/>
                </w:rPr>
                <w:t>incorporated herein by reference.</w:t>
              </w:r>
            </w:hyperlink>
          </w:p>
        </w:tc>
        <w:tc>
          <w:tcPr>
            <w:tcW w:w="7060" w:type="dxa"/>
            <w:vAlign w:val="bottom"/>
            <w:tcBorders>
              <w:top w:val="single" w:sz="8" w:color="0000EE"/>
            </w:tcBorders>
            <w:gridSpan w:val="10"/>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344"/>
        </w:trPr>
        <w:tc>
          <w:tcPr>
            <w:tcW w:w="980" w:type="dxa"/>
            <w:vAlign w:val="bottom"/>
          </w:tcPr>
          <w:p>
            <w:pPr>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0">
              <w:r>
                <w:rPr>
                  <w:rFonts w:ascii="Arial" w:cs="Arial" w:eastAsia="Arial" w:hAnsi="Arial"/>
                  <w:sz w:val="16"/>
                  <w:szCs w:val="16"/>
                  <w:color w:val="auto"/>
                </w:rPr>
                <w:t>Amended and Restated Distribution Agreement dated as of November 4, 2003 between Centex Corporation and Centex Construction</w:t>
              </w:r>
            </w:hyperlink>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20" w:type="dxa"/>
            <w:vAlign w:val="bottom"/>
            <w:tcBorders>
              <w:top w:val="single" w:sz="8" w:color="0000EE"/>
            </w:tcBorders>
            <w:gridSpan w:val="17"/>
          </w:tcPr>
          <w:p>
            <w:pPr>
              <w:spacing w:after="0" w:line="142" w:lineRule="exact"/>
              <w:rPr>
                <w:rFonts w:ascii="Arial" w:cs="Arial" w:eastAsia="Arial" w:hAnsi="Arial"/>
                <w:sz w:val="16"/>
                <w:szCs w:val="16"/>
                <w:color w:val="auto"/>
              </w:rPr>
            </w:pPr>
            <w:hyperlink r:id="rId220">
              <w:r>
                <w:rPr>
                  <w:rFonts w:ascii="Arial" w:cs="Arial" w:eastAsia="Arial" w:hAnsi="Arial"/>
                  <w:sz w:val="16"/>
                  <w:szCs w:val="16"/>
                  <w:color w:val="auto"/>
                </w:rPr>
                <w:t>Products, Inc. (now known as Eagle Materials Inc.) filed as Exhibit 2.2 to the Company’s Current Report on Form 8-K/A filed with the</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60" w:type="dxa"/>
            <w:vAlign w:val="bottom"/>
            <w:tcBorders>
              <w:top w:val="single" w:sz="8" w:color="0000EE"/>
              <w:bottom w:val="single" w:sz="8" w:color="0000EE"/>
            </w:tcBorders>
            <w:gridSpan w:val="9"/>
          </w:tcPr>
          <w:p>
            <w:pPr>
              <w:spacing w:after="0" w:line="142" w:lineRule="exact"/>
              <w:rPr>
                <w:rFonts w:ascii="Arial" w:cs="Arial" w:eastAsia="Arial" w:hAnsi="Arial"/>
                <w:sz w:val="16"/>
                <w:szCs w:val="16"/>
                <w:color w:val="auto"/>
              </w:rPr>
            </w:pPr>
            <w:hyperlink r:id="rId220">
              <w:r>
                <w:rPr>
                  <w:rFonts w:ascii="Arial" w:cs="Arial" w:eastAsia="Arial" w:hAnsi="Arial"/>
                  <w:sz w:val="16"/>
                  <w:szCs w:val="16"/>
                  <w:color w:val="auto"/>
                </w:rPr>
                <w:t>Commission on November 12, 2003 (File No. 001-12984) and incorporated herein by reference.</w:t>
              </w:r>
            </w:hyperlink>
          </w:p>
        </w:tc>
        <w:tc>
          <w:tcPr>
            <w:tcW w:w="2640" w:type="dxa"/>
            <w:vAlign w:val="bottom"/>
            <w:tcBorders>
              <w:top w:val="single" w:sz="8" w:color="0000EE"/>
            </w:tcBorders>
            <w:gridSpan w:val="5"/>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345"/>
        </w:trPr>
        <w:tc>
          <w:tcPr>
            <w:tcW w:w="980" w:type="dxa"/>
            <w:vAlign w:val="bottom"/>
          </w:tcPr>
          <w:p>
            <w:pPr>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1">
              <w:r>
                <w:rPr>
                  <w:rFonts w:ascii="Arial" w:cs="Arial" w:eastAsia="Arial" w:hAnsi="Arial"/>
                  <w:sz w:val="16"/>
                  <w:szCs w:val="16"/>
                  <w:color w:val="auto"/>
                </w:rPr>
                <w:t>Restated Certificate of Incorporation filed as Exhibit 3.1 to the Company’s Current Report on Form 8-K filed with the Commission on April</w:t>
              </w:r>
            </w:hyperlink>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00" w:type="dxa"/>
            <w:vAlign w:val="bottom"/>
            <w:tcBorders>
              <w:top w:val="single" w:sz="8" w:color="0000EE"/>
              <w:bottom w:val="single" w:sz="8" w:color="0000EE"/>
            </w:tcBorders>
            <w:gridSpan w:val="5"/>
          </w:tcPr>
          <w:p>
            <w:pPr>
              <w:spacing w:after="0" w:line="142" w:lineRule="exact"/>
              <w:rPr>
                <w:rFonts w:ascii="Arial" w:cs="Arial" w:eastAsia="Arial" w:hAnsi="Arial"/>
                <w:sz w:val="16"/>
                <w:szCs w:val="16"/>
                <w:color w:val="auto"/>
              </w:rPr>
            </w:pPr>
            <w:hyperlink r:id="rId221">
              <w:r>
                <w:rPr>
                  <w:rFonts w:ascii="Arial" w:cs="Arial" w:eastAsia="Arial" w:hAnsi="Arial"/>
                  <w:sz w:val="16"/>
                  <w:szCs w:val="16"/>
                  <w:color w:val="auto"/>
                </w:rPr>
                <w:t>11, 2006 (File No. 001-12984) and incorporated herein by reference.</w:t>
              </w:r>
            </w:hyperlink>
          </w:p>
        </w:tc>
        <w:tc>
          <w:tcPr>
            <w:tcW w:w="4920" w:type="dxa"/>
            <w:vAlign w:val="bottom"/>
            <w:tcBorders>
              <w:top w:val="single" w:sz="8" w:color="0000EE"/>
            </w:tcBorders>
            <w:gridSpan w:val="15"/>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344"/>
        </w:trPr>
        <w:tc>
          <w:tcPr>
            <w:tcW w:w="980" w:type="dxa"/>
            <w:vAlign w:val="bottom"/>
          </w:tcPr>
          <w:p>
            <w:pPr>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2">
              <w:r>
                <w:rPr>
                  <w:rFonts w:ascii="Arial" w:cs="Arial" w:eastAsia="Arial" w:hAnsi="Arial"/>
                  <w:sz w:val="16"/>
                  <w:szCs w:val="16"/>
                  <w:color w:val="auto"/>
                </w:rPr>
                <w:t>Restated Certificate of Designation, Preferences and Rights of Series A Preferred Stock filed as Exhibit 3.2 to the Company’s Current</w:t>
              </w:r>
            </w:hyperlink>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580" w:type="dxa"/>
            <w:vAlign w:val="bottom"/>
            <w:tcBorders>
              <w:top w:val="single" w:sz="8" w:color="0000EE"/>
            </w:tcBorders>
            <w:gridSpan w:val="15"/>
          </w:tcPr>
          <w:p>
            <w:pPr>
              <w:spacing w:after="0" w:line="142" w:lineRule="exact"/>
              <w:rPr>
                <w:rFonts w:ascii="Arial" w:cs="Arial" w:eastAsia="Arial" w:hAnsi="Arial"/>
                <w:sz w:val="16"/>
                <w:szCs w:val="16"/>
                <w:color w:val="auto"/>
              </w:rPr>
            </w:pPr>
            <w:hyperlink r:id="rId222">
              <w:r>
                <w:rPr>
                  <w:rFonts w:ascii="Arial" w:cs="Arial" w:eastAsia="Arial" w:hAnsi="Arial"/>
                  <w:sz w:val="16"/>
                  <w:szCs w:val="16"/>
                  <w:color w:val="auto"/>
                </w:rPr>
                <w:t>Report on Form 8-K filed with the Commission on April 11, 2006 (File No. 001-12984) and incorporated herein by reference.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980" w:type="dxa"/>
            <w:vAlign w:val="bottom"/>
          </w:tcPr>
          <w:p>
            <w:pPr>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3">
              <w:r>
                <w:rPr>
                  <w:rFonts w:ascii="Arial" w:cs="Arial" w:eastAsia="Arial" w:hAnsi="Arial"/>
                  <w:sz w:val="16"/>
                  <w:szCs w:val="16"/>
                  <w:color w:val="auto"/>
                </w:rPr>
                <w:t>Amended and Restated Bylaws filed as Exhibit 3.3 to the Company’s Annual Report on Form 10-K for the fiscal year ended March 31,</w:t>
              </w:r>
            </w:hyperlink>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40" w:type="dxa"/>
            <w:vAlign w:val="bottom"/>
            <w:tcBorders>
              <w:top w:val="single" w:sz="8" w:color="0000EE"/>
            </w:tcBorders>
            <w:gridSpan w:val="18"/>
          </w:tcPr>
          <w:p>
            <w:pPr>
              <w:spacing w:after="0" w:line="142" w:lineRule="exact"/>
              <w:rPr>
                <w:rFonts w:ascii="Arial" w:cs="Arial" w:eastAsia="Arial" w:hAnsi="Arial"/>
                <w:sz w:val="16"/>
                <w:szCs w:val="16"/>
                <w:color w:val="auto"/>
              </w:rPr>
            </w:pPr>
            <w:hyperlink r:id="rId223">
              <w:r>
                <w:rPr>
                  <w:rFonts w:ascii="Arial" w:cs="Arial" w:eastAsia="Arial" w:hAnsi="Arial"/>
                  <w:sz w:val="16"/>
                  <w:szCs w:val="16"/>
                  <w:color w:val="auto"/>
                </w:rPr>
                <w:t>2007, filed with the Commission on May 29, 2007 (File No. 001-12984) and incorporated herein by reference.</w:t>
              </w:r>
            </w:hyperlink>
          </w:p>
        </w:tc>
        <w:tc>
          <w:tcPr>
            <w:tcW w:w="14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980" w:type="dxa"/>
            <w:vAlign w:val="bottom"/>
          </w:tcPr>
          <w:p>
            <w:pPr>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4">
              <w:r>
                <w:rPr>
                  <w:rFonts w:ascii="Arial" w:cs="Arial" w:eastAsia="Arial" w:hAnsi="Arial"/>
                  <w:sz w:val="16"/>
                  <w:szCs w:val="16"/>
                  <w:color w:val="auto"/>
                </w:rPr>
                <w:t>Amendment to Amended and Restated Bylaws filed as Exhibit 3.1 to the Company’s Current Report on Form 8-K filed with the Commission</w:t>
              </w:r>
            </w:hyperlink>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20" w:type="dxa"/>
            <w:vAlign w:val="bottom"/>
            <w:tcBorders>
              <w:top w:val="single" w:sz="8" w:color="0000EE"/>
              <w:bottom w:val="single" w:sz="8" w:color="0000EE"/>
            </w:tcBorders>
            <w:gridSpan w:val="8"/>
          </w:tcPr>
          <w:p>
            <w:pPr>
              <w:spacing w:after="0" w:line="142" w:lineRule="exact"/>
              <w:rPr>
                <w:rFonts w:ascii="Arial" w:cs="Arial" w:eastAsia="Arial" w:hAnsi="Arial"/>
                <w:sz w:val="16"/>
                <w:szCs w:val="16"/>
                <w:color w:val="auto"/>
              </w:rPr>
            </w:pPr>
            <w:hyperlink r:id="rId224">
              <w:r>
                <w:rPr>
                  <w:rFonts w:ascii="Arial" w:cs="Arial" w:eastAsia="Arial" w:hAnsi="Arial"/>
                  <w:sz w:val="16"/>
                  <w:szCs w:val="16"/>
                  <w:color w:val="auto"/>
                </w:rPr>
                <w:t>on November 24, 2008 (File No. 001-12984) and incorporated herein by reference.</w:t>
              </w:r>
            </w:hyperlink>
          </w:p>
        </w:tc>
        <w:tc>
          <w:tcPr>
            <w:tcW w:w="4080" w:type="dxa"/>
            <w:vAlign w:val="bottom"/>
            <w:tcBorders>
              <w:top w:val="single" w:sz="8" w:color="0000EE"/>
            </w:tcBorders>
            <w:gridSpan w:val="17"/>
          </w:tcPr>
          <w:p>
            <w:pPr>
              <w:spacing w:after="0"/>
              <w:rPr>
                <w:sz w:val="12"/>
                <w:szCs w:val="12"/>
                <w:color w:val="auto"/>
              </w:rPr>
            </w:pPr>
          </w:p>
        </w:tc>
      </w:tr>
      <w:tr>
        <w:trPr>
          <w:trHeight w:val="345"/>
        </w:trPr>
        <w:tc>
          <w:tcPr>
            <w:tcW w:w="980" w:type="dxa"/>
            <w:vAlign w:val="bottom"/>
          </w:tcPr>
          <w:p>
            <w:pPr>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5">
              <w:r>
                <w:rPr>
                  <w:rFonts w:ascii="Arial" w:cs="Arial" w:eastAsia="Arial" w:hAnsi="Arial"/>
                  <w:sz w:val="16"/>
                  <w:szCs w:val="16"/>
                  <w:color w:val="auto"/>
                </w:rPr>
                <w:t>Amendment to Amended and Restated Bylaws filed as Exhibit 3.1 to the Company’s Current Report on Form 8-K filed with the Commission</w:t>
              </w:r>
            </w:hyperlink>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0" w:type="dxa"/>
            <w:vAlign w:val="bottom"/>
            <w:tcBorders>
              <w:top w:val="single" w:sz="8" w:color="0000EE"/>
            </w:tcBorders>
            <w:gridSpan w:val="25"/>
          </w:tcPr>
          <w:p>
            <w:pPr>
              <w:spacing w:after="0" w:line="142" w:lineRule="exact"/>
              <w:rPr>
                <w:rFonts w:ascii="Arial" w:cs="Arial" w:eastAsia="Arial" w:hAnsi="Arial"/>
                <w:sz w:val="16"/>
                <w:szCs w:val="16"/>
                <w:color w:val="auto"/>
              </w:rPr>
            </w:pPr>
            <w:hyperlink r:id="rId225">
              <w:r>
                <w:rPr>
                  <w:rFonts w:ascii="Arial" w:cs="Arial" w:eastAsia="Arial" w:hAnsi="Arial"/>
                  <w:sz w:val="16"/>
                  <w:szCs w:val="16"/>
                  <w:color w:val="auto"/>
                </w:rPr>
                <w:t>on February 3, 2012 (File No. 001-12984) and incorporated herein by reference.</w:t>
              </w:r>
            </w:hyperlink>
          </w:p>
        </w:tc>
      </w:tr>
      <w:tr>
        <w:trPr>
          <w:trHeight w:val="20"/>
        </w:trPr>
        <w:tc>
          <w:tcPr>
            <w:tcW w:w="9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980" w:type="dxa"/>
            <w:vAlign w:val="bottom"/>
          </w:tcPr>
          <w:p>
            <w:pPr>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6">
              <w:r>
                <w:rPr>
                  <w:rFonts w:ascii="Arial" w:cs="Arial" w:eastAsia="Arial" w:hAnsi="Arial"/>
                  <w:sz w:val="16"/>
                  <w:szCs w:val="16"/>
                  <w:color w:val="auto"/>
                </w:rPr>
                <w:t>Amendment to Amended and Restated Bylaws filed as Exhibit 3.1 to the Company’s Current Report on Form 8-K filed with the Commission</w:t>
              </w:r>
            </w:hyperlink>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0" w:type="dxa"/>
            <w:vAlign w:val="bottom"/>
            <w:tcBorders>
              <w:top w:val="single" w:sz="8" w:color="0000EE"/>
            </w:tcBorders>
            <w:gridSpan w:val="25"/>
          </w:tcPr>
          <w:p>
            <w:pPr>
              <w:spacing w:after="0" w:line="142" w:lineRule="exact"/>
              <w:rPr>
                <w:rFonts w:ascii="Arial" w:cs="Arial" w:eastAsia="Arial" w:hAnsi="Arial"/>
                <w:sz w:val="16"/>
                <w:szCs w:val="16"/>
                <w:color w:val="auto"/>
              </w:rPr>
            </w:pPr>
            <w:hyperlink r:id="rId226">
              <w:r>
                <w:rPr>
                  <w:rFonts w:ascii="Arial" w:cs="Arial" w:eastAsia="Arial" w:hAnsi="Arial"/>
                  <w:sz w:val="16"/>
                  <w:szCs w:val="16"/>
                  <w:color w:val="auto"/>
                </w:rPr>
                <w:t>on August 7, 2015 (File No. 001-12984) and incorporated herein by reference.</w:t>
              </w:r>
            </w:hyperlink>
          </w:p>
        </w:tc>
      </w:tr>
      <w:tr>
        <w:trPr>
          <w:trHeight w:val="344"/>
        </w:trPr>
        <w:tc>
          <w:tcPr>
            <w:tcW w:w="980" w:type="dxa"/>
            <w:vAlign w:val="bottom"/>
          </w:tcPr>
          <w:p>
            <w:pPr>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24"/>
                <w:szCs w:val="24"/>
                <w:color w:val="auto"/>
              </w:rPr>
            </w:pPr>
          </w:p>
        </w:tc>
        <w:tc>
          <w:tcPr>
            <w:tcW w:w="5580" w:type="dxa"/>
            <w:vAlign w:val="bottom"/>
            <w:tcBorders>
              <w:top w:val="single" w:sz="8" w:color="0000EE"/>
            </w:tcBorders>
            <w:gridSpan w:val="6"/>
          </w:tcPr>
          <w:p>
            <w:pPr>
              <w:spacing w:after="0"/>
              <w:rPr>
                <w:rFonts w:ascii="Arial" w:cs="Arial" w:eastAsia="Arial" w:hAnsi="Arial"/>
                <w:sz w:val="16"/>
                <w:szCs w:val="16"/>
                <w:color w:val="auto"/>
              </w:rPr>
            </w:pPr>
            <w:hyperlink w:anchor="page128">
              <w:r>
                <w:rPr>
                  <w:rFonts w:ascii="Arial" w:cs="Arial" w:eastAsia="Arial" w:hAnsi="Arial"/>
                  <w:sz w:val="16"/>
                  <w:szCs w:val="16"/>
                  <w:color w:val="auto"/>
                </w:rPr>
                <w:t>Description of Securities.</w:t>
              </w:r>
            </w:hyperlink>
          </w:p>
        </w:tc>
        <w:tc>
          <w:tcPr>
            <w:tcW w:w="4420" w:type="dxa"/>
            <w:vAlign w:val="bottom"/>
            <w:gridSpan w:val="19"/>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980" w:type="dxa"/>
            <w:vAlign w:val="bottom"/>
          </w:tcPr>
          <w:p>
            <w:pPr>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7">
              <w:r>
                <w:rPr>
                  <w:rFonts w:ascii="Arial" w:cs="Arial" w:eastAsia="Arial" w:hAnsi="Arial"/>
                  <w:sz w:val="16"/>
                  <w:szCs w:val="16"/>
                  <w:color w:val="auto"/>
                </w:rPr>
                <w:t>Credit Agreement, dated as of July 1, 2021, among the Company, the lenders identified therein and JPMorgan Chase Bank, N.A., as the</w:t>
              </w:r>
            </w:hyperlink>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0" w:type="dxa"/>
            <w:vAlign w:val="bottom"/>
            <w:gridSpan w:val="25"/>
          </w:tcPr>
          <w:p>
            <w:pPr>
              <w:spacing w:after="0" w:line="155" w:lineRule="exact"/>
              <w:rPr>
                <w:rFonts w:ascii="Arial" w:cs="Arial" w:eastAsia="Arial" w:hAnsi="Arial"/>
                <w:sz w:val="16"/>
                <w:szCs w:val="16"/>
                <w:color w:val="auto"/>
              </w:rPr>
            </w:pPr>
            <w:hyperlink r:id="rId227">
              <w:r>
                <w:rPr>
                  <w:rFonts w:ascii="Arial" w:cs="Arial" w:eastAsia="Arial" w:hAnsi="Arial"/>
                  <w:sz w:val="16"/>
                  <w:szCs w:val="16"/>
                  <w:color w:val="auto"/>
                </w:rPr>
                <w:t>administrative agent, issuing bank and swingline lender thereunder, filed as Exhibit 10.1 to the Company’s Current Report on Form 8-K filed</w:t>
              </w:r>
            </w:hyperlink>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0" w:type="dxa"/>
            <w:vAlign w:val="bottom"/>
            <w:gridSpan w:val="25"/>
          </w:tcPr>
          <w:p>
            <w:pPr>
              <w:spacing w:after="0" w:line="155" w:lineRule="exact"/>
              <w:rPr>
                <w:rFonts w:ascii="Arial" w:cs="Arial" w:eastAsia="Arial" w:hAnsi="Arial"/>
                <w:sz w:val="16"/>
                <w:szCs w:val="16"/>
                <w:color w:val="auto"/>
              </w:rPr>
            </w:pPr>
            <w:hyperlink r:id="rId227">
              <w:r>
                <w:rPr>
                  <w:rFonts w:ascii="Arial" w:cs="Arial" w:eastAsia="Arial" w:hAnsi="Arial"/>
                  <w:sz w:val="16"/>
                  <w:szCs w:val="16"/>
                  <w:color w:val="auto"/>
                </w:rPr>
                <w:t>with the Commission on July 1, 2021 (File No. 001-12984) and incorporated herein by reference.</w:t>
              </w:r>
            </w:hyperlink>
          </w:p>
        </w:tc>
      </w:tr>
      <w:tr>
        <w:trPr>
          <w:trHeight w:val="20"/>
        </w:trPr>
        <w:tc>
          <w:tcPr>
            <w:tcW w:w="9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8">
              <w:r>
                <w:rPr>
                  <w:rFonts w:ascii="Arial" w:cs="Arial" w:eastAsia="Arial" w:hAnsi="Arial"/>
                  <w:sz w:val="16"/>
                  <w:szCs w:val="16"/>
                  <w:color w:val="auto"/>
                </w:rPr>
                <w:t>Indenture, dated as of May 8, 2009, between the Company and The Bank of New York Mellon Trust Company, N.A., filed as Exhibit 4.1 to</w:t>
              </w:r>
            </w:hyperlink>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80" w:type="dxa"/>
            <w:vAlign w:val="bottom"/>
            <w:tcBorders>
              <w:top w:val="single" w:sz="8" w:color="0000EE"/>
            </w:tcBorders>
            <w:gridSpan w:val="22"/>
          </w:tcPr>
          <w:p>
            <w:pPr>
              <w:spacing w:after="0" w:line="142" w:lineRule="exact"/>
              <w:rPr>
                <w:rFonts w:ascii="Arial" w:cs="Arial" w:eastAsia="Arial" w:hAnsi="Arial"/>
                <w:sz w:val="16"/>
                <w:szCs w:val="16"/>
                <w:color w:val="auto"/>
              </w:rPr>
            </w:pPr>
            <w:hyperlink r:id="rId228">
              <w:r>
                <w:rPr>
                  <w:rFonts w:ascii="Arial" w:cs="Arial" w:eastAsia="Arial" w:hAnsi="Arial"/>
                  <w:sz w:val="16"/>
                  <w:szCs w:val="16"/>
                  <w:color w:val="auto"/>
                </w:rPr>
                <w:t>the Company’s Registration Statement on Form S-3 filed with the Commission on May 8, 2009 (File No. 001-12984) and incorporated</w:t>
              </w:r>
            </w:hyperlink>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0000EE"/>
              <w:bottom w:val="single" w:sz="8" w:color="0000EE"/>
            </w:tcBorders>
          </w:tcPr>
          <w:p>
            <w:pPr>
              <w:spacing w:after="0" w:line="142" w:lineRule="exact"/>
              <w:rPr>
                <w:rFonts w:ascii="Arial" w:cs="Arial" w:eastAsia="Arial" w:hAnsi="Arial"/>
                <w:sz w:val="16"/>
                <w:szCs w:val="16"/>
                <w:color w:val="auto"/>
                <w:w w:val="99"/>
              </w:rPr>
            </w:pPr>
            <w:hyperlink r:id="rId228">
              <w:r>
                <w:rPr>
                  <w:rFonts w:ascii="Arial" w:cs="Arial" w:eastAsia="Arial" w:hAnsi="Arial"/>
                  <w:sz w:val="16"/>
                  <w:szCs w:val="16"/>
                  <w:color w:val="auto"/>
                  <w:w w:val="99"/>
                </w:rPr>
                <w:t>herein by reference.</w:t>
              </w:r>
            </w:hyperlink>
          </w:p>
        </w:tc>
        <w:tc>
          <w:tcPr>
            <w:tcW w:w="8160" w:type="dxa"/>
            <w:vAlign w:val="bottom"/>
            <w:tcBorders>
              <w:top w:val="single" w:sz="8" w:color="0000EE"/>
            </w:tcBorders>
            <w:gridSpan w:val="15"/>
          </w:tcPr>
          <w:p>
            <w:pPr>
              <w:spacing w:after="0"/>
              <w:rPr>
                <w:sz w:val="12"/>
                <w:szCs w:val="12"/>
                <w:color w:val="auto"/>
              </w:rPr>
            </w:pPr>
          </w:p>
        </w:tc>
        <w:tc>
          <w:tcPr>
            <w:tcW w:w="340" w:type="dxa"/>
            <w:vAlign w:val="bottom"/>
            <w:gridSpan w:val="8"/>
          </w:tcPr>
          <w:p>
            <w:pPr>
              <w:spacing w:after="0"/>
              <w:rPr>
                <w:sz w:val="12"/>
                <w:szCs w:val="12"/>
                <w:color w:val="auto"/>
              </w:rPr>
            </w:pPr>
          </w:p>
        </w:tc>
        <w:tc>
          <w:tcPr>
            <w:tcW w:w="60" w:type="dxa"/>
            <w:vAlign w:val="bottom"/>
          </w:tcPr>
          <w:p>
            <w:pPr>
              <w:spacing w:after="0"/>
              <w:rPr>
                <w:sz w:val="12"/>
                <w:szCs w:val="12"/>
                <w:color w:val="auto"/>
              </w:rPr>
            </w:pPr>
          </w:p>
        </w:tc>
      </w:tr>
      <w:tr>
        <w:trPr>
          <w:trHeight w:val="345"/>
        </w:trPr>
        <w:tc>
          <w:tcPr>
            <w:tcW w:w="980" w:type="dxa"/>
            <w:vAlign w:val="bottom"/>
          </w:tcPr>
          <w:p>
            <w:pPr>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9">
              <w:r>
                <w:rPr>
                  <w:rFonts w:ascii="Arial" w:cs="Arial" w:eastAsia="Arial" w:hAnsi="Arial"/>
                  <w:sz w:val="16"/>
                  <w:szCs w:val="16"/>
                  <w:color w:val="auto"/>
                </w:rPr>
                <w:t>Second Supplemental Indenture, dated as of July 1, 2021, between the Company and The Bank of New York Mellon Trust Company, N.A.,</w:t>
              </w:r>
            </w:hyperlink>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60" w:type="dxa"/>
            <w:vAlign w:val="bottom"/>
            <w:gridSpan w:val="4"/>
            <w:shd w:val="clear" w:color="auto" w:fill="0000EE"/>
          </w:tcPr>
          <w:p>
            <w:pPr>
              <w:spacing w:after="0" w:line="20" w:lineRule="exact"/>
              <w:rPr>
                <w:sz w:val="1"/>
                <w:szCs w:val="1"/>
                <w:color w:val="auto"/>
              </w:rPr>
            </w:pPr>
          </w:p>
        </w:tc>
        <w:tc>
          <w:tcPr>
            <w:tcW w:w="5180" w:type="dxa"/>
            <w:vAlign w:val="bottom"/>
            <w:gridSpan w:val="2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0" w:type="dxa"/>
            <w:vAlign w:val="bottom"/>
            <w:gridSpan w:val="25"/>
          </w:tcPr>
          <w:p>
            <w:pPr>
              <w:spacing w:after="0" w:line="155" w:lineRule="exact"/>
              <w:rPr>
                <w:rFonts w:ascii="Arial" w:cs="Arial" w:eastAsia="Arial" w:hAnsi="Arial"/>
                <w:sz w:val="16"/>
                <w:szCs w:val="16"/>
                <w:color w:val="auto"/>
              </w:rPr>
            </w:pPr>
            <w:hyperlink r:id="rId229">
              <w:r>
                <w:rPr>
                  <w:rFonts w:ascii="Arial" w:cs="Arial" w:eastAsia="Arial" w:hAnsi="Arial"/>
                  <w:sz w:val="16"/>
                  <w:szCs w:val="16"/>
                  <w:color w:val="auto"/>
                </w:rPr>
                <w:t>filed as Exhibit 4.2 to the Company’s Current Report on Form 8-K filed with the Commission on July 1, 2021 (File No. 001-12984) and</w:t>
              </w:r>
            </w:hyperlink>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60" w:type="dxa"/>
            <w:vAlign w:val="bottom"/>
            <w:gridSpan w:val="4"/>
            <w:shd w:val="clear" w:color="auto" w:fill="0000EE"/>
          </w:tcPr>
          <w:p>
            <w:pPr>
              <w:spacing w:after="0" w:line="20" w:lineRule="exact"/>
              <w:rPr>
                <w:sz w:val="1"/>
                <w:szCs w:val="1"/>
                <w:color w:val="auto"/>
              </w:rPr>
            </w:pPr>
          </w:p>
        </w:tc>
        <w:tc>
          <w:tcPr>
            <w:tcW w:w="4840" w:type="dxa"/>
            <w:vAlign w:val="bottom"/>
            <w:gridSpan w:val="12"/>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tcBorders>
              <w:bottom w:val="single" w:sz="8" w:color="0000EE"/>
            </w:tcBorders>
            <w:gridSpan w:val="3"/>
          </w:tcPr>
          <w:p>
            <w:pPr>
              <w:spacing w:after="0" w:line="155" w:lineRule="exact"/>
              <w:rPr>
                <w:rFonts w:ascii="Arial" w:cs="Arial" w:eastAsia="Arial" w:hAnsi="Arial"/>
                <w:sz w:val="16"/>
                <w:szCs w:val="16"/>
                <w:color w:val="auto"/>
              </w:rPr>
            </w:pPr>
            <w:hyperlink r:id="rId229">
              <w:r>
                <w:rPr>
                  <w:rFonts w:ascii="Arial" w:cs="Arial" w:eastAsia="Arial" w:hAnsi="Arial"/>
                  <w:sz w:val="16"/>
                  <w:szCs w:val="16"/>
                  <w:color w:val="auto"/>
                </w:rPr>
                <w:t>incorporated herein by reference.</w:t>
              </w:r>
            </w:hyperlink>
          </w:p>
        </w:tc>
        <w:tc>
          <w:tcPr>
            <w:tcW w:w="7620" w:type="dxa"/>
            <w:vAlign w:val="bottom"/>
            <w:gridSpan w:val="22"/>
          </w:tcPr>
          <w:p>
            <w:pPr>
              <w:spacing w:after="0"/>
              <w:rPr>
                <w:sz w:val="13"/>
                <w:szCs w:val="13"/>
                <w:color w:val="auto"/>
              </w:rPr>
            </w:pPr>
          </w:p>
        </w:tc>
      </w:tr>
      <w:tr>
        <w:trPr>
          <w:trHeight w:val="358"/>
        </w:trPr>
        <w:tc>
          <w:tcPr>
            <w:tcW w:w="980" w:type="dxa"/>
            <w:vAlign w:val="bottom"/>
          </w:tcPr>
          <w:p>
            <w:pPr>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24"/>
                <w:szCs w:val="24"/>
                <w:color w:val="auto"/>
              </w:rPr>
            </w:pPr>
          </w:p>
        </w:tc>
        <w:tc>
          <w:tcPr>
            <w:tcW w:w="10000" w:type="dxa"/>
            <w:vAlign w:val="bottom"/>
            <w:gridSpan w:val="25"/>
          </w:tcPr>
          <w:p>
            <w:pPr>
              <w:spacing w:after="0"/>
              <w:rPr>
                <w:rFonts w:ascii="Arial" w:cs="Arial" w:eastAsia="Arial" w:hAnsi="Arial"/>
                <w:sz w:val="16"/>
                <w:szCs w:val="16"/>
                <w:color w:val="auto"/>
              </w:rPr>
            </w:pPr>
            <w:hyperlink r:id="rId229">
              <w:r>
                <w:rPr>
                  <w:rFonts w:ascii="Arial" w:cs="Arial" w:eastAsia="Arial" w:hAnsi="Arial"/>
                  <w:sz w:val="16"/>
                  <w:szCs w:val="16"/>
                  <w:color w:val="auto"/>
                </w:rPr>
                <w:t>Form of 2.500% Senior Note due 2031, filed as Exhibit 4.3 to the Company’s Current Report on Form 8-K filed with the Commission on July</w:t>
              </w:r>
            </w:hyperlink>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60" w:type="dxa"/>
            <w:vAlign w:val="bottom"/>
            <w:gridSpan w:val="4"/>
            <w:shd w:val="clear" w:color="auto" w:fill="0000EE"/>
          </w:tcPr>
          <w:p>
            <w:pPr>
              <w:spacing w:after="0" w:line="20" w:lineRule="exact"/>
              <w:rPr>
                <w:sz w:val="1"/>
                <w:szCs w:val="1"/>
                <w:color w:val="auto"/>
              </w:rPr>
            </w:pPr>
          </w:p>
        </w:tc>
        <w:tc>
          <w:tcPr>
            <w:tcW w:w="5240" w:type="dxa"/>
            <w:vAlign w:val="bottom"/>
            <w:gridSpan w:val="21"/>
            <w:shd w:val="clear" w:color="auto" w:fill="0000EE"/>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0" w:type="dxa"/>
            <w:vAlign w:val="bottom"/>
            <w:gridSpan w:val="25"/>
          </w:tcPr>
          <w:p>
            <w:pPr>
              <w:spacing w:after="0" w:line="155" w:lineRule="exact"/>
              <w:rPr>
                <w:rFonts w:ascii="Arial" w:cs="Arial" w:eastAsia="Arial" w:hAnsi="Arial"/>
                <w:sz w:val="16"/>
                <w:szCs w:val="16"/>
                <w:color w:val="auto"/>
              </w:rPr>
            </w:pPr>
            <w:hyperlink r:id="rId229">
              <w:r>
                <w:rPr>
                  <w:rFonts w:ascii="Arial" w:cs="Arial" w:eastAsia="Arial" w:hAnsi="Arial"/>
                  <w:sz w:val="16"/>
                  <w:szCs w:val="16"/>
                  <w:color w:val="auto"/>
                </w:rPr>
                <w:t>1, 2021 (File No. 001-12984) and incorporated herein by reference.</w:t>
              </w:r>
            </w:hyperlink>
          </w:p>
        </w:tc>
      </w:tr>
      <w:tr>
        <w:trPr>
          <w:trHeight w:val="20"/>
        </w:trPr>
        <w:tc>
          <w:tcPr>
            <w:tcW w:w="9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10.1</w:t>
            </w:r>
          </w:p>
        </w:tc>
        <w:tc>
          <w:tcPr>
            <w:tcW w:w="10040" w:type="dxa"/>
            <w:vAlign w:val="bottom"/>
            <w:gridSpan w:val="30"/>
          </w:tcPr>
          <w:p>
            <w:pPr>
              <w:spacing w:after="0"/>
              <w:rPr>
                <w:rFonts w:ascii="Arial" w:cs="Arial" w:eastAsia="Arial" w:hAnsi="Arial"/>
                <w:sz w:val="16"/>
                <w:szCs w:val="16"/>
                <w:color w:val="auto"/>
              </w:rPr>
            </w:pPr>
            <w:hyperlink r:id="rId231">
              <w:r>
                <w:rPr>
                  <w:rFonts w:ascii="Arial" w:cs="Arial" w:eastAsia="Arial" w:hAnsi="Arial"/>
                  <w:sz w:val="16"/>
                  <w:szCs w:val="16"/>
                  <w:color w:val="auto"/>
                </w:rPr>
                <w:t>Limited Partnership Agreement of Texas Lehigh Cement Company LP by and between Texas Cement Company and Lehigh Portland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0020" w:type="dxa"/>
            <w:vAlign w:val="bottom"/>
            <w:gridSpan w:val="29"/>
          </w:tcPr>
          <w:p>
            <w:pPr>
              <w:spacing w:after="0" w:line="142" w:lineRule="exact"/>
              <w:rPr>
                <w:rFonts w:ascii="Arial" w:cs="Arial" w:eastAsia="Arial" w:hAnsi="Arial"/>
                <w:sz w:val="16"/>
                <w:szCs w:val="16"/>
                <w:color w:val="auto"/>
              </w:rPr>
            </w:pPr>
            <w:hyperlink r:id="rId231">
              <w:r>
                <w:rPr>
                  <w:rFonts w:ascii="Arial" w:cs="Arial" w:eastAsia="Arial" w:hAnsi="Arial"/>
                  <w:sz w:val="16"/>
                  <w:szCs w:val="16"/>
                  <w:color w:val="auto"/>
                </w:rPr>
                <w:t>Cement Company effective as of October 1, 2000, filed as Exhibit 10.2 to the Company’s Annual Report on Form 10-K for the fiscal year</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9120" w:type="dxa"/>
            <w:vAlign w:val="bottom"/>
            <w:tcBorders>
              <w:top w:val="single" w:sz="8" w:color="0000EE"/>
              <w:bottom w:val="single" w:sz="8" w:color="0000EE"/>
            </w:tcBorders>
            <w:gridSpan w:val="14"/>
          </w:tcPr>
          <w:p>
            <w:pPr>
              <w:spacing w:after="0" w:line="142" w:lineRule="exact"/>
              <w:rPr>
                <w:rFonts w:ascii="Arial" w:cs="Arial" w:eastAsia="Arial" w:hAnsi="Arial"/>
                <w:sz w:val="16"/>
                <w:szCs w:val="16"/>
                <w:color w:val="auto"/>
              </w:rPr>
            </w:pPr>
            <w:hyperlink r:id="rId231">
              <w:r>
                <w:rPr>
                  <w:rFonts w:ascii="Arial" w:cs="Arial" w:eastAsia="Arial" w:hAnsi="Arial"/>
                  <w:sz w:val="16"/>
                  <w:szCs w:val="16"/>
                  <w:color w:val="auto"/>
                </w:rPr>
                <w:t>ended March 31, 2001, filed with the Commission on June 27, 2001 (File No. 001-12984) and incorporated herein by reference.</w:t>
              </w:r>
            </w:hyperlink>
          </w:p>
        </w:tc>
        <w:tc>
          <w:tcPr>
            <w:tcW w:w="660" w:type="dxa"/>
            <w:vAlign w:val="bottom"/>
            <w:tcBorders>
              <w:top w:val="single" w:sz="8" w:color="0000EE"/>
            </w:tcBorders>
            <w:gridSpan w:val="9"/>
          </w:tcPr>
          <w:p>
            <w:pPr>
              <w:spacing w:after="0"/>
              <w:rPr>
                <w:sz w:val="12"/>
                <w:szCs w:val="12"/>
                <w:color w:val="auto"/>
              </w:rPr>
            </w:pPr>
          </w:p>
        </w:tc>
        <w:tc>
          <w:tcPr>
            <w:tcW w:w="7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1180" w:type="dxa"/>
            <w:vAlign w:val="bottom"/>
          </w:tcPr>
          <w:p>
            <w:pPr>
              <w:spacing w:after="0"/>
              <w:rPr>
                <w:sz w:val="20"/>
                <w:szCs w:val="20"/>
                <w:color w:val="auto"/>
              </w:rPr>
            </w:pPr>
            <w:r>
              <w:rPr>
                <w:rFonts w:ascii="Arial" w:cs="Arial" w:eastAsia="Arial" w:hAnsi="Arial"/>
                <w:sz w:val="16"/>
                <w:szCs w:val="16"/>
                <w:color w:val="auto"/>
              </w:rPr>
              <w:t>10.1(a)</w:t>
            </w:r>
          </w:p>
        </w:tc>
        <w:tc>
          <w:tcPr>
            <w:tcW w:w="10040" w:type="dxa"/>
            <w:vAlign w:val="bottom"/>
            <w:gridSpan w:val="30"/>
          </w:tcPr>
          <w:p>
            <w:pPr>
              <w:spacing w:after="0"/>
              <w:rPr>
                <w:rFonts w:ascii="Arial" w:cs="Arial" w:eastAsia="Arial" w:hAnsi="Arial"/>
                <w:sz w:val="16"/>
                <w:szCs w:val="16"/>
                <w:color w:val="auto"/>
              </w:rPr>
            </w:pPr>
            <w:hyperlink r:id="rId228">
              <w:r>
                <w:rPr>
                  <w:rFonts w:ascii="Arial" w:cs="Arial" w:eastAsia="Arial" w:hAnsi="Arial"/>
                  <w:sz w:val="16"/>
                  <w:szCs w:val="16"/>
                  <w:color w:val="auto"/>
                </w:rPr>
                <w:t>Amendment No. 1 to Agreement of Limited Partnership by and among Texas Cement Company; TLCC LP LLC; TLCC GP LLC; Lehigh</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EE"/>
            </w:tcBorders>
            <w:gridSpan w:val="21"/>
          </w:tcPr>
          <w:p>
            <w:pPr>
              <w:spacing w:after="0" w:line="142" w:lineRule="exact"/>
              <w:rPr>
                <w:rFonts w:ascii="Arial" w:cs="Arial" w:eastAsia="Arial" w:hAnsi="Arial"/>
                <w:sz w:val="16"/>
                <w:szCs w:val="16"/>
                <w:color w:val="auto"/>
              </w:rPr>
            </w:pPr>
            <w:hyperlink r:id="rId228">
              <w:r>
                <w:rPr>
                  <w:rFonts w:ascii="Arial" w:cs="Arial" w:eastAsia="Arial" w:hAnsi="Arial"/>
                  <w:sz w:val="16"/>
                  <w:szCs w:val="16"/>
                  <w:color w:val="auto"/>
                </w:rPr>
                <w:t>Portland Cement Company; Lehigh Portland Investments, LLC; and Lehigh Portland Holdings, LLC effective as of October 2, 2000, filed</w:t>
              </w:r>
            </w:hyperlink>
          </w:p>
        </w:tc>
        <w:tc>
          <w:tcPr>
            <w:tcW w:w="20" w:type="dxa"/>
            <w:vAlign w:val="bottom"/>
          </w:tcPr>
          <w:p>
            <w:pPr>
              <w:spacing w:after="0"/>
              <w:rPr>
                <w:sz w:val="12"/>
                <w:szCs w:val="12"/>
                <w:color w:val="auto"/>
              </w:rPr>
            </w:pPr>
          </w:p>
        </w:tc>
        <w:tc>
          <w:tcPr>
            <w:tcW w:w="300" w:type="dxa"/>
            <w:vAlign w:val="bottom"/>
            <w:gridSpan w:val="7"/>
          </w:tcPr>
          <w:p>
            <w:pPr>
              <w:ind w:left="40"/>
              <w:spacing w:after="0" w:line="142" w:lineRule="exact"/>
              <w:rPr>
                <w:rFonts w:ascii="Arial" w:cs="Arial" w:eastAsia="Arial" w:hAnsi="Arial"/>
                <w:sz w:val="16"/>
                <w:szCs w:val="16"/>
                <w:color w:val="auto"/>
              </w:rPr>
            </w:pPr>
            <w:hyperlink r:id="rId228">
              <w:r>
                <w:rPr>
                  <w:rFonts w:ascii="Arial" w:cs="Arial" w:eastAsia="Arial" w:hAnsi="Arial"/>
                  <w:sz w:val="16"/>
                  <w:szCs w:val="16"/>
                  <w:color w:val="auto"/>
                </w:rPr>
                <w:t>as</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6980" w:type="dxa"/>
            <w:vAlign w:val="bottom"/>
            <w:tcBorders>
              <w:top w:val="single" w:sz="8" w:color="0000EE"/>
              <w:bottom w:val="single" w:sz="8" w:color="0000EE"/>
            </w:tcBorders>
            <w:gridSpan w:val="9"/>
          </w:tcPr>
          <w:p>
            <w:pPr>
              <w:spacing w:after="0" w:line="142" w:lineRule="exact"/>
              <w:rPr>
                <w:rFonts w:ascii="Arial" w:cs="Arial" w:eastAsia="Arial" w:hAnsi="Arial"/>
                <w:sz w:val="16"/>
                <w:szCs w:val="16"/>
                <w:color w:val="auto"/>
              </w:rPr>
            </w:pPr>
            <w:hyperlink r:id="rId228">
              <w:r>
                <w:rPr>
                  <w:rFonts w:ascii="Arial" w:cs="Arial" w:eastAsia="Arial" w:hAnsi="Arial"/>
                  <w:sz w:val="16"/>
                  <w:szCs w:val="16"/>
                  <w:color w:val="auto"/>
                </w:rPr>
                <w:t>Exhibit 10.2(a) to the 2001 Form 10-K (File No. 001-12984) and incorporated herein by reference.</w:t>
              </w:r>
            </w:hyperlink>
          </w:p>
        </w:tc>
        <w:tc>
          <w:tcPr>
            <w:tcW w:w="3000" w:type="dxa"/>
            <w:vAlign w:val="bottom"/>
            <w:tcBorders>
              <w:top w:val="single" w:sz="8" w:color="0000EE"/>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1180" w:type="dxa"/>
            <w:vAlign w:val="bottom"/>
          </w:tcPr>
          <w:p>
            <w:pPr>
              <w:spacing w:after="0"/>
              <w:rPr>
                <w:sz w:val="20"/>
                <w:szCs w:val="20"/>
                <w:color w:val="auto"/>
              </w:rPr>
            </w:pPr>
            <w:r>
              <w:rPr>
                <w:rFonts w:ascii="Arial" w:cs="Arial" w:eastAsia="Arial" w:hAnsi="Arial"/>
                <w:sz w:val="16"/>
                <w:szCs w:val="16"/>
                <w:color w:val="auto"/>
              </w:rPr>
              <w:t>10.2</w:t>
            </w:r>
          </w:p>
        </w:tc>
        <w:tc>
          <w:tcPr>
            <w:tcW w:w="10040" w:type="dxa"/>
            <w:vAlign w:val="bottom"/>
            <w:gridSpan w:val="30"/>
          </w:tcPr>
          <w:p>
            <w:pPr>
              <w:spacing w:after="0"/>
              <w:rPr>
                <w:rFonts w:ascii="Arial" w:cs="Arial" w:eastAsia="Arial" w:hAnsi="Arial"/>
                <w:sz w:val="16"/>
                <w:szCs w:val="16"/>
                <w:color w:val="auto"/>
              </w:rPr>
            </w:pPr>
            <w:hyperlink r:id="rId232">
              <w:r>
                <w:rPr>
                  <w:rFonts w:ascii="Arial" w:cs="Arial" w:eastAsia="Arial" w:hAnsi="Arial"/>
                  <w:sz w:val="16"/>
                  <w:szCs w:val="16"/>
                  <w:color w:val="auto"/>
                </w:rPr>
                <w:t>The Eagle Materials Inc. Amended and Restated Incentive Plan, filed as Exhibit A to the Company’s Schedule 14A filed with the</w:t>
              </w:r>
            </w:hyperlink>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60" w:type="dxa"/>
            <w:vAlign w:val="bottom"/>
            <w:gridSpan w:val="7"/>
            <w:vMerge w:val="restart"/>
          </w:tcPr>
          <w:p>
            <w:pPr>
              <w:spacing w:after="0" w:line="175" w:lineRule="exact"/>
              <w:rPr>
                <w:rFonts w:ascii="Arial" w:cs="Arial" w:eastAsia="Arial" w:hAnsi="Arial"/>
                <w:sz w:val="16"/>
                <w:szCs w:val="16"/>
                <w:color w:val="auto"/>
              </w:rPr>
            </w:pPr>
            <w:hyperlink r:id="rId232">
              <w:r>
                <w:rPr>
                  <w:rFonts w:ascii="Arial" w:cs="Arial" w:eastAsia="Arial" w:hAnsi="Arial"/>
                  <w:sz w:val="16"/>
                  <w:szCs w:val="16"/>
                  <w:color w:val="auto"/>
                </w:rPr>
                <w:t>Commission on June 21, 2013 (File No. 001-12984) and incorporated herein 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32">
              <w:r>
                <w:rPr>
                  <w:rFonts w:ascii="Arial" w:cs="Arial" w:eastAsia="Arial" w:hAnsi="Arial"/>
                  <w:sz w:val="8"/>
                  <w:szCs w:val="8"/>
                  <w:color w:val="auto"/>
                </w:rPr>
                <w:t>(1)</w:t>
              </w:r>
            </w:hyperlink>
          </w:p>
        </w:tc>
        <w:tc>
          <w:tcPr>
            <w:tcW w:w="1000" w:type="dxa"/>
            <w:vAlign w:val="bottom"/>
            <w:gridSpan w:val="3"/>
            <w:vMerge w:val="restart"/>
          </w:tcPr>
          <w:p>
            <w:pPr>
              <w:spacing w:after="0"/>
              <w:rPr>
                <w:sz w:val="8"/>
                <w:szCs w:val="8"/>
                <w:color w:val="auto"/>
              </w:rPr>
            </w:pPr>
          </w:p>
        </w:tc>
        <w:tc>
          <w:tcPr>
            <w:tcW w:w="460" w:type="dxa"/>
            <w:vAlign w:val="bottom"/>
            <w:gridSpan w:val="2"/>
            <w:vMerge w:val="restart"/>
          </w:tcPr>
          <w:p>
            <w:pPr>
              <w:spacing w:after="0"/>
              <w:rPr>
                <w:sz w:val="8"/>
                <w:szCs w:val="8"/>
                <w:color w:val="auto"/>
              </w:rPr>
            </w:pPr>
          </w:p>
        </w:tc>
        <w:tc>
          <w:tcPr>
            <w:tcW w:w="1100" w:type="dxa"/>
            <w:vAlign w:val="bottom"/>
            <w:gridSpan w:val="2"/>
            <w:vMerge w:val="restart"/>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70" w:type="dxa"/>
            <w:vAlign w:val="bottom"/>
          </w:tcPr>
          <w:p>
            <w:pPr>
              <w:spacing w:after="0"/>
              <w:rPr>
                <w:sz w:val="8"/>
                <w:szCs w:val="8"/>
                <w:color w:val="auto"/>
              </w:rPr>
            </w:pPr>
          </w:p>
        </w:tc>
        <w:tc>
          <w:tcPr>
            <w:tcW w:w="5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60" w:type="dxa"/>
            <w:vAlign w:val="bottom"/>
            <w:tcBorders>
              <w:bottom w:val="single" w:sz="8" w:color="0000EE"/>
            </w:tcBorders>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 w:type="dxa"/>
            <w:vAlign w:val="bottom"/>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6"/>
                <w:szCs w:val="16"/>
                <w:color w:val="auto"/>
              </w:rPr>
              <w:t>10.2(a)</w:t>
            </w:r>
          </w:p>
        </w:tc>
        <w:tc>
          <w:tcPr>
            <w:tcW w:w="10040" w:type="dxa"/>
            <w:vAlign w:val="bottom"/>
            <w:gridSpan w:val="30"/>
          </w:tcPr>
          <w:p>
            <w:pPr>
              <w:spacing w:after="0"/>
              <w:rPr>
                <w:rFonts w:ascii="Arial" w:cs="Arial" w:eastAsia="Arial" w:hAnsi="Arial"/>
                <w:sz w:val="16"/>
                <w:szCs w:val="16"/>
                <w:color w:val="auto"/>
              </w:rPr>
            </w:pPr>
            <w:hyperlink r:id="rId233">
              <w:r>
                <w:rPr>
                  <w:rFonts w:ascii="Arial" w:cs="Arial" w:eastAsia="Arial" w:hAnsi="Arial"/>
                  <w:sz w:val="16"/>
                  <w:szCs w:val="16"/>
                  <w:color w:val="auto"/>
                </w:rPr>
                <w:t>Amendment to Amended and Restated Incentive Plan, filed as Exhibit 10.4 to the Company’s Quarterly Report on Form 10-Q for the</w:t>
              </w:r>
            </w:hyperlink>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500" w:type="dxa"/>
            <w:vAlign w:val="bottom"/>
            <w:tcBorders>
              <w:top w:val="single" w:sz="8" w:color="0000EE"/>
              <w:bottom w:val="single" w:sz="8" w:color="0000EE"/>
            </w:tcBorders>
            <w:gridSpan w:val="17"/>
            <w:vMerge w:val="restart"/>
          </w:tcPr>
          <w:p>
            <w:pPr>
              <w:spacing w:after="0" w:line="148" w:lineRule="exact"/>
              <w:rPr>
                <w:rFonts w:ascii="Arial" w:cs="Arial" w:eastAsia="Arial" w:hAnsi="Arial"/>
                <w:sz w:val="16"/>
                <w:szCs w:val="16"/>
                <w:color w:val="auto"/>
              </w:rPr>
            </w:pPr>
            <w:hyperlink r:id="rId233">
              <w:r>
                <w:rPr>
                  <w:rFonts w:ascii="Arial" w:cs="Arial" w:eastAsia="Arial" w:hAnsi="Arial"/>
                  <w:sz w:val="16"/>
                  <w:szCs w:val="16"/>
                  <w:color w:val="auto"/>
                </w:rPr>
                <w:t>quarter ended June 30, 2017, filed with the Commission on July 28, 2017 (File No. 001-12984) and incorporated herein by reference.</w:t>
              </w:r>
            </w:hyperlink>
          </w:p>
        </w:tc>
        <w:tc>
          <w:tcPr>
            <w:tcW w:w="40" w:type="dxa"/>
            <w:vAlign w:val="bottom"/>
            <w:vMerge w:val="restart"/>
          </w:tcPr>
          <w:p>
            <w:pPr>
              <w:spacing w:after="0"/>
              <w:rPr>
                <w:sz w:val="5"/>
                <w:szCs w:val="5"/>
                <w:color w:val="auto"/>
              </w:rPr>
            </w:pPr>
          </w:p>
        </w:tc>
        <w:tc>
          <w:tcPr>
            <w:tcW w:w="140" w:type="dxa"/>
            <w:vAlign w:val="bottom"/>
            <w:tcBorders>
              <w:bottom w:val="single" w:sz="8" w:color="0000EE"/>
            </w:tcBorders>
            <w:gridSpan w:val="2"/>
          </w:tcPr>
          <w:p>
            <w:pPr>
              <w:jc w:val="right"/>
              <w:spacing w:after="0" w:line="48" w:lineRule="exact"/>
              <w:rPr>
                <w:rFonts w:ascii="Arial" w:cs="Arial" w:eastAsia="Arial" w:hAnsi="Arial"/>
                <w:sz w:val="5"/>
                <w:szCs w:val="5"/>
                <w:color w:val="auto"/>
              </w:rPr>
            </w:pPr>
            <w:hyperlink r:id="rId233">
              <w:r>
                <w:rPr>
                  <w:rFonts w:ascii="Arial" w:cs="Arial" w:eastAsia="Arial" w:hAnsi="Arial"/>
                  <w:sz w:val="5"/>
                  <w:szCs w:val="5"/>
                  <w:color w:val="auto"/>
                </w:rPr>
                <w:t>(1)</w:t>
              </w:r>
            </w:hyperlink>
          </w:p>
        </w:tc>
        <w:tc>
          <w:tcPr>
            <w:tcW w:w="40" w:type="dxa"/>
            <w:vAlign w:val="bottom"/>
            <w:gridSpan w:val="2"/>
            <w:vMerge w:val="restart"/>
          </w:tcPr>
          <w:p>
            <w:pPr>
              <w:spacing w:after="0"/>
              <w:rPr>
                <w:sz w:val="5"/>
                <w:szCs w:val="5"/>
                <w:color w:val="auto"/>
              </w:rPr>
            </w:pPr>
          </w:p>
        </w:tc>
        <w:tc>
          <w:tcPr>
            <w:tcW w:w="60" w:type="dxa"/>
            <w:vAlign w:val="bottom"/>
          </w:tcPr>
          <w:p>
            <w:pPr>
              <w:spacing w:after="0"/>
              <w:rPr>
                <w:sz w:val="5"/>
                <w:szCs w:val="5"/>
                <w:color w:val="auto"/>
              </w:rPr>
            </w:pPr>
          </w:p>
        </w:tc>
        <w:tc>
          <w:tcPr>
            <w:tcW w:w="70" w:type="dxa"/>
            <w:vAlign w:val="bottom"/>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9500" w:type="dxa"/>
            <w:vAlign w:val="bottom"/>
            <w:tcBorders>
              <w:bottom w:val="single" w:sz="8" w:color="0000EE"/>
            </w:tcBorders>
            <w:gridSpan w:val="17"/>
            <w:vMerge w:val="continue"/>
          </w:tcPr>
          <w:p>
            <w:pPr>
              <w:spacing w:after="0"/>
              <w:rPr>
                <w:sz w:val="5"/>
                <w:szCs w:val="5"/>
                <w:color w:val="auto"/>
              </w:rPr>
            </w:pPr>
          </w:p>
        </w:tc>
        <w:tc>
          <w:tcPr>
            <w:tcW w:w="40" w:type="dxa"/>
            <w:vAlign w:val="bottom"/>
            <w:tcBorders>
              <w:bottom w:val="single" w:sz="8" w:color="0000EE"/>
            </w:tcBorders>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 w:type="dxa"/>
            <w:vAlign w:val="bottom"/>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1180" w:type="dxa"/>
            <w:vAlign w:val="bottom"/>
          </w:tcPr>
          <w:p>
            <w:pPr>
              <w:spacing w:after="0"/>
              <w:rPr>
                <w:sz w:val="20"/>
                <w:szCs w:val="20"/>
                <w:color w:val="auto"/>
              </w:rPr>
            </w:pPr>
            <w:r>
              <w:rPr>
                <w:rFonts w:ascii="Arial" w:cs="Arial" w:eastAsia="Arial" w:hAnsi="Arial"/>
                <w:sz w:val="16"/>
                <w:szCs w:val="16"/>
                <w:color w:val="auto"/>
              </w:rPr>
              <w:t>10.3</w:t>
            </w:r>
          </w:p>
        </w:tc>
        <w:tc>
          <w:tcPr>
            <w:tcW w:w="10040" w:type="dxa"/>
            <w:vAlign w:val="bottom"/>
            <w:gridSpan w:val="30"/>
          </w:tcPr>
          <w:p>
            <w:pPr>
              <w:spacing w:after="0"/>
              <w:rPr>
                <w:rFonts w:ascii="Arial" w:cs="Arial" w:eastAsia="Arial" w:hAnsi="Arial"/>
                <w:sz w:val="16"/>
                <w:szCs w:val="16"/>
                <w:color w:val="auto"/>
              </w:rPr>
            </w:pPr>
            <w:hyperlink r:id="rId234">
              <w:r>
                <w:rPr>
                  <w:rFonts w:ascii="Arial" w:cs="Arial" w:eastAsia="Arial" w:hAnsi="Arial"/>
                  <w:sz w:val="16"/>
                  <w:szCs w:val="16"/>
                  <w:color w:val="auto"/>
                </w:rPr>
                <w:t>Form of Restricted Stock Unit Agreement for Non-Employee Directors filed as Exhibit 10.1 to the Company’s Current Report on Form 8-K</w:t>
              </w:r>
            </w:hyperlink>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60" w:type="dxa"/>
            <w:vAlign w:val="bottom"/>
            <w:gridSpan w:val="10"/>
            <w:vMerge w:val="restart"/>
          </w:tcPr>
          <w:p>
            <w:pPr>
              <w:spacing w:after="0" w:line="175" w:lineRule="exact"/>
              <w:rPr>
                <w:rFonts w:ascii="Arial" w:cs="Arial" w:eastAsia="Arial" w:hAnsi="Arial"/>
                <w:sz w:val="16"/>
                <w:szCs w:val="16"/>
                <w:color w:val="auto"/>
              </w:rPr>
            </w:pPr>
            <w:hyperlink r:id="rId234">
              <w:r>
                <w:rPr>
                  <w:rFonts w:ascii="Arial" w:cs="Arial" w:eastAsia="Arial" w:hAnsi="Arial"/>
                  <w:sz w:val="16"/>
                  <w:szCs w:val="16"/>
                  <w:color w:val="auto"/>
                </w:rPr>
                <w:t>filed with the Commission on August 1, 2006 (File No. 001-12984) and incorporated herein 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34">
              <w:r>
                <w:rPr>
                  <w:rFonts w:ascii="Arial" w:cs="Arial" w:eastAsia="Arial" w:hAnsi="Arial"/>
                  <w:sz w:val="8"/>
                  <w:szCs w:val="8"/>
                  <w:color w:val="auto"/>
                </w:rPr>
                <w:t>(1)</w:t>
              </w:r>
            </w:hyperlink>
          </w:p>
        </w:tc>
        <w:tc>
          <w:tcPr>
            <w:tcW w:w="460" w:type="dxa"/>
            <w:vAlign w:val="bottom"/>
            <w:gridSpan w:val="2"/>
            <w:vMerge w:val="restart"/>
          </w:tcPr>
          <w:p>
            <w:pPr>
              <w:spacing w:after="0"/>
              <w:rPr>
                <w:sz w:val="8"/>
                <w:szCs w:val="8"/>
                <w:color w:val="auto"/>
              </w:rPr>
            </w:pPr>
          </w:p>
        </w:tc>
        <w:tc>
          <w:tcPr>
            <w:tcW w:w="1770" w:type="dxa"/>
            <w:vAlign w:val="bottom"/>
            <w:gridSpan w:val="11"/>
            <w:vMerge w:val="restart"/>
          </w:tcPr>
          <w:p>
            <w:pPr>
              <w:spacing w:after="0"/>
              <w:rPr>
                <w:sz w:val="8"/>
                <w:szCs w:val="8"/>
                <w:color w:val="auto"/>
              </w:rPr>
            </w:pPr>
          </w:p>
        </w:tc>
        <w:tc>
          <w:tcPr>
            <w:tcW w:w="5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60" w:type="dxa"/>
            <w:vAlign w:val="bottom"/>
            <w:tcBorders>
              <w:bottom w:val="single" w:sz="8" w:color="0000EE"/>
            </w:tcBorders>
            <w:gridSpan w:val="10"/>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770" w:type="dxa"/>
            <w:vAlign w:val="bottom"/>
            <w:gridSpan w:val="11"/>
            <w:vMerge w:val="continue"/>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0"/>
                <w:szCs w:val="20"/>
                <w:color w:val="auto"/>
              </w:rPr>
            </w:pPr>
            <w:r>
              <w:rPr>
                <w:rFonts w:ascii="Arial" w:cs="Arial" w:eastAsia="Arial" w:hAnsi="Arial"/>
                <w:sz w:val="16"/>
                <w:szCs w:val="16"/>
                <w:color w:val="auto"/>
              </w:rPr>
              <w:t>10.4</w:t>
            </w:r>
          </w:p>
        </w:tc>
        <w:tc>
          <w:tcPr>
            <w:tcW w:w="10040" w:type="dxa"/>
            <w:vAlign w:val="bottom"/>
            <w:gridSpan w:val="30"/>
          </w:tcPr>
          <w:p>
            <w:pPr>
              <w:spacing w:after="0"/>
              <w:rPr>
                <w:rFonts w:ascii="Arial" w:cs="Arial" w:eastAsia="Arial" w:hAnsi="Arial"/>
                <w:sz w:val="16"/>
                <w:szCs w:val="16"/>
                <w:color w:val="auto"/>
              </w:rPr>
            </w:pPr>
            <w:hyperlink r:id="rId235">
              <w:r>
                <w:rPr>
                  <w:rFonts w:ascii="Arial" w:cs="Arial" w:eastAsia="Arial" w:hAnsi="Arial"/>
                  <w:sz w:val="16"/>
                  <w:szCs w:val="16"/>
                  <w:color w:val="auto"/>
                </w:rPr>
                <w:t>Form of Restricted Stock Agreement filed as Exhibit 10.8 to the Company’s Quarterly Report on Form 10-Q for the quarter ended June 30,</w:t>
              </w:r>
            </w:hyperlink>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920" w:type="dxa"/>
            <w:vAlign w:val="bottom"/>
            <w:gridSpan w:val="12"/>
            <w:vMerge w:val="restart"/>
          </w:tcPr>
          <w:p>
            <w:pPr>
              <w:spacing w:after="0" w:line="175" w:lineRule="exact"/>
              <w:rPr>
                <w:rFonts w:ascii="Arial" w:cs="Arial" w:eastAsia="Arial" w:hAnsi="Arial"/>
                <w:sz w:val="16"/>
                <w:szCs w:val="16"/>
                <w:color w:val="auto"/>
              </w:rPr>
            </w:pPr>
            <w:hyperlink r:id="rId235">
              <w:r>
                <w:rPr>
                  <w:rFonts w:ascii="Arial" w:cs="Arial" w:eastAsia="Arial" w:hAnsi="Arial"/>
                  <w:sz w:val="16"/>
                  <w:szCs w:val="16"/>
                  <w:color w:val="auto"/>
                </w:rPr>
                <w:t>2010, filed with the Commission on August 6, 2010 (File No. 001-12984) and incorporated herein 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35">
              <w:r>
                <w:rPr>
                  <w:rFonts w:ascii="Arial" w:cs="Arial" w:eastAsia="Arial" w:hAnsi="Arial"/>
                  <w:sz w:val="8"/>
                  <w:szCs w:val="8"/>
                  <w:color w:val="auto"/>
                </w:rPr>
                <w:t>(1)</w:t>
              </w:r>
            </w:hyperlink>
          </w:p>
        </w:tc>
        <w:tc>
          <w:tcPr>
            <w:tcW w:w="1840" w:type="dxa"/>
            <w:vAlign w:val="bottom"/>
            <w:gridSpan w:val="13"/>
            <w:vMerge w:val="restart"/>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920" w:type="dxa"/>
            <w:vAlign w:val="bottom"/>
            <w:tcBorders>
              <w:bottom w:val="single" w:sz="8" w:color="0000EE"/>
            </w:tcBorders>
            <w:gridSpan w:val="12"/>
            <w:vMerge w:val="continue"/>
          </w:tcPr>
          <w:p>
            <w:pPr>
              <w:spacing w:after="0"/>
              <w:rPr>
                <w:sz w:val="5"/>
                <w:szCs w:val="5"/>
                <w:color w:val="auto"/>
              </w:rPr>
            </w:pPr>
          </w:p>
        </w:tc>
        <w:tc>
          <w:tcPr>
            <w:tcW w:w="160" w:type="dxa"/>
            <w:vAlign w:val="bottom"/>
          </w:tcPr>
          <w:p>
            <w:pPr>
              <w:spacing w:after="0"/>
              <w:rPr>
                <w:sz w:val="5"/>
                <w:szCs w:val="5"/>
                <w:color w:val="auto"/>
              </w:rPr>
            </w:pPr>
          </w:p>
        </w:tc>
        <w:tc>
          <w:tcPr>
            <w:tcW w:w="1840" w:type="dxa"/>
            <w:vAlign w:val="bottom"/>
            <w:gridSpan w:val="13"/>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10.6</w:t>
            </w:r>
          </w:p>
        </w:tc>
        <w:tc>
          <w:tcPr>
            <w:tcW w:w="10040" w:type="dxa"/>
            <w:vAlign w:val="bottom"/>
            <w:gridSpan w:val="30"/>
          </w:tcPr>
          <w:p>
            <w:pPr>
              <w:spacing w:after="0"/>
              <w:rPr>
                <w:rFonts w:ascii="Arial" w:cs="Arial" w:eastAsia="Arial" w:hAnsi="Arial"/>
                <w:sz w:val="16"/>
                <w:szCs w:val="16"/>
                <w:color w:val="auto"/>
              </w:rPr>
            </w:pPr>
            <w:hyperlink r:id="rId236">
              <w:r>
                <w:rPr>
                  <w:rFonts w:ascii="Arial" w:cs="Arial" w:eastAsia="Arial" w:hAnsi="Arial"/>
                  <w:sz w:val="16"/>
                  <w:szCs w:val="16"/>
                  <w:color w:val="auto"/>
                </w:rPr>
                <w:t>Form of Non-Qualified Stock Option Agreement for Non-Employee Directors filed as Exhibit 10.7 to the Company’s Quarterly Report on</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20" w:type="dxa"/>
            <w:vAlign w:val="bottom"/>
            <w:tcBorders>
              <w:top w:val="single" w:sz="8" w:color="0000EE"/>
            </w:tcBorders>
            <w:gridSpan w:val="22"/>
          </w:tcPr>
          <w:p>
            <w:pPr>
              <w:spacing w:after="0" w:line="129" w:lineRule="exact"/>
              <w:rPr>
                <w:rFonts w:ascii="Arial" w:cs="Arial" w:eastAsia="Arial" w:hAnsi="Arial"/>
                <w:sz w:val="14"/>
                <w:szCs w:val="14"/>
                <w:color w:val="auto"/>
              </w:rPr>
            </w:pPr>
            <w:hyperlink r:id="rId236">
              <w:r>
                <w:rPr>
                  <w:rFonts w:ascii="Arial" w:cs="Arial" w:eastAsia="Arial" w:hAnsi="Arial"/>
                  <w:sz w:val="14"/>
                  <w:szCs w:val="14"/>
                  <w:color w:val="auto"/>
                </w:rPr>
                <w:t>Form 10-Q for the quarter ended September 30, 2012, filed with the Commission on November 8, 2012 (File No. 001-12984) and</w:t>
              </w:r>
            </w:hyperlink>
          </w:p>
        </w:tc>
        <w:tc>
          <w:tcPr>
            <w:tcW w:w="6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5"/>
            <w:vMerge w:val="restart"/>
          </w:tcPr>
          <w:p>
            <w:pPr>
              <w:spacing w:after="0" w:line="175" w:lineRule="exact"/>
              <w:rPr>
                <w:rFonts w:ascii="Arial" w:cs="Arial" w:eastAsia="Arial" w:hAnsi="Arial"/>
                <w:sz w:val="16"/>
                <w:szCs w:val="16"/>
                <w:color w:val="auto"/>
              </w:rPr>
            </w:pPr>
            <w:hyperlink r:id="rId236">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36">
              <w:r>
                <w:rPr>
                  <w:rFonts w:ascii="Arial" w:cs="Arial" w:eastAsia="Arial" w:hAnsi="Arial"/>
                  <w:sz w:val="8"/>
                  <w:szCs w:val="8"/>
                  <w:color w:val="auto"/>
                </w:rPr>
                <w:t>(1)</w:t>
              </w:r>
            </w:hyperlink>
          </w:p>
        </w:tc>
        <w:tc>
          <w:tcPr>
            <w:tcW w:w="6720" w:type="dxa"/>
            <w:vAlign w:val="bottom"/>
            <w:gridSpan w:val="10"/>
            <w:vMerge w:val="restart"/>
          </w:tcPr>
          <w:p>
            <w:pPr>
              <w:spacing w:after="0"/>
              <w:rPr>
                <w:sz w:val="8"/>
                <w:szCs w:val="8"/>
                <w:color w:val="auto"/>
              </w:rPr>
            </w:pPr>
          </w:p>
        </w:tc>
        <w:tc>
          <w:tcPr>
            <w:tcW w:w="32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70" w:type="dxa"/>
            <w:vAlign w:val="bottom"/>
          </w:tcPr>
          <w:p>
            <w:pPr>
              <w:spacing w:after="0"/>
              <w:rPr>
                <w:sz w:val="8"/>
                <w:szCs w:val="8"/>
                <w:color w:val="auto"/>
              </w:rPr>
            </w:pPr>
          </w:p>
        </w:tc>
        <w:tc>
          <w:tcPr>
            <w:tcW w:w="5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6720" w:type="dxa"/>
            <w:vAlign w:val="bottom"/>
            <w:gridSpan w:val="10"/>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 w:type="dxa"/>
            <w:vAlign w:val="bottom"/>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10.7</w:t>
            </w:r>
          </w:p>
        </w:tc>
        <w:tc>
          <w:tcPr>
            <w:tcW w:w="10040" w:type="dxa"/>
            <w:vAlign w:val="bottom"/>
            <w:gridSpan w:val="30"/>
          </w:tcPr>
          <w:p>
            <w:pPr>
              <w:spacing w:after="0"/>
              <w:rPr>
                <w:rFonts w:ascii="Arial" w:cs="Arial" w:eastAsia="Arial" w:hAnsi="Arial"/>
                <w:sz w:val="16"/>
                <w:szCs w:val="16"/>
                <w:color w:val="auto"/>
              </w:rPr>
            </w:pPr>
            <w:hyperlink r:id="rId237">
              <w:r>
                <w:rPr>
                  <w:rFonts w:ascii="Arial" w:cs="Arial" w:eastAsia="Arial" w:hAnsi="Arial"/>
                  <w:sz w:val="16"/>
                  <w:szCs w:val="16"/>
                  <w:color w:val="auto"/>
                </w:rPr>
                <w:t>Form of Non-Qualified Stock Option Agreement for Senior Executives filed as Exhibit 10.2 to the Company’s Quarterly Report on Form 10-</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9940" w:type="dxa"/>
            <w:vAlign w:val="bottom"/>
            <w:tcBorders>
              <w:top w:val="single" w:sz="8" w:color="0000EE"/>
            </w:tcBorders>
            <w:gridSpan w:val="27"/>
          </w:tcPr>
          <w:p>
            <w:pPr>
              <w:spacing w:after="0" w:line="129" w:lineRule="exact"/>
              <w:rPr>
                <w:rFonts w:ascii="Arial" w:cs="Arial" w:eastAsia="Arial" w:hAnsi="Arial"/>
                <w:sz w:val="14"/>
                <w:szCs w:val="14"/>
                <w:color w:val="auto"/>
              </w:rPr>
            </w:pPr>
            <w:hyperlink r:id="rId237">
              <w:r>
                <w:rPr>
                  <w:rFonts w:ascii="Arial" w:cs="Arial" w:eastAsia="Arial" w:hAnsi="Arial"/>
                  <w:sz w:val="14"/>
                  <w:szCs w:val="14"/>
                  <w:color w:val="auto"/>
                </w:rPr>
                <w:t>Q for the quarter ended September 30, 2013, filed with the Commission on November 7, 2013 (File No. 001-12984) and incorporated herein</w:t>
              </w:r>
            </w:hyperlink>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3"/>
            <w:vMerge w:val="restart"/>
          </w:tcPr>
          <w:p>
            <w:pPr>
              <w:spacing w:after="0" w:line="175" w:lineRule="exact"/>
              <w:rPr>
                <w:rFonts w:ascii="Arial" w:cs="Arial" w:eastAsia="Arial" w:hAnsi="Arial"/>
                <w:sz w:val="16"/>
                <w:szCs w:val="16"/>
                <w:color w:val="auto"/>
                <w:w w:val="98"/>
              </w:rPr>
            </w:pPr>
            <w:hyperlink r:id="rId237">
              <w:r>
                <w:rPr>
                  <w:rFonts w:ascii="Arial" w:cs="Arial" w:eastAsia="Arial" w:hAnsi="Arial"/>
                  <w:sz w:val="16"/>
                  <w:szCs w:val="16"/>
                  <w:color w:val="auto"/>
                  <w:w w:val="98"/>
                </w:rPr>
                <w:t>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37">
              <w:r>
                <w:rPr>
                  <w:rFonts w:ascii="Arial" w:cs="Arial" w:eastAsia="Arial" w:hAnsi="Arial"/>
                  <w:sz w:val="8"/>
                  <w:szCs w:val="8"/>
                  <w:color w:val="auto"/>
                </w:rPr>
                <w:t>(1)</w:t>
              </w:r>
            </w:hyperlink>
          </w:p>
        </w:tc>
        <w:tc>
          <w:tcPr>
            <w:tcW w:w="8920" w:type="dxa"/>
            <w:vAlign w:val="bottom"/>
            <w:gridSpan w:val="25"/>
            <w:vMerge w:val="restart"/>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92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10.8</w:t>
            </w:r>
          </w:p>
        </w:tc>
        <w:tc>
          <w:tcPr>
            <w:tcW w:w="10040" w:type="dxa"/>
            <w:vAlign w:val="bottom"/>
            <w:gridSpan w:val="30"/>
          </w:tcPr>
          <w:p>
            <w:pPr>
              <w:spacing w:after="0"/>
              <w:rPr>
                <w:rFonts w:ascii="Arial" w:cs="Arial" w:eastAsia="Arial" w:hAnsi="Arial"/>
                <w:sz w:val="16"/>
                <w:szCs w:val="16"/>
                <w:color w:val="auto"/>
              </w:rPr>
            </w:pPr>
            <w:hyperlink r:id="rId238">
              <w:r>
                <w:rPr>
                  <w:rFonts w:ascii="Arial" w:cs="Arial" w:eastAsia="Arial" w:hAnsi="Arial"/>
                  <w:sz w:val="16"/>
                  <w:szCs w:val="16"/>
                  <w:color w:val="auto"/>
                </w:rPr>
                <w:t>Form of Restricted Stock Agreement for Non-Employee Directors filed as Exhibit 10.5 to the Company’s Quarterly Report on Form 10-Q for</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0" w:type="dxa"/>
            <w:vAlign w:val="bottom"/>
            <w:tcBorders>
              <w:top w:val="single" w:sz="8" w:color="0000EE"/>
            </w:tcBorders>
            <w:gridSpan w:val="28"/>
          </w:tcPr>
          <w:p>
            <w:pPr>
              <w:spacing w:after="0" w:line="129" w:lineRule="exact"/>
              <w:rPr>
                <w:rFonts w:ascii="Arial" w:cs="Arial" w:eastAsia="Arial" w:hAnsi="Arial"/>
                <w:sz w:val="14"/>
                <w:szCs w:val="14"/>
                <w:color w:val="auto"/>
              </w:rPr>
            </w:pPr>
            <w:hyperlink r:id="rId238">
              <w:r>
                <w:rPr>
                  <w:rFonts w:ascii="Arial" w:cs="Arial" w:eastAsia="Arial" w:hAnsi="Arial"/>
                  <w:sz w:val="14"/>
                  <w:szCs w:val="14"/>
                  <w:color w:val="auto"/>
                </w:rPr>
                <w:t>the quarter ended September 30, 2013, filed with the Commission on November 7, 2013 (File No. 001-12984) and incorporated herein by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tcPr>
          <w:p>
            <w:pPr>
              <w:spacing w:after="0" w:line="175" w:lineRule="exact"/>
              <w:rPr>
                <w:rFonts w:ascii="Arial" w:cs="Arial" w:eastAsia="Arial" w:hAnsi="Arial"/>
                <w:sz w:val="16"/>
                <w:szCs w:val="16"/>
                <w:color w:val="auto"/>
                <w:w w:val="97"/>
              </w:rPr>
            </w:pPr>
            <w:hyperlink r:id="rId238">
              <w:r>
                <w:rPr>
                  <w:rFonts w:ascii="Arial" w:cs="Arial" w:eastAsia="Arial" w:hAnsi="Arial"/>
                  <w:sz w:val="16"/>
                  <w:szCs w:val="16"/>
                  <w:color w:val="auto"/>
                  <w:w w:val="97"/>
                </w:rPr>
                <w:t>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38">
              <w:r>
                <w:rPr>
                  <w:rFonts w:ascii="Arial" w:cs="Arial" w:eastAsia="Arial" w:hAnsi="Arial"/>
                  <w:sz w:val="8"/>
                  <w:szCs w:val="8"/>
                  <w:color w:val="auto"/>
                </w:rPr>
                <w:t>(1)</w:t>
              </w:r>
            </w:hyperlink>
          </w:p>
        </w:tc>
        <w:tc>
          <w:tcPr>
            <w:tcW w:w="8970" w:type="dxa"/>
            <w:vAlign w:val="bottom"/>
            <w:gridSpan w:val="22"/>
            <w:vMerge w:val="restart"/>
          </w:tcPr>
          <w:p>
            <w:pPr>
              <w:spacing w:after="0"/>
              <w:rPr>
                <w:sz w:val="8"/>
                <w:szCs w:val="8"/>
                <w:color w:val="auto"/>
              </w:rPr>
            </w:pPr>
          </w:p>
        </w:tc>
        <w:tc>
          <w:tcPr>
            <w:tcW w:w="50" w:type="dxa"/>
            <w:vAlign w:val="bottom"/>
          </w:tcPr>
          <w:p>
            <w:pPr>
              <w:spacing w:after="0"/>
              <w:rPr>
                <w:sz w:val="8"/>
                <w:szCs w:val="8"/>
                <w:color w:val="auto"/>
              </w:rPr>
            </w:pPr>
          </w:p>
        </w:tc>
        <w:tc>
          <w:tcPr>
            <w:tcW w:w="12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8970" w:type="dxa"/>
            <w:vAlign w:val="bottom"/>
            <w:gridSpan w:val="22"/>
            <w:vMerge w:val="continue"/>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10.9</w:t>
            </w:r>
          </w:p>
        </w:tc>
        <w:tc>
          <w:tcPr>
            <w:tcW w:w="10040" w:type="dxa"/>
            <w:vAlign w:val="bottom"/>
            <w:gridSpan w:val="30"/>
          </w:tcPr>
          <w:p>
            <w:pPr>
              <w:spacing w:after="0"/>
              <w:rPr>
                <w:rFonts w:ascii="Arial" w:cs="Arial" w:eastAsia="Arial" w:hAnsi="Arial"/>
                <w:sz w:val="16"/>
                <w:szCs w:val="16"/>
                <w:color w:val="auto"/>
              </w:rPr>
            </w:pPr>
            <w:hyperlink r:id="rId239">
              <w:r>
                <w:rPr>
                  <w:rFonts w:ascii="Arial" w:cs="Arial" w:eastAsia="Arial" w:hAnsi="Arial"/>
                  <w:sz w:val="16"/>
                  <w:szCs w:val="16"/>
                  <w:color w:val="auto"/>
                </w:rPr>
                <w:t>Form of Non-Qualified Stock Option Agreement for Senior Executives filed as Exhibit 10.2 to the Company’s Quarterly Report on Form 10-</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9940" w:type="dxa"/>
            <w:vAlign w:val="bottom"/>
            <w:tcBorders>
              <w:top w:val="single" w:sz="8" w:color="0000EE"/>
            </w:tcBorders>
            <w:gridSpan w:val="27"/>
          </w:tcPr>
          <w:p>
            <w:pPr>
              <w:spacing w:after="0" w:line="142" w:lineRule="exact"/>
              <w:rPr>
                <w:rFonts w:ascii="Arial" w:cs="Arial" w:eastAsia="Arial" w:hAnsi="Arial"/>
                <w:sz w:val="16"/>
                <w:szCs w:val="16"/>
                <w:color w:val="auto"/>
              </w:rPr>
            </w:pPr>
            <w:hyperlink r:id="rId239">
              <w:r>
                <w:rPr>
                  <w:rFonts w:ascii="Arial" w:cs="Arial" w:eastAsia="Arial" w:hAnsi="Arial"/>
                  <w:sz w:val="16"/>
                  <w:szCs w:val="16"/>
                  <w:color w:val="auto"/>
                </w:rPr>
                <w:t>Q for the quarter ended September 30, 2014, filed with the Commission on November 5, 2014 (File No. 001-12984) and incorporated herein</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gridSpan w:val="3"/>
            <w:vMerge w:val="restart"/>
          </w:tcPr>
          <w:p>
            <w:pPr>
              <w:spacing w:after="0" w:line="162" w:lineRule="exact"/>
              <w:rPr>
                <w:rFonts w:ascii="Arial" w:cs="Arial" w:eastAsia="Arial" w:hAnsi="Arial"/>
                <w:sz w:val="16"/>
                <w:szCs w:val="16"/>
                <w:color w:val="auto"/>
                <w:w w:val="98"/>
              </w:rPr>
            </w:pPr>
            <w:hyperlink r:id="rId239">
              <w:r>
                <w:rPr>
                  <w:rFonts w:ascii="Arial" w:cs="Arial" w:eastAsia="Arial" w:hAnsi="Arial"/>
                  <w:sz w:val="16"/>
                  <w:szCs w:val="16"/>
                  <w:color w:val="auto"/>
                  <w:w w:val="98"/>
                </w:rPr>
                <w:t>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39">
              <w:r>
                <w:rPr>
                  <w:rFonts w:ascii="Arial" w:cs="Arial" w:eastAsia="Arial" w:hAnsi="Arial"/>
                  <w:sz w:val="7"/>
                  <w:szCs w:val="7"/>
                  <w:color w:val="auto"/>
                </w:rPr>
                <w:t>(1)</w:t>
              </w:r>
            </w:hyperlink>
          </w:p>
        </w:tc>
        <w:tc>
          <w:tcPr>
            <w:tcW w:w="8920" w:type="dxa"/>
            <w:vAlign w:val="bottom"/>
            <w:gridSpan w:val="25"/>
            <w:vMerge w:val="restart"/>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92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1180" w:type="dxa"/>
            <w:vAlign w:val="bottom"/>
          </w:tcPr>
          <w:p>
            <w:pPr>
              <w:spacing w:after="0"/>
              <w:rPr>
                <w:sz w:val="20"/>
                <w:szCs w:val="20"/>
                <w:color w:val="auto"/>
              </w:rPr>
            </w:pPr>
            <w:r>
              <w:rPr>
                <w:rFonts w:ascii="Arial" w:cs="Arial" w:eastAsia="Arial" w:hAnsi="Arial"/>
                <w:sz w:val="16"/>
                <w:szCs w:val="16"/>
                <w:color w:val="auto"/>
              </w:rPr>
              <w:t>10.9(a)</w:t>
            </w:r>
          </w:p>
        </w:tc>
        <w:tc>
          <w:tcPr>
            <w:tcW w:w="10040" w:type="dxa"/>
            <w:vAlign w:val="bottom"/>
            <w:gridSpan w:val="30"/>
          </w:tcPr>
          <w:p>
            <w:pPr>
              <w:spacing w:after="0"/>
              <w:rPr>
                <w:rFonts w:ascii="Arial" w:cs="Arial" w:eastAsia="Arial" w:hAnsi="Arial"/>
                <w:sz w:val="16"/>
                <w:szCs w:val="16"/>
                <w:color w:val="auto"/>
              </w:rPr>
            </w:pPr>
            <w:hyperlink r:id="rId240">
              <w:r>
                <w:rPr>
                  <w:rFonts w:ascii="Arial" w:cs="Arial" w:eastAsia="Arial" w:hAnsi="Arial"/>
                  <w:sz w:val="16"/>
                  <w:szCs w:val="16"/>
                  <w:color w:val="auto"/>
                </w:rPr>
                <w:t>Form of Non-Qualified Stock Option Agreement for Non-Employee Directors filed as Exhibit 10.4 to the Company’s Quarterly Report on</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EE"/>
            </w:tcBorders>
            <w:gridSpan w:val="22"/>
          </w:tcPr>
          <w:p>
            <w:pPr>
              <w:spacing w:after="0" w:line="142" w:lineRule="exact"/>
              <w:rPr>
                <w:rFonts w:ascii="Arial" w:cs="Arial" w:eastAsia="Arial" w:hAnsi="Arial"/>
                <w:sz w:val="16"/>
                <w:szCs w:val="16"/>
                <w:color w:val="auto"/>
              </w:rPr>
            </w:pPr>
            <w:hyperlink r:id="rId240">
              <w:r>
                <w:rPr>
                  <w:rFonts w:ascii="Arial" w:cs="Arial" w:eastAsia="Arial" w:hAnsi="Arial"/>
                  <w:sz w:val="16"/>
                  <w:szCs w:val="16"/>
                  <w:color w:val="auto"/>
                </w:rPr>
                <w:t>Form 10-Q for the quarter ended September 30, 2014, filed with the Commission on November 5, 2014 (File No. 001-12984) and</w:t>
              </w:r>
            </w:hyperlink>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gridSpan w:val="5"/>
            <w:vMerge w:val="restart"/>
          </w:tcPr>
          <w:p>
            <w:pPr>
              <w:spacing w:after="0" w:line="162" w:lineRule="exact"/>
              <w:rPr>
                <w:rFonts w:ascii="Arial" w:cs="Arial" w:eastAsia="Arial" w:hAnsi="Arial"/>
                <w:sz w:val="16"/>
                <w:szCs w:val="16"/>
                <w:color w:val="auto"/>
              </w:rPr>
            </w:pPr>
            <w:hyperlink r:id="rId240">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40">
              <w:r>
                <w:rPr>
                  <w:rFonts w:ascii="Arial" w:cs="Arial" w:eastAsia="Arial" w:hAnsi="Arial"/>
                  <w:sz w:val="7"/>
                  <w:szCs w:val="7"/>
                  <w:color w:val="auto"/>
                </w:rPr>
                <w:t>(1)</w:t>
              </w:r>
            </w:hyperlink>
          </w:p>
        </w:tc>
        <w:tc>
          <w:tcPr>
            <w:tcW w:w="6720" w:type="dxa"/>
            <w:vAlign w:val="bottom"/>
            <w:gridSpan w:val="10"/>
            <w:vMerge w:val="restart"/>
          </w:tcPr>
          <w:p>
            <w:pPr>
              <w:spacing w:after="0"/>
              <w:rPr>
                <w:sz w:val="7"/>
                <w:szCs w:val="7"/>
                <w:color w:val="auto"/>
              </w:rPr>
            </w:pPr>
          </w:p>
        </w:tc>
        <w:tc>
          <w:tcPr>
            <w:tcW w:w="320" w:type="dxa"/>
            <w:vAlign w:val="bottom"/>
            <w:gridSpan w:val="3"/>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gridSpan w:val="3"/>
          </w:tcPr>
          <w:p>
            <w:pPr>
              <w:spacing w:after="0"/>
              <w:rPr>
                <w:sz w:val="7"/>
                <w:szCs w:val="7"/>
                <w:color w:val="auto"/>
              </w:rPr>
            </w:pPr>
          </w:p>
        </w:tc>
        <w:tc>
          <w:tcPr>
            <w:tcW w:w="120" w:type="dxa"/>
            <w:vAlign w:val="bottom"/>
            <w:gridSpan w:val="2"/>
          </w:tcPr>
          <w:p>
            <w:pPr>
              <w:spacing w:after="0"/>
              <w:rPr>
                <w:sz w:val="7"/>
                <w:szCs w:val="7"/>
                <w:color w:val="auto"/>
              </w:rPr>
            </w:pPr>
          </w:p>
        </w:tc>
        <w:tc>
          <w:tcPr>
            <w:tcW w:w="12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6720" w:type="dxa"/>
            <w:vAlign w:val="bottom"/>
            <w:gridSpan w:val="10"/>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 w:type="dxa"/>
            <w:vAlign w:val="bottom"/>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10.9(b)</w:t>
            </w:r>
          </w:p>
        </w:tc>
        <w:tc>
          <w:tcPr>
            <w:tcW w:w="10040" w:type="dxa"/>
            <w:vAlign w:val="bottom"/>
            <w:gridSpan w:val="30"/>
          </w:tcPr>
          <w:p>
            <w:pPr>
              <w:spacing w:after="0"/>
              <w:rPr>
                <w:rFonts w:ascii="Arial" w:cs="Arial" w:eastAsia="Arial" w:hAnsi="Arial"/>
                <w:sz w:val="16"/>
                <w:szCs w:val="16"/>
                <w:color w:val="auto"/>
              </w:rPr>
            </w:pPr>
            <w:hyperlink r:id="rId241">
              <w:r>
                <w:rPr>
                  <w:rFonts w:ascii="Arial" w:cs="Arial" w:eastAsia="Arial" w:hAnsi="Arial"/>
                  <w:sz w:val="16"/>
                  <w:szCs w:val="16"/>
                  <w:color w:val="auto"/>
                </w:rPr>
                <w:t>Form of Restricted Stock Agreement for Non-Employee Directors filed as Exhibit 10.5 to the Company’s Quarterly Report on Form 10-Q for</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EE"/>
            </w:tcBorders>
            <w:gridSpan w:val="28"/>
          </w:tcPr>
          <w:p>
            <w:pPr>
              <w:spacing w:after="0" w:line="142" w:lineRule="exact"/>
              <w:rPr>
                <w:rFonts w:ascii="Arial" w:cs="Arial" w:eastAsia="Arial" w:hAnsi="Arial"/>
                <w:sz w:val="16"/>
                <w:szCs w:val="16"/>
                <w:color w:val="auto"/>
              </w:rPr>
            </w:pPr>
            <w:hyperlink r:id="rId241">
              <w:r>
                <w:rPr>
                  <w:rFonts w:ascii="Arial" w:cs="Arial" w:eastAsia="Arial" w:hAnsi="Arial"/>
                  <w:sz w:val="16"/>
                  <w:szCs w:val="16"/>
                  <w:color w:val="auto"/>
                </w:rPr>
                <w:t>the quarter ended September 30, 2014, filed with the Commission on November 5, 2014 (File No. 001-12984) and incorporated herein by</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restart"/>
          </w:tcPr>
          <w:p>
            <w:pPr>
              <w:spacing w:after="0" w:line="162" w:lineRule="exact"/>
              <w:rPr>
                <w:rFonts w:ascii="Arial" w:cs="Arial" w:eastAsia="Arial" w:hAnsi="Arial"/>
                <w:sz w:val="16"/>
                <w:szCs w:val="16"/>
                <w:color w:val="auto"/>
                <w:w w:val="97"/>
              </w:rPr>
            </w:pPr>
            <w:hyperlink r:id="rId241">
              <w:r>
                <w:rPr>
                  <w:rFonts w:ascii="Arial" w:cs="Arial" w:eastAsia="Arial" w:hAnsi="Arial"/>
                  <w:sz w:val="16"/>
                  <w:szCs w:val="16"/>
                  <w:color w:val="auto"/>
                  <w:w w:val="97"/>
                </w:rPr>
                <w:t>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41">
              <w:r>
                <w:rPr>
                  <w:rFonts w:ascii="Arial" w:cs="Arial" w:eastAsia="Arial" w:hAnsi="Arial"/>
                  <w:sz w:val="7"/>
                  <w:szCs w:val="7"/>
                  <w:color w:val="auto"/>
                </w:rPr>
                <w:t>(1)</w:t>
              </w:r>
            </w:hyperlink>
          </w:p>
        </w:tc>
        <w:tc>
          <w:tcPr>
            <w:tcW w:w="8970" w:type="dxa"/>
            <w:vAlign w:val="bottom"/>
            <w:gridSpan w:val="22"/>
            <w:vMerge w:val="restart"/>
          </w:tcPr>
          <w:p>
            <w:pPr>
              <w:spacing w:after="0"/>
              <w:rPr>
                <w:sz w:val="7"/>
                <w:szCs w:val="7"/>
                <w:color w:val="auto"/>
              </w:rPr>
            </w:pPr>
          </w:p>
        </w:tc>
        <w:tc>
          <w:tcPr>
            <w:tcW w:w="50" w:type="dxa"/>
            <w:vAlign w:val="bottom"/>
          </w:tcPr>
          <w:p>
            <w:pPr>
              <w:spacing w:after="0"/>
              <w:rPr>
                <w:sz w:val="7"/>
                <w:szCs w:val="7"/>
                <w:color w:val="auto"/>
              </w:rPr>
            </w:pPr>
          </w:p>
        </w:tc>
        <w:tc>
          <w:tcPr>
            <w:tcW w:w="12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8970" w:type="dxa"/>
            <w:vAlign w:val="bottom"/>
            <w:gridSpan w:val="22"/>
            <w:vMerge w:val="continue"/>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10.10</w:t>
            </w:r>
          </w:p>
        </w:tc>
        <w:tc>
          <w:tcPr>
            <w:tcW w:w="10040" w:type="dxa"/>
            <w:vAlign w:val="bottom"/>
            <w:gridSpan w:val="30"/>
          </w:tcPr>
          <w:p>
            <w:pPr>
              <w:spacing w:after="0"/>
              <w:rPr>
                <w:rFonts w:ascii="Arial" w:cs="Arial" w:eastAsia="Arial" w:hAnsi="Arial"/>
                <w:sz w:val="16"/>
                <w:szCs w:val="16"/>
                <w:color w:val="auto"/>
              </w:rPr>
            </w:pPr>
            <w:hyperlink r:id="rId242">
              <w:r>
                <w:rPr>
                  <w:rFonts w:ascii="Arial" w:cs="Arial" w:eastAsia="Arial" w:hAnsi="Arial"/>
                  <w:sz w:val="16"/>
                  <w:szCs w:val="16"/>
                  <w:color w:val="auto"/>
                </w:rPr>
                <w:t>Form of Non-Qualified Stock Option Agreement for Senior Executives filed as Exhibit 10.6 to the Company’s Quarterly Report on Form 10-</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9920" w:type="dxa"/>
            <w:vAlign w:val="bottom"/>
            <w:tcBorders>
              <w:top w:val="single" w:sz="8" w:color="0000EE"/>
            </w:tcBorders>
            <w:gridSpan w:val="26"/>
          </w:tcPr>
          <w:p>
            <w:pPr>
              <w:spacing w:after="0" w:line="142" w:lineRule="exact"/>
              <w:rPr>
                <w:rFonts w:ascii="Arial" w:cs="Arial" w:eastAsia="Arial" w:hAnsi="Arial"/>
                <w:sz w:val="16"/>
                <w:szCs w:val="16"/>
                <w:color w:val="auto"/>
              </w:rPr>
            </w:pPr>
            <w:hyperlink r:id="rId242">
              <w:r>
                <w:rPr>
                  <w:rFonts w:ascii="Arial" w:cs="Arial" w:eastAsia="Arial" w:hAnsi="Arial"/>
                  <w:sz w:val="16"/>
                  <w:szCs w:val="16"/>
                  <w:color w:val="auto"/>
                </w:rPr>
                <w:t>Q for the quarter ended June 30, 2015, filed with the Commission on August 4, 2015 (File No. 001-12984) and incorporated herein by</w:t>
              </w:r>
            </w:hyperlink>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restart"/>
          </w:tcPr>
          <w:p>
            <w:pPr>
              <w:spacing w:after="0" w:line="162" w:lineRule="exact"/>
              <w:rPr>
                <w:rFonts w:ascii="Arial" w:cs="Arial" w:eastAsia="Arial" w:hAnsi="Arial"/>
                <w:sz w:val="16"/>
                <w:szCs w:val="16"/>
                <w:color w:val="auto"/>
                <w:w w:val="97"/>
              </w:rPr>
            </w:pPr>
            <w:hyperlink r:id="rId242">
              <w:r>
                <w:rPr>
                  <w:rFonts w:ascii="Arial" w:cs="Arial" w:eastAsia="Arial" w:hAnsi="Arial"/>
                  <w:sz w:val="16"/>
                  <w:szCs w:val="16"/>
                  <w:color w:val="auto"/>
                  <w:w w:val="97"/>
                </w:rPr>
                <w:t>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42">
              <w:r>
                <w:rPr>
                  <w:rFonts w:ascii="Arial" w:cs="Arial" w:eastAsia="Arial" w:hAnsi="Arial"/>
                  <w:sz w:val="7"/>
                  <w:szCs w:val="7"/>
                  <w:color w:val="auto"/>
                </w:rPr>
                <w:t>(1)</w:t>
              </w:r>
            </w:hyperlink>
          </w:p>
        </w:tc>
        <w:tc>
          <w:tcPr>
            <w:tcW w:w="8700" w:type="dxa"/>
            <w:vAlign w:val="bottom"/>
            <w:gridSpan w:val="17"/>
            <w:vMerge w:val="restart"/>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gridSpan w:val="3"/>
          </w:tcPr>
          <w:p>
            <w:pPr>
              <w:spacing w:after="0"/>
              <w:rPr>
                <w:sz w:val="7"/>
                <w:szCs w:val="7"/>
                <w:color w:val="auto"/>
              </w:rPr>
            </w:pPr>
          </w:p>
        </w:tc>
        <w:tc>
          <w:tcPr>
            <w:tcW w:w="240" w:type="dxa"/>
            <w:vAlign w:val="bottom"/>
            <w:gridSpan w:val="6"/>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8700" w:type="dxa"/>
            <w:vAlign w:val="bottom"/>
            <w:gridSpan w:val="17"/>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 w:type="dxa"/>
            <w:vAlign w:val="bottom"/>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10.10(a)</w:t>
            </w:r>
          </w:p>
        </w:tc>
        <w:tc>
          <w:tcPr>
            <w:tcW w:w="10040" w:type="dxa"/>
            <w:vAlign w:val="bottom"/>
            <w:gridSpan w:val="30"/>
          </w:tcPr>
          <w:p>
            <w:pPr>
              <w:spacing w:after="0"/>
              <w:rPr>
                <w:rFonts w:ascii="Arial" w:cs="Arial" w:eastAsia="Arial" w:hAnsi="Arial"/>
                <w:sz w:val="16"/>
                <w:szCs w:val="16"/>
                <w:color w:val="auto"/>
              </w:rPr>
            </w:pPr>
            <w:hyperlink r:id="rId243">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EE"/>
            </w:tcBorders>
            <w:gridSpan w:val="22"/>
          </w:tcPr>
          <w:p>
            <w:pPr>
              <w:spacing w:after="0" w:line="142" w:lineRule="exact"/>
              <w:rPr>
                <w:rFonts w:ascii="Arial" w:cs="Arial" w:eastAsia="Arial" w:hAnsi="Arial"/>
                <w:sz w:val="16"/>
                <w:szCs w:val="16"/>
                <w:color w:val="auto"/>
              </w:rPr>
            </w:pPr>
            <w:hyperlink r:id="rId243">
              <w:r>
                <w:rPr>
                  <w:rFonts w:ascii="Arial" w:cs="Arial" w:eastAsia="Arial" w:hAnsi="Arial"/>
                  <w:sz w:val="16"/>
                  <w:szCs w:val="16"/>
                  <w:color w:val="auto"/>
                </w:rPr>
                <w:t>Form 10-Q for the quarter ended September 30, 2015, filed with the Commission on October 27, 2015 (File No. 001-12984) and</w:t>
              </w:r>
            </w:hyperlink>
          </w:p>
        </w:tc>
        <w:tc>
          <w:tcPr>
            <w:tcW w:w="60" w:type="dxa"/>
            <w:vAlign w:val="bottom"/>
          </w:tcPr>
          <w:p>
            <w:pPr>
              <w:spacing w:after="0"/>
              <w:rPr>
                <w:sz w:val="12"/>
                <w:szCs w:val="12"/>
                <w:color w:val="auto"/>
              </w:rPr>
            </w:pPr>
          </w:p>
        </w:tc>
        <w:tc>
          <w:tcPr>
            <w:tcW w:w="2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gridSpan w:val="5"/>
            <w:vMerge w:val="restart"/>
          </w:tcPr>
          <w:p>
            <w:pPr>
              <w:spacing w:after="0" w:line="162" w:lineRule="exact"/>
              <w:rPr>
                <w:rFonts w:ascii="Arial" w:cs="Arial" w:eastAsia="Arial" w:hAnsi="Arial"/>
                <w:sz w:val="16"/>
                <w:szCs w:val="16"/>
                <w:color w:val="auto"/>
              </w:rPr>
            </w:pPr>
            <w:hyperlink r:id="rId243">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43">
              <w:r>
                <w:rPr>
                  <w:rFonts w:ascii="Arial" w:cs="Arial" w:eastAsia="Arial" w:hAnsi="Arial"/>
                  <w:sz w:val="7"/>
                  <w:szCs w:val="7"/>
                  <w:color w:val="auto"/>
                </w:rPr>
                <w:t>(1)</w:t>
              </w:r>
            </w:hyperlink>
          </w:p>
        </w:tc>
        <w:tc>
          <w:tcPr>
            <w:tcW w:w="6640" w:type="dxa"/>
            <w:vAlign w:val="bottom"/>
            <w:gridSpan w:val="9"/>
            <w:vMerge w:val="restart"/>
          </w:tcPr>
          <w:p>
            <w:pPr>
              <w:spacing w:after="0"/>
              <w:rPr>
                <w:sz w:val="7"/>
                <w:szCs w:val="7"/>
                <w:color w:val="auto"/>
              </w:rPr>
            </w:pPr>
          </w:p>
        </w:tc>
        <w:tc>
          <w:tcPr>
            <w:tcW w:w="500" w:type="dxa"/>
            <w:vAlign w:val="bottom"/>
            <w:gridSpan w:val="5"/>
          </w:tcPr>
          <w:p>
            <w:pPr>
              <w:spacing w:after="0"/>
              <w:rPr>
                <w:sz w:val="7"/>
                <w:szCs w:val="7"/>
                <w:color w:val="auto"/>
              </w:rPr>
            </w:pPr>
          </w:p>
        </w:tc>
        <w:tc>
          <w:tcPr>
            <w:tcW w:w="100" w:type="dxa"/>
            <w:vAlign w:val="bottom"/>
            <w:gridSpan w:val="3"/>
          </w:tcPr>
          <w:p>
            <w:pPr>
              <w:spacing w:after="0"/>
              <w:rPr>
                <w:sz w:val="7"/>
                <w:szCs w:val="7"/>
                <w:color w:val="auto"/>
              </w:rPr>
            </w:pPr>
          </w:p>
        </w:tc>
        <w:tc>
          <w:tcPr>
            <w:tcW w:w="240" w:type="dxa"/>
            <w:vAlign w:val="bottom"/>
            <w:gridSpan w:val="6"/>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664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 w:type="dxa"/>
            <w:vAlign w:val="bottom"/>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10.10(b)</w:t>
            </w:r>
          </w:p>
        </w:tc>
        <w:tc>
          <w:tcPr>
            <w:tcW w:w="10040" w:type="dxa"/>
            <w:vAlign w:val="bottom"/>
            <w:gridSpan w:val="30"/>
          </w:tcPr>
          <w:p>
            <w:pPr>
              <w:spacing w:after="0"/>
              <w:rPr>
                <w:rFonts w:ascii="Arial" w:cs="Arial" w:eastAsia="Arial" w:hAnsi="Arial"/>
                <w:sz w:val="16"/>
                <w:szCs w:val="16"/>
                <w:color w:val="auto"/>
              </w:rPr>
            </w:pPr>
            <w:hyperlink r:id="rId244">
              <w:r>
                <w:rPr>
                  <w:rFonts w:ascii="Arial" w:cs="Arial" w:eastAsia="Arial" w:hAnsi="Arial"/>
                  <w:sz w:val="16"/>
                  <w:szCs w:val="16"/>
                  <w:color w:val="auto"/>
                </w:rPr>
                <w:t>Form of Restricted Stock Agreement for Non-Employee Directors filed as Exhibit 10.3 to the Company’s Quarterly Report on Form 10-Q for</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EE"/>
            </w:tcBorders>
            <w:gridSpan w:val="28"/>
          </w:tcPr>
          <w:p>
            <w:pPr>
              <w:spacing w:after="0" w:line="142" w:lineRule="exact"/>
              <w:rPr>
                <w:rFonts w:ascii="Arial" w:cs="Arial" w:eastAsia="Arial" w:hAnsi="Arial"/>
                <w:sz w:val="16"/>
                <w:szCs w:val="16"/>
                <w:color w:val="auto"/>
              </w:rPr>
            </w:pPr>
            <w:hyperlink r:id="rId244">
              <w:r>
                <w:rPr>
                  <w:rFonts w:ascii="Arial" w:cs="Arial" w:eastAsia="Arial" w:hAnsi="Arial"/>
                  <w:sz w:val="16"/>
                  <w:szCs w:val="16"/>
                  <w:color w:val="auto"/>
                </w:rPr>
                <w:t>the quarter ended September 30, 2015, filed with the Commission on October 27, 2015 (File No. 001-12984) and incorporated herein by</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restart"/>
          </w:tcPr>
          <w:p>
            <w:pPr>
              <w:spacing w:after="0" w:line="162" w:lineRule="exact"/>
              <w:rPr>
                <w:rFonts w:ascii="Arial" w:cs="Arial" w:eastAsia="Arial" w:hAnsi="Arial"/>
                <w:sz w:val="16"/>
                <w:szCs w:val="16"/>
                <w:color w:val="auto"/>
                <w:w w:val="97"/>
              </w:rPr>
            </w:pPr>
            <w:hyperlink r:id="rId244">
              <w:r>
                <w:rPr>
                  <w:rFonts w:ascii="Arial" w:cs="Arial" w:eastAsia="Arial" w:hAnsi="Arial"/>
                  <w:sz w:val="16"/>
                  <w:szCs w:val="16"/>
                  <w:color w:val="auto"/>
                  <w:w w:val="97"/>
                </w:rPr>
                <w:t>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44">
              <w:r>
                <w:rPr>
                  <w:rFonts w:ascii="Arial" w:cs="Arial" w:eastAsia="Arial" w:hAnsi="Arial"/>
                  <w:sz w:val="7"/>
                  <w:szCs w:val="7"/>
                  <w:color w:val="auto"/>
                </w:rPr>
                <w:t>(1)</w:t>
              </w:r>
            </w:hyperlink>
          </w:p>
        </w:tc>
        <w:tc>
          <w:tcPr>
            <w:tcW w:w="8900" w:type="dxa"/>
            <w:vAlign w:val="bottom"/>
            <w:gridSpan w:val="21"/>
            <w:vMerge w:val="restart"/>
          </w:tcPr>
          <w:p>
            <w:pPr>
              <w:spacing w:after="0"/>
              <w:rPr>
                <w:sz w:val="7"/>
                <w:szCs w:val="7"/>
                <w:color w:val="auto"/>
              </w:rPr>
            </w:pPr>
          </w:p>
        </w:tc>
        <w:tc>
          <w:tcPr>
            <w:tcW w:w="240" w:type="dxa"/>
            <w:vAlign w:val="bottom"/>
            <w:gridSpan w:val="6"/>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0000EE"/>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8900" w:type="dxa"/>
            <w:vAlign w:val="bottom"/>
            <w:gridSpan w:val="21"/>
            <w:vMerge w:val="continue"/>
          </w:tcPr>
          <w:p>
            <w:pPr>
              <w:spacing w:after="0"/>
              <w:rPr>
                <w:sz w:val="5"/>
                <w:szCs w:val="5"/>
                <w:color w:val="auto"/>
              </w:rPr>
            </w:pPr>
          </w:p>
        </w:tc>
        <w:tc>
          <w:tcPr>
            <w:tcW w:w="70" w:type="dxa"/>
            <w:vAlign w:val="bottom"/>
          </w:tcPr>
          <w:p>
            <w:pPr>
              <w:spacing w:after="0"/>
              <w:rPr>
                <w:sz w:val="5"/>
                <w:szCs w:val="5"/>
                <w:color w:val="auto"/>
              </w:rPr>
            </w:pPr>
          </w:p>
        </w:tc>
        <w:tc>
          <w:tcPr>
            <w:tcW w:w="5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-4697095</wp:posOffset>
            </wp:positionV>
            <wp:extent cx="58362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583628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-4028440</wp:posOffset>
            </wp:positionV>
            <wp:extent cx="62585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625856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-3736975</wp:posOffset>
            </wp:positionV>
            <wp:extent cx="63106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631063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-3342640</wp:posOffset>
            </wp:positionV>
            <wp:extent cx="58896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588962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-2948305</wp:posOffset>
            </wp:positionV>
            <wp:extent cx="63614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636143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-2553970</wp:posOffset>
            </wp:positionV>
            <wp:extent cx="62674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6267450"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-2159635</wp:posOffset>
            </wp:positionV>
            <wp:extent cx="63614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636143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-1687830</wp:posOffset>
            </wp:positionV>
            <wp:extent cx="58896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588962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-1293495</wp:posOffset>
            </wp:positionV>
            <wp:extent cx="62674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6267450"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-899160</wp:posOffset>
            </wp:positionV>
            <wp:extent cx="60902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609028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-504825</wp:posOffset>
            </wp:positionV>
            <wp:extent cx="58381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583819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-110490</wp:posOffset>
            </wp:positionV>
            <wp:extent cx="62160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621601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36" w:right="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Arial" w:cs="Arial" w:eastAsia="Arial" w:hAnsi="Arial"/>
                <w:sz w:val="16"/>
                <w:szCs w:val="16"/>
                <w:color w:val="auto"/>
              </w:rPr>
              <w:t>10.11</w:t>
            </w:r>
          </w:p>
        </w:tc>
        <w:tc>
          <w:tcPr>
            <w:tcW w:w="10320" w:type="dxa"/>
            <w:vAlign w:val="bottom"/>
            <w:gridSpan w:val="19"/>
          </w:tcPr>
          <w:p>
            <w:pPr>
              <w:ind w:left="280"/>
              <w:spacing w:after="0"/>
              <w:rPr>
                <w:rFonts w:ascii="Arial" w:cs="Arial" w:eastAsia="Arial" w:hAnsi="Arial"/>
                <w:sz w:val="16"/>
                <w:szCs w:val="16"/>
                <w:color w:val="auto"/>
              </w:rPr>
            </w:pPr>
            <w:hyperlink r:id="rId258">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720" w:type="dxa"/>
            <w:vAlign w:val="bottom"/>
            <w:tcBorders>
              <w:top w:val="single" w:sz="8" w:color="0000EE"/>
            </w:tcBorders>
            <w:gridSpan w:val="13"/>
          </w:tcPr>
          <w:p>
            <w:pPr>
              <w:spacing w:after="0" w:line="129" w:lineRule="exact"/>
              <w:rPr>
                <w:rFonts w:ascii="Arial" w:cs="Arial" w:eastAsia="Arial" w:hAnsi="Arial"/>
                <w:sz w:val="14"/>
                <w:szCs w:val="14"/>
                <w:color w:val="auto"/>
              </w:rPr>
            </w:pPr>
            <w:hyperlink r:id="rId258">
              <w:r>
                <w:rPr>
                  <w:rFonts w:ascii="Arial" w:cs="Arial" w:eastAsia="Arial" w:hAnsi="Arial"/>
                  <w:sz w:val="14"/>
                  <w:szCs w:val="14"/>
                  <w:color w:val="auto"/>
                </w:rPr>
                <w:t>Form 10-Q for the quarter ended September 30, 2016, filed with the Commission on October 24, 2016 (File No. 001-12984) and</w:t>
              </w:r>
            </w:hyperlink>
          </w:p>
        </w:tc>
        <w:tc>
          <w:tcPr>
            <w:tcW w:w="9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0" w:type="dxa"/>
            <w:vAlign w:val="bottom"/>
            <w:gridSpan w:val="5"/>
            <w:vMerge w:val="restart"/>
          </w:tcPr>
          <w:p>
            <w:pPr>
              <w:spacing w:after="0" w:line="175" w:lineRule="exact"/>
              <w:rPr>
                <w:rFonts w:ascii="Arial" w:cs="Arial" w:eastAsia="Arial" w:hAnsi="Arial"/>
                <w:sz w:val="16"/>
                <w:szCs w:val="16"/>
                <w:color w:val="auto"/>
              </w:rPr>
            </w:pPr>
            <w:hyperlink r:id="rId258">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58">
              <w:r>
                <w:rPr>
                  <w:rFonts w:ascii="Arial" w:cs="Arial" w:eastAsia="Arial" w:hAnsi="Arial"/>
                  <w:sz w:val="8"/>
                  <w:szCs w:val="8"/>
                  <w:color w:val="auto"/>
                </w:rPr>
                <w:t>(1)</w:t>
              </w:r>
            </w:hyperlink>
          </w:p>
        </w:tc>
        <w:tc>
          <w:tcPr>
            <w:tcW w:w="2260" w:type="dxa"/>
            <w:vAlign w:val="bottom"/>
            <w:gridSpan w:val="2"/>
            <w:vMerge w:val="restart"/>
          </w:tcPr>
          <w:p>
            <w:pPr>
              <w:spacing w:after="0"/>
              <w:rPr>
                <w:sz w:val="8"/>
                <w:szCs w:val="8"/>
                <w:color w:val="auto"/>
              </w:rPr>
            </w:pPr>
          </w:p>
        </w:tc>
        <w:tc>
          <w:tcPr>
            <w:tcW w:w="438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 w:type="dxa"/>
            <w:vAlign w:val="bottom"/>
            <w:gridSpan w:val="2"/>
          </w:tcPr>
          <w:p>
            <w:pPr>
              <w:spacing w:after="0"/>
              <w:rPr>
                <w:sz w:val="8"/>
                <w:szCs w:val="8"/>
                <w:color w:val="auto"/>
              </w:rPr>
            </w:pPr>
          </w:p>
        </w:tc>
        <w:tc>
          <w:tcPr>
            <w:tcW w:w="15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4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 w:type="dxa"/>
            <w:vAlign w:val="bottom"/>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10.11(a)</w:t>
            </w:r>
          </w:p>
        </w:tc>
        <w:tc>
          <w:tcPr>
            <w:tcW w:w="10320" w:type="dxa"/>
            <w:vAlign w:val="bottom"/>
            <w:gridSpan w:val="19"/>
          </w:tcPr>
          <w:p>
            <w:pPr>
              <w:ind w:left="280"/>
              <w:spacing w:after="0"/>
              <w:rPr>
                <w:rFonts w:ascii="Arial" w:cs="Arial" w:eastAsia="Arial" w:hAnsi="Arial"/>
                <w:sz w:val="16"/>
                <w:szCs w:val="16"/>
                <w:color w:val="auto"/>
              </w:rPr>
            </w:pPr>
            <w:hyperlink r:id="rId259">
              <w:r>
                <w:rPr>
                  <w:rFonts w:ascii="Arial" w:cs="Arial" w:eastAsia="Arial" w:hAnsi="Arial"/>
                  <w:sz w:val="16"/>
                  <w:szCs w:val="16"/>
                  <w:color w:val="auto"/>
                </w:rPr>
                <w:t>Form of Restricted Stock Agreement for Non-Employee Directors filed as Exhibit 10.3 to the Company’s Quarterly Report on Form 10-Q for</w:t>
              </w:r>
            </w:hyperlink>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0" w:type="dxa"/>
            <w:vAlign w:val="bottom"/>
            <w:tcBorders>
              <w:top w:val="single" w:sz="8" w:color="0000EE"/>
            </w:tcBorders>
            <w:gridSpan w:val="16"/>
          </w:tcPr>
          <w:p>
            <w:pPr>
              <w:spacing w:after="0" w:line="129" w:lineRule="exact"/>
              <w:rPr>
                <w:rFonts w:ascii="Arial" w:cs="Arial" w:eastAsia="Arial" w:hAnsi="Arial"/>
                <w:sz w:val="14"/>
                <w:szCs w:val="14"/>
                <w:color w:val="auto"/>
              </w:rPr>
            </w:pPr>
            <w:hyperlink r:id="rId259">
              <w:r>
                <w:rPr>
                  <w:rFonts w:ascii="Arial" w:cs="Arial" w:eastAsia="Arial" w:hAnsi="Arial"/>
                  <w:sz w:val="14"/>
                  <w:szCs w:val="14"/>
                  <w:color w:val="auto"/>
                </w:rPr>
                <w:t>the quarter ended September 30, 2016, filed with the Commission on October 24, 2016 (File No. 001-12984) and incorporated herein by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vMerge w:val="restart"/>
          </w:tcPr>
          <w:p>
            <w:pPr>
              <w:spacing w:after="0" w:line="175" w:lineRule="exact"/>
              <w:rPr>
                <w:rFonts w:ascii="Arial" w:cs="Arial" w:eastAsia="Arial" w:hAnsi="Arial"/>
                <w:sz w:val="16"/>
                <w:szCs w:val="16"/>
                <w:color w:val="auto"/>
                <w:w w:val="99"/>
              </w:rPr>
            </w:pPr>
            <w:hyperlink r:id="rId259">
              <w:r>
                <w:rPr>
                  <w:rFonts w:ascii="Arial" w:cs="Arial" w:eastAsia="Arial" w:hAnsi="Arial"/>
                  <w:sz w:val="16"/>
                  <w:szCs w:val="16"/>
                  <w:color w:val="auto"/>
                  <w:w w:val="99"/>
                </w:rPr>
                <w:t>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59">
              <w:r>
                <w:rPr>
                  <w:rFonts w:ascii="Arial" w:cs="Arial" w:eastAsia="Arial" w:hAnsi="Arial"/>
                  <w:sz w:val="8"/>
                  <w:szCs w:val="8"/>
                  <w:color w:val="auto"/>
                </w:rPr>
                <w:t>(1)</w:t>
              </w:r>
            </w:hyperlink>
          </w:p>
        </w:tc>
        <w:tc>
          <w:tcPr>
            <w:tcW w:w="720" w:type="dxa"/>
            <w:vAlign w:val="bottom"/>
            <w:gridSpan w:val="2"/>
            <w:vMerge w:val="restart"/>
          </w:tcPr>
          <w:p>
            <w:pPr>
              <w:spacing w:after="0"/>
              <w:rPr>
                <w:sz w:val="8"/>
                <w:szCs w:val="8"/>
                <w:color w:val="auto"/>
              </w:rPr>
            </w:pPr>
          </w:p>
        </w:tc>
        <w:tc>
          <w:tcPr>
            <w:tcW w:w="3200" w:type="dxa"/>
            <w:vAlign w:val="bottom"/>
            <w:gridSpan w:val="4"/>
            <w:vMerge w:val="restart"/>
          </w:tcPr>
          <w:p>
            <w:pPr>
              <w:spacing w:after="0"/>
              <w:rPr>
                <w:sz w:val="8"/>
                <w:szCs w:val="8"/>
                <w:color w:val="auto"/>
              </w:rPr>
            </w:pPr>
          </w:p>
        </w:tc>
        <w:tc>
          <w:tcPr>
            <w:tcW w:w="4990" w:type="dxa"/>
            <w:vAlign w:val="bottom"/>
            <w:gridSpan w:val="6"/>
            <w:vMerge w:val="restart"/>
          </w:tcPr>
          <w:p>
            <w:pPr>
              <w:spacing w:after="0"/>
              <w:rPr>
                <w:sz w:val="8"/>
                <w:szCs w:val="8"/>
                <w:color w:val="auto"/>
              </w:rPr>
            </w:pPr>
          </w:p>
        </w:tc>
        <w:tc>
          <w:tcPr>
            <w:tcW w:w="15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bottom w:val="single" w:sz="8" w:color="0000EE"/>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200" w:type="dxa"/>
            <w:vAlign w:val="bottom"/>
            <w:gridSpan w:val="4"/>
            <w:vMerge w:val="continue"/>
          </w:tcPr>
          <w:p>
            <w:pPr>
              <w:spacing w:after="0"/>
              <w:rPr>
                <w:sz w:val="5"/>
                <w:szCs w:val="5"/>
                <w:color w:val="auto"/>
              </w:rPr>
            </w:pPr>
          </w:p>
        </w:tc>
        <w:tc>
          <w:tcPr>
            <w:tcW w:w="4990" w:type="dxa"/>
            <w:vAlign w:val="bottom"/>
            <w:gridSpan w:val="6"/>
            <w:vMerge w:val="continue"/>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10.11(b)</w:t>
            </w:r>
          </w:p>
        </w:tc>
        <w:tc>
          <w:tcPr>
            <w:tcW w:w="10320" w:type="dxa"/>
            <w:vAlign w:val="bottom"/>
            <w:gridSpan w:val="19"/>
          </w:tcPr>
          <w:p>
            <w:pPr>
              <w:ind w:left="280"/>
              <w:spacing w:after="0"/>
              <w:rPr>
                <w:rFonts w:ascii="Arial" w:cs="Arial" w:eastAsia="Arial" w:hAnsi="Arial"/>
                <w:sz w:val="16"/>
                <w:szCs w:val="16"/>
                <w:color w:val="auto"/>
              </w:rPr>
            </w:pPr>
            <w:hyperlink r:id="rId260">
              <w:r>
                <w:rPr>
                  <w:rFonts w:ascii="Arial" w:cs="Arial" w:eastAsia="Arial" w:hAnsi="Arial"/>
                  <w:sz w:val="16"/>
                  <w:szCs w:val="16"/>
                  <w:color w:val="auto"/>
                </w:rPr>
                <w:t>Form of Performance Vesting Non-Qualified Stock Option Agreement for Senior Executives filed as Exhibit 10.4 to the Company’s Quarterly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40" w:type="dxa"/>
            <w:vAlign w:val="bottom"/>
            <w:tcBorders>
              <w:top w:val="single" w:sz="8" w:color="0000EE"/>
            </w:tcBorders>
            <w:gridSpan w:val="18"/>
          </w:tcPr>
          <w:p>
            <w:pPr>
              <w:spacing w:after="0" w:line="142" w:lineRule="exact"/>
              <w:rPr>
                <w:rFonts w:ascii="Arial" w:cs="Arial" w:eastAsia="Arial" w:hAnsi="Arial"/>
                <w:sz w:val="16"/>
                <w:szCs w:val="16"/>
                <w:color w:val="auto"/>
              </w:rPr>
            </w:pPr>
            <w:hyperlink r:id="rId260">
              <w:r>
                <w:rPr>
                  <w:rFonts w:ascii="Arial" w:cs="Arial" w:eastAsia="Arial" w:hAnsi="Arial"/>
                  <w:sz w:val="16"/>
                  <w:szCs w:val="16"/>
                  <w:color w:val="auto"/>
                </w:rPr>
                <w:t>Report on Form 10-Q for the quarter ended September 30, 2016, filed with the Commission on October 24, 2016 (File No. 001-12984) and</w:t>
              </w:r>
            </w:hyperlink>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0" w:type="dxa"/>
            <w:vAlign w:val="bottom"/>
            <w:gridSpan w:val="5"/>
            <w:vMerge w:val="restart"/>
          </w:tcPr>
          <w:p>
            <w:pPr>
              <w:spacing w:after="0" w:line="162" w:lineRule="exact"/>
              <w:rPr>
                <w:rFonts w:ascii="Arial" w:cs="Arial" w:eastAsia="Arial" w:hAnsi="Arial"/>
                <w:sz w:val="16"/>
                <w:szCs w:val="16"/>
                <w:color w:val="auto"/>
              </w:rPr>
            </w:pPr>
            <w:hyperlink r:id="rId260">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60">
              <w:r>
                <w:rPr>
                  <w:rFonts w:ascii="Arial" w:cs="Arial" w:eastAsia="Arial" w:hAnsi="Arial"/>
                  <w:sz w:val="7"/>
                  <w:szCs w:val="7"/>
                  <w:color w:val="auto"/>
                </w:rPr>
                <w:t>(1)</w:t>
              </w:r>
            </w:hyperlink>
          </w:p>
        </w:tc>
        <w:tc>
          <w:tcPr>
            <w:tcW w:w="2260" w:type="dxa"/>
            <w:vAlign w:val="bottom"/>
            <w:gridSpan w:val="2"/>
            <w:vMerge w:val="restart"/>
          </w:tcPr>
          <w:p>
            <w:pPr>
              <w:spacing w:after="0"/>
              <w:rPr>
                <w:sz w:val="7"/>
                <w:szCs w:val="7"/>
                <w:color w:val="auto"/>
              </w:rPr>
            </w:pPr>
          </w:p>
        </w:tc>
        <w:tc>
          <w:tcPr>
            <w:tcW w:w="5140" w:type="dxa"/>
            <w:vAlign w:val="bottom"/>
            <w:gridSpan w:val="7"/>
            <w:vMerge w:val="restart"/>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514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10.11(c)</w:t>
            </w:r>
          </w:p>
        </w:tc>
        <w:tc>
          <w:tcPr>
            <w:tcW w:w="10320" w:type="dxa"/>
            <w:vAlign w:val="bottom"/>
            <w:gridSpan w:val="19"/>
          </w:tcPr>
          <w:p>
            <w:pPr>
              <w:ind w:left="280"/>
              <w:spacing w:after="0"/>
              <w:rPr>
                <w:rFonts w:ascii="Arial" w:cs="Arial" w:eastAsia="Arial" w:hAnsi="Arial"/>
                <w:sz w:val="16"/>
                <w:szCs w:val="16"/>
                <w:color w:val="auto"/>
              </w:rPr>
            </w:pPr>
            <w:hyperlink r:id="rId261">
              <w:r>
                <w:rPr>
                  <w:rFonts w:ascii="Arial" w:cs="Arial" w:eastAsia="Arial" w:hAnsi="Arial"/>
                  <w:sz w:val="16"/>
                  <w:szCs w:val="16"/>
                  <w:color w:val="auto"/>
                </w:rPr>
                <w:t>Form of Time Vesting Non-Qualified Stock Option Agreement for Senior Executives filed as Exhibit 10.5 to the Company’s Quarterly Report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20" w:type="dxa"/>
            <w:vAlign w:val="bottom"/>
            <w:tcBorders>
              <w:top w:val="single" w:sz="8" w:color="0000EE"/>
            </w:tcBorders>
            <w:gridSpan w:val="17"/>
          </w:tcPr>
          <w:p>
            <w:pPr>
              <w:spacing w:after="0" w:line="142" w:lineRule="exact"/>
              <w:rPr>
                <w:rFonts w:ascii="Arial" w:cs="Arial" w:eastAsia="Arial" w:hAnsi="Arial"/>
                <w:sz w:val="16"/>
                <w:szCs w:val="16"/>
                <w:color w:val="auto"/>
              </w:rPr>
            </w:pPr>
            <w:hyperlink r:id="rId261">
              <w:r>
                <w:rPr>
                  <w:rFonts w:ascii="Arial" w:cs="Arial" w:eastAsia="Arial" w:hAnsi="Arial"/>
                  <w:sz w:val="16"/>
                  <w:szCs w:val="16"/>
                  <w:color w:val="auto"/>
                </w:rPr>
                <w:t>on Form 10-Q for the quarter ended September 30, 2016, filed with the Commission on October 24, 2016 (File No. 001-12984)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0" w:type="dxa"/>
            <w:vAlign w:val="bottom"/>
            <w:gridSpan w:val="5"/>
            <w:vMerge w:val="restart"/>
          </w:tcPr>
          <w:p>
            <w:pPr>
              <w:spacing w:after="0" w:line="162" w:lineRule="exact"/>
              <w:rPr>
                <w:rFonts w:ascii="Arial" w:cs="Arial" w:eastAsia="Arial" w:hAnsi="Arial"/>
                <w:sz w:val="16"/>
                <w:szCs w:val="16"/>
                <w:color w:val="auto"/>
              </w:rPr>
            </w:pPr>
            <w:hyperlink r:id="rId261">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61">
              <w:r>
                <w:rPr>
                  <w:rFonts w:ascii="Arial" w:cs="Arial" w:eastAsia="Arial" w:hAnsi="Arial"/>
                  <w:sz w:val="7"/>
                  <w:szCs w:val="7"/>
                  <w:color w:val="auto"/>
                </w:rPr>
                <w:t>(1)</w:t>
              </w:r>
            </w:hyperlink>
          </w:p>
        </w:tc>
        <w:tc>
          <w:tcPr>
            <w:tcW w:w="2260" w:type="dxa"/>
            <w:vAlign w:val="bottom"/>
            <w:gridSpan w:val="2"/>
            <w:vMerge w:val="restart"/>
          </w:tcPr>
          <w:p>
            <w:pPr>
              <w:spacing w:after="0"/>
              <w:rPr>
                <w:sz w:val="7"/>
                <w:szCs w:val="7"/>
                <w:color w:val="auto"/>
              </w:rPr>
            </w:pPr>
          </w:p>
        </w:tc>
        <w:tc>
          <w:tcPr>
            <w:tcW w:w="4600" w:type="dxa"/>
            <w:vAlign w:val="bottom"/>
            <w:gridSpan w:val="3"/>
            <w:vMerge w:val="restart"/>
          </w:tcPr>
          <w:p>
            <w:pPr>
              <w:spacing w:after="0"/>
              <w:rPr>
                <w:sz w:val="7"/>
                <w:szCs w:val="7"/>
                <w:color w:val="auto"/>
              </w:rPr>
            </w:pPr>
          </w:p>
        </w:tc>
        <w:tc>
          <w:tcPr>
            <w:tcW w:w="220" w:type="dxa"/>
            <w:vAlign w:val="bottom"/>
          </w:tcPr>
          <w:p>
            <w:pPr>
              <w:spacing w:after="0"/>
              <w:rPr>
                <w:sz w:val="7"/>
                <w:szCs w:val="7"/>
                <w:color w:val="auto"/>
              </w:rPr>
            </w:pPr>
          </w:p>
        </w:tc>
        <w:tc>
          <w:tcPr>
            <w:tcW w:w="170" w:type="dxa"/>
            <w:vAlign w:val="bottom"/>
            <w:gridSpan w:val="2"/>
          </w:tcPr>
          <w:p>
            <w:pPr>
              <w:spacing w:after="0"/>
              <w:rPr>
                <w:sz w:val="7"/>
                <w:szCs w:val="7"/>
                <w:color w:val="auto"/>
              </w:rPr>
            </w:pPr>
          </w:p>
        </w:tc>
        <w:tc>
          <w:tcPr>
            <w:tcW w:w="23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46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 w:type="dxa"/>
            <w:vAlign w:val="bottom"/>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10.12</w:t>
            </w:r>
          </w:p>
        </w:tc>
        <w:tc>
          <w:tcPr>
            <w:tcW w:w="10320" w:type="dxa"/>
            <w:vAlign w:val="bottom"/>
            <w:gridSpan w:val="19"/>
          </w:tcPr>
          <w:p>
            <w:pPr>
              <w:ind w:left="280"/>
              <w:spacing w:after="0"/>
              <w:rPr>
                <w:rFonts w:ascii="Arial" w:cs="Arial" w:eastAsia="Arial" w:hAnsi="Arial"/>
                <w:sz w:val="16"/>
                <w:szCs w:val="16"/>
                <w:color w:val="auto"/>
              </w:rPr>
            </w:pPr>
            <w:hyperlink r:id="rId262">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720" w:type="dxa"/>
            <w:vAlign w:val="bottom"/>
            <w:tcBorders>
              <w:top w:val="single" w:sz="8" w:color="0000EE"/>
            </w:tcBorders>
            <w:gridSpan w:val="13"/>
          </w:tcPr>
          <w:p>
            <w:pPr>
              <w:spacing w:after="0" w:line="142" w:lineRule="exact"/>
              <w:rPr>
                <w:rFonts w:ascii="Arial" w:cs="Arial" w:eastAsia="Arial" w:hAnsi="Arial"/>
                <w:sz w:val="16"/>
                <w:szCs w:val="16"/>
                <w:color w:val="auto"/>
              </w:rPr>
            </w:pPr>
            <w:hyperlink r:id="rId262">
              <w:r>
                <w:rPr>
                  <w:rFonts w:ascii="Arial" w:cs="Arial" w:eastAsia="Arial" w:hAnsi="Arial"/>
                  <w:sz w:val="16"/>
                  <w:szCs w:val="16"/>
                  <w:color w:val="auto"/>
                </w:rPr>
                <w:t>Form 10-Q for the quarter ended September 30, 2017, filed with the Commission on October 25, 2017 (File No. 001-12984) and</w:t>
              </w:r>
            </w:hyperlink>
          </w:p>
        </w:tc>
        <w:tc>
          <w:tcPr>
            <w:tcW w:w="90" w:type="dxa"/>
            <w:vAlign w:val="bottom"/>
          </w:tcPr>
          <w:p>
            <w:pPr>
              <w:spacing w:after="0"/>
              <w:rPr>
                <w:sz w:val="12"/>
                <w:szCs w:val="12"/>
                <w:color w:val="auto"/>
              </w:rPr>
            </w:pPr>
          </w:p>
        </w:tc>
        <w:tc>
          <w:tcPr>
            <w:tcW w:w="23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0" w:type="dxa"/>
            <w:vAlign w:val="bottom"/>
            <w:gridSpan w:val="5"/>
            <w:vMerge w:val="restart"/>
          </w:tcPr>
          <w:p>
            <w:pPr>
              <w:spacing w:after="0" w:line="162" w:lineRule="exact"/>
              <w:rPr>
                <w:rFonts w:ascii="Arial" w:cs="Arial" w:eastAsia="Arial" w:hAnsi="Arial"/>
                <w:sz w:val="16"/>
                <w:szCs w:val="16"/>
                <w:color w:val="auto"/>
              </w:rPr>
            </w:pPr>
            <w:hyperlink r:id="rId262">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62">
              <w:r>
                <w:rPr>
                  <w:rFonts w:ascii="Arial" w:cs="Arial" w:eastAsia="Arial" w:hAnsi="Arial"/>
                  <w:sz w:val="7"/>
                  <w:szCs w:val="7"/>
                  <w:color w:val="auto"/>
                </w:rPr>
                <w:t>(1)</w:t>
              </w:r>
            </w:hyperlink>
          </w:p>
        </w:tc>
        <w:tc>
          <w:tcPr>
            <w:tcW w:w="2260" w:type="dxa"/>
            <w:vAlign w:val="bottom"/>
            <w:gridSpan w:val="2"/>
            <w:vMerge w:val="restart"/>
          </w:tcPr>
          <w:p>
            <w:pPr>
              <w:spacing w:after="0"/>
              <w:rPr>
                <w:sz w:val="7"/>
                <w:szCs w:val="7"/>
                <w:color w:val="auto"/>
              </w:rPr>
            </w:pPr>
          </w:p>
        </w:tc>
        <w:tc>
          <w:tcPr>
            <w:tcW w:w="43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gridSpan w:val="2"/>
          </w:tcPr>
          <w:p>
            <w:pPr>
              <w:spacing w:after="0"/>
              <w:rPr>
                <w:sz w:val="7"/>
                <w:szCs w:val="7"/>
                <w:color w:val="auto"/>
              </w:rPr>
            </w:pPr>
          </w:p>
        </w:tc>
        <w:tc>
          <w:tcPr>
            <w:tcW w:w="170" w:type="dxa"/>
            <w:vAlign w:val="bottom"/>
            <w:gridSpan w:val="2"/>
          </w:tcPr>
          <w:p>
            <w:pPr>
              <w:spacing w:after="0"/>
              <w:rPr>
                <w:sz w:val="7"/>
                <w:szCs w:val="7"/>
                <w:color w:val="auto"/>
              </w:rPr>
            </w:pPr>
          </w:p>
        </w:tc>
        <w:tc>
          <w:tcPr>
            <w:tcW w:w="23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4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 w:type="dxa"/>
            <w:vAlign w:val="bottom"/>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10.12(a)</w:t>
            </w:r>
          </w:p>
        </w:tc>
        <w:tc>
          <w:tcPr>
            <w:tcW w:w="10320" w:type="dxa"/>
            <w:vAlign w:val="bottom"/>
            <w:gridSpan w:val="19"/>
          </w:tcPr>
          <w:p>
            <w:pPr>
              <w:ind w:left="280"/>
              <w:spacing w:after="0"/>
              <w:rPr>
                <w:rFonts w:ascii="Arial" w:cs="Arial" w:eastAsia="Arial" w:hAnsi="Arial"/>
                <w:sz w:val="16"/>
                <w:szCs w:val="16"/>
                <w:color w:val="auto"/>
              </w:rPr>
            </w:pPr>
            <w:hyperlink r:id="rId263">
              <w:r>
                <w:rPr>
                  <w:rFonts w:ascii="Arial" w:cs="Arial" w:eastAsia="Arial" w:hAnsi="Arial"/>
                  <w:sz w:val="16"/>
                  <w:szCs w:val="16"/>
                  <w:color w:val="auto"/>
                </w:rPr>
                <w:t>Form of Performance Vesting Non-Qualified Stock Option Agreement for Senior Executives filed as Exhibit 10.5 to the Company’s Quarterly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40" w:type="dxa"/>
            <w:vAlign w:val="bottom"/>
            <w:tcBorders>
              <w:top w:val="single" w:sz="8" w:color="0000EE"/>
            </w:tcBorders>
            <w:gridSpan w:val="18"/>
          </w:tcPr>
          <w:p>
            <w:pPr>
              <w:spacing w:after="0" w:line="142" w:lineRule="exact"/>
              <w:rPr>
                <w:rFonts w:ascii="Arial" w:cs="Arial" w:eastAsia="Arial" w:hAnsi="Arial"/>
                <w:sz w:val="16"/>
                <w:szCs w:val="16"/>
                <w:color w:val="auto"/>
              </w:rPr>
            </w:pPr>
            <w:hyperlink r:id="rId263">
              <w:r>
                <w:rPr>
                  <w:rFonts w:ascii="Arial" w:cs="Arial" w:eastAsia="Arial" w:hAnsi="Arial"/>
                  <w:sz w:val="16"/>
                  <w:szCs w:val="16"/>
                  <w:color w:val="auto"/>
                </w:rPr>
                <w:t>Report on Form 10-Q for the quarter ended June 30, 2017, filed with the Commission on July 28, 2017 (File No. 001-12984) and</w:t>
              </w:r>
            </w:hyperlink>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0" w:type="dxa"/>
            <w:vAlign w:val="bottom"/>
            <w:gridSpan w:val="5"/>
            <w:vMerge w:val="restart"/>
          </w:tcPr>
          <w:p>
            <w:pPr>
              <w:spacing w:after="0" w:line="162" w:lineRule="exact"/>
              <w:rPr>
                <w:rFonts w:ascii="Arial" w:cs="Arial" w:eastAsia="Arial" w:hAnsi="Arial"/>
                <w:sz w:val="16"/>
                <w:szCs w:val="16"/>
                <w:color w:val="auto"/>
              </w:rPr>
            </w:pPr>
            <w:hyperlink r:id="rId263">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63">
              <w:r>
                <w:rPr>
                  <w:rFonts w:ascii="Arial" w:cs="Arial" w:eastAsia="Arial" w:hAnsi="Arial"/>
                  <w:sz w:val="7"/>
                  <w:szCs w:val="7"/>
                  <w:color w:val="auto"/>
                </w:rPr>
                <w:t>(1)</w:t>
              </w:r>
            </w:hyperlink>
          </w:p>
        </w:tc>
        <w:tc>
          <w:tcPr>
            <w:tcW w:w="2260" w:type="dxa"/>
            <w:vAlign w:val="bottom"/>
            <w:gridSpan w:val="2"/>
            <w:vMerge w:val="restart"/>
          </w:tcPr>
          <w:p>
            <w:pPr>
              <w:spacing w:after="0"/>
              <w:rPr>
                <w:sz w:val="7"/>
                <w:szCs w:val="7"/>
                <w:color w:val="auto"/>
              </w:rPr>
            </w:pPr>
          </w:p>
        </w:tc>
        <w:tc>
          <w:tcPr>
            <w:tcW w:w="4420" w:type="dxa"/>
            <w:vAlign w:val="bottom"/>
            <w:gridSpan w:val="2"/>
            <w:vMerge w:val="restart"/>
          </w:tcPr>
          <w:p>
            <w:pPr>
              <w:spacing w:after="0"/>
              <w:rPr>
                <w:sz w:val="7"/>
                <w:szCs w:val="7"/>
                <w:color w:val="auto"/>
              </w:rPr>
            </w:pPr>
          </w:p>
        </w:tc>
        <w:tc>
          <w:tcPr>
            <w:tcW w:w="400" w:type="dxa"/>
            <w:vAlign w:val="bottom"/>
            <w:gridSpan w:val="2"/>
          </w:tcPr>
          <w:p>
            <w:pPr>
              <w:spacing w:after="0"/>
              <w:rPr>
                <w:sz w:val="7"/>
                <w:szCs w:val="7"/>
                <w:color w:val="auto"/>
              </w:rPr>
            </w:pPr>
          </w:p>
        </w:tc>
        <w:tc>
          <w:tcPr>
            <w:tcW w:w="170" w:type="dxa"/>
            <w:vAlign w:val="bottom"/>
            <w:gridSpan w:val="2"/>
          </w:tcPr>
          <w:p>
            <w:pPr>
              <w:spacing w:after="0"/>
              <w:rPr>
                <w:sz w:val="7"/>
                <w:szCs w:val="7"/>
                <w:color w:val="auto"/>
              </w:rPr>
            </w:pPr>
          </w:p>
        </w:tc>
        <w:tc>
          <w:tcPr>
            <w:tcW w:w="23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4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 w:type="dxa"/>
            <w:vAlign w:val="bottom"/>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10.12(b)</w:t>
            </w:r>
          </w:p>
        </w:tc>
        <w:tc>
          <w:tcPr>
            <w:tcW w:w="10320" w:type="dxa"/>
            <w:vAlign w:val="bottom"/>
            <w:gridSpan w:val="19"/>
          </w:tcPr>
          <w:p>
            <w:pPr>
              <w:ind w:left="280"/>
              <w:spacing w:after="0"/>
              <w:rPr>
                <w:rFonts w:ascii="Arial" w:cs="Arial" w:eastAsia="Arial" w:hAnsi="Arial"/>
                <w:sz w:val="16"/>
                <w:szCs w:val="16"/>
                <w:color w:val="auto"/>
              </w:rPr>
            </w:pPr>
            <w:hyperlink r:id="rId264">
              <w:r>
                <w:rPr>
                  <w:rFonts w:ascii="Arial" w:cs="Arial" w:eastAsia="Arial" w:hAnsi="Arial"/>
                  <w:sz w:val="16"/>
                  <w:szCs w:val="16"/>
                  <w:color w:val="auto"/>
                </w:rPr>
                <w:t>Form of Time Vesting Non-Qualified Stock Option Agreement for Senior Executives filed as Exhibit 10.6 to the Company’s Quarterly Report</w:t>
              </w:r>
            </w:hyperlink>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20" w:type="dxa"/>
            <w:vAlign w:val="bottom"/>
            <w:tcBorders>
              <w:top w:val="single" w:sz="8" w:color="0000EE"/>
            </w:tcBorders>
            <w:gridSpan w:val="17"/>
          </w:tcPr>
          <w:p>
            <w:pPr>
              <w:spacing w:after="0" w:line="129" w:lineRule="exact"/>
              <w:rPr>
                <w:rFonts w:ascii="Arial" w:cs="Arial" w:eastAsia="Arial" w:hAnsi="Arial"/>
                <w:sz w:val="14"/>
                <w:szCs w:val="14"/>
                <w:color w:val="auto"/>
              </w:rPr>
            </w:pPr>
            <w:hyperlink r:id="rId264">
              <w:r>
                <w:rPr>
                  <w:rFonts w:ascii="Arial" w:cs="Arial" w:eastAsia="Arial" w:hAnsi="Arial"/>
                  <w:sz w:val="14"/>
                  <w:szCs w:val="14"/>
                  <w:color w:val="auto"/>
                </w:rPr>
                <w:t>on Form 10-Q for the quarter ended June 30, 2017, filed with the Commission on July 28, 2017 (File No. 001-12984) and incorporated</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gridSpan w:val="3"/>
            <w:vMerge w:val="restart"/>
          </w:tcPr>
          <w:p>
            <w:pPr>
              <w:spacing w:after="0" w:line="175" w:lineRule="exact"/>
              <w:rPr>
                <w:rFonts w:ascii="Arial" w:cs="Arial" w:eastAsia="Arial" w:hAnsi="Arial"/>
                <w:sz w:val="16"/>
                <w:szCs w:val="16"/>
                <w:color w:val="auto"/>
              </w:rPr>
            </w:pPr>
            <w:hyperlink r:id="rId264">
              <w:r>
                <w:rPr>
                  <w:rFonts w:ascii="Arial" w:cs="Arial" w:eastAsia="Arial" w:hAnsi="Arial"/>
                  <w:sz w:val="16"/>
                  <w:szCs w:val="16"/>
                  <w:color w:val="auto"/>
                </w:rPr>
                <w:t>herein 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64">
              <w:r>
                <w:rPr>
                  <w:rFonts w:ascii="Arial" w:cs="Arial" w:eastAsia="Arial" w:hAnsi="Arial"/>
                  <w:sz w:val="8"/>
                  <w:szCs w:val="8"/>
                  <w:color w:val="auto"/>
                </w:rPr>
                <w:t>(1)</w:t>
              </w:r>
            </w:hyperlink>
          </w:p>
        </w:tc>
        <w:tc>
          <w:tcPr>
            <w:tcW w:w="3200" w:type="dxa"/>
            <w:vAlign w:val="bottom"/>
            <w:gridSpan w:val="4"/>
            <w:vMerge w:val="restart"/>
          </w:tcPr>
          <w:p>
            <w:pPr>
              <w:spacing w:after="0"/>
              <w:rPr>
                <w:sz w:val="8"/>
                <w:szCs w:val="8"/>
                <w:color w:val="auto"/>
              </w:rPr>
            </w:pPr>
          </w:p>
        </w:tc>
        <w:tc>
          <w:tcPr>
            <w:tcW w:w="4820" w:type="dxa"/>
            <w:vAlign w:val="bottom"/>
            <w:gridSpan w:val="4"/>
            <w:vMerge w:val="restart"/>
          </w:tcPr>
          <w:p>
            <w:pPr>
              <w:spacing w:after="0"/>
              <w:rPr>
                <w:sz w:val="8"/>
                <w:szCs w:val="8"/>
                <w:color w:val="auto"/>
              </w:rPr>
            </w:pPr>
          </w:p>
        </w:tc>
        <w:tc>
          <w:tcPr>
            <w:tcW w:w="170" w:type="dxa"/>
            <w:vAlign w:val="bottom"/>
            <w:gridSpan w:val="2"/>
          </w:tcPr>
          <w:p>
            <w:pPr>
              <w:spacing w:after="0"/>
              <w:rPr>
                <w:sz w:val="8"/>
                <w:szCs w:val="8"/>
                <w:color w:val="auto"/>
              </w:rPr>
            </w:pPr>
          </w:p>
        </w:tc>
        <w:tc>
          <w:tcPr>
            <w:tcW w:w="23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200" w:type="dxa"/>
            <w:vAlign w:val="bottom"/>
            <w:gridSpan w:val="4"/>
            <w:vMerge w:val="continue"/>
          </w:tcPr>
          <w:p>
            <w:pPr>
              <w:spacing w:after="0"/>
              <w:rPr>
                <w:sz w:val="5"/>
                <w:szCs w:val="5"/>
                <w:color w:val="auto"/>
              </w:rPr>
            </w:pPr>
          </w:p>
        </w:tc>
        <w:tc>
          <w:tcPr>
            <w:tcW w:w="48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90" w:type="dxa"/>
            <w:vAlign w:val="bottom"/>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10.13</w:t>
            </w:r>
          </w:p>
        </w:tc>
        <w:tc>
          <w:tcPr>
            <w:tcW w:w="10320" w:type="dxa"/>
            <w:vAlign w:val="bottom"/>
            <w:gridSpan w:val="19"/>
          </w:tcPr>
          <w:p>
            <w:pPr>
              <w:ind w:left="280"/>
              <w:spacing w:after="0"/>
              <w:rPr>
                <w:rFonts w:ascii="Arial" w:cs="Arial" w:eastAsia="Arial" w:hAnsi="Arial"/>
                <w:sz w:val="16"/>
                <w:szCs w:val="16"/>
                <w:color w:val="auto"/>
              </w:rPr>
            </w:pPr>
            <w:hyperlink r:id="rId265">
              <w:r>
                <w:rPr>
                  <w:rFonts w:ascii="Arial" w:cs="Arial" w:eastAsia="Arial" w:hAnsi="Arial"/>
                  <w:sz w:val="16"/>
                  <w:szCs w:val="16"/>
                  <w:color w:val="auto"/>
                </w:rPr>
                <w:t>Form of Performance Vesting Non-Qualified Stock Option Agreement for Senior Executives filed as Exhibit 10.3 to the Company’s Quarterly</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40" w:type="dxa"/>
            <w:vAlign w:val="bottom"/>
            <w:tcBorders>
              <w:top w:val="single" w:sz="8" w:color="0000EE"/>
            </w:tcBorders>
            <w:gridSpan w:val="18"/>
          </w:tcPr>
          <w:p>
            <w:pPr>
              <w:spacing w:after="0" w:line="142" w:lineRule="exact"/>
              <w:rPr>
                <w:rFonts w:ascii="Arial" w:cs="Arial" w:eastAsia="Arial" w:hAnsi="Arial"/>
                <w:sz w:val="16"/>
                <w:szCs w:val="16"/>
                <w:color w:val="auto"/>
              </w:rPr>
            </w:pPr>
            <w:hyperlink r:id="rId265">
              <w:r>
                <w:rPr>
                  <w:rFonts w:ascii="Arial" w:cs="Arial" w:eastAsia="Arial" w:hAnsi="Arial"/>
                  <w:sz w:val="16"/>
                  <w:szCs w:val="16"/>
                  <w:color w:val="auto"/>
                </w:rPr>
                <w:t>Report on Form 10-Q for the quarter ended June 30, 2018, filed with the Commission on July 30, 2018 (File No. 001-12984) and</w:t>
              </w:r>
            </w:hyperlink>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0" w:type="dxa"/>
            <w:vAlign w:val="bottom"/>
            <w:gridSpan w:val="5"/>
            <w:vMerge w:val="restart"/>
          </w:tcPr>
          <w:p>
            <w:pPr>
              <w:spacing w:after="0" w:line="162" w:lineRule="exact"/>
              <w:rPr>
                <w:rFonts w:ascii="Arial" w:cs="Arial" w:eastAsia="Arial" w:hAnsi="Arial"/>
                <w:sz w:val="16"/>
                <w:szCs w:val="16"/>
                <w:color w:val="auto"/>
              </w:rPr>
            </w:pPr>
            <w:hyperlink r:id="rId265">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65">
              <w:r>
                <w:rPr>
                  <w:rFonts w:ascii="Arial" w:cs="Arial" w:eastAsia="Arial" w:hAnsi="Arial"/>
                  <w:sz w:val="7"/>
                  <w:szCs w:val="7"/>
                  <w:color w:val="auto"/>
                </w:rPr>
                <w:t>(1)</w:t>
              </w:r>
            </w:hyperlink>
          </w:p>
        </w:tc>
        <w:tc>
          <w:tcPr>
            <w:tcW w:w="2260" w:type="dxa"/>
            <w:vAlign w:val="bottom"/>
            <w:gridSpan w:val="2"/>
            <w:vMerge w:val="restart"/>
          </w:tcPr>
          <w:p>
            <w:pPr>
              <w:spacing w:after="0"/>
              <w:rPr>
                <w:sz w:val="7"/>
                <w:szCs w:val="7"/>
                <w:color w:val="auto"/>
              </w:rPr>
            </w:pPr>
          </w:p>
        </w:tc>
        <w:tc>
          <w:tcPr>
            <w:tcW w:w="4420" w:type="dxa"/>
            <w:vAlign w:val="bottom"/>
            <w:gridSpan w:val="2"/>
            <w:vMerge w:val="restart"/>
          </w:tcPr>
          <w:p>
            <w:pPr>
              <w:spacing w:after="0"/>
              <w:rPr>
                <w:sz w:val="7"/>
                <w:szCs w:val="7"/>
                <w:color w:val="auto"/>
              </w:rPr>
            </w:pPr>
          </w:p>
        </w:tc>
        <w:tc>
          <w:tcPr>
            <w:tcW w:w="570" w:type="dxa"/>
            <w:vAlign w:val="bottom"/>
            <w:gridSpan w:val="4"/>
          </w:tcPr>
          <w:p>
            <w:pPr>
              <w:spacing w:after="0"/>
              <w:rPr>
                <w:sz w:val="7"/>
                <w:szCs w:val="7"/>
                <w:color w:val="auto"/>
              </w:rPr>
            </w:pPr>
          </w:p>
        </w:tc>
        <w:tc>
          <w:tcPr>
            <w:tcW w:w="23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4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 w:type="dxa"/>
            <w:vAlign w:val="bottom"/>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10.13(a)</w:t>
            </w:r>
          </w:p>
        </w:tc>
        <w:tc>
          <w:tcPr>
            <w:tcW w:w="10320" w:type="dxa"/>
            <w:vAlign w:val="bottom"/>
            <w:gridSpan w:val="19"/>
          </w:tcPr>
          <w:p>
            <w:pPr>
              <w:ind w:left="280"/>
              <w:spacing w:after="0"/>
              <w:rPr>
                <w:rFonts w:ascii="Arial" w:cs="Arial" w:eastAsia="Arial" w:hAnsi="Arial"/>
                <w:sz w:val="16"/>
                <w:szCs w:val="16"/>
                <w:color w:val="auto"/>
              </w:rPr>
            </w:pPr>
            <w:hyperlink r:id="rId266">
              <w:r>
                <w:rPr>
                  <w:rFonts w:ascii="Arial" w:cs="Arial" w:eastAsia="Arial" w:hAnsi="Arial"/>
                  <w:sz w:val="16"/>
                  <w:szCs w:val="16"/>
                  <w:color w:val="auto"/>
                </w:rPr>
                <w:t>Form of Time Vesting Non-Qualified Stock Option Agreement for Senior Executives filed as Exhibit 10.4 to the Company’s Quarterly Report</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20" w:type="dxa"/>
            <w:vAlign w:val="bottom"/>
            <w:tcBorders>
              <w:top w:val="single" w:sz="8" w:color="0000EE"/>
            </w:tcBorders>
            <w:gridSpan w:val="17"/>
          </w:tcPr>
          <w:p>
            <w:pPr>
              <w:spacing w:after="0" w:line="142" w:lineRule="exact"/>
              <w:rPr>
                <w:rFonts w:ascii="Arial" w:cs="Arial" w:eastAsia="Arial" w:hAnsi="Arial"/>
                <w:sz w:val="16"/>
                <w:szCs w:val="16"/>
                <w:color w:val="auto"/>
              </w:rPr>
            </w:pPr>
            <w:hyperlink r:id="rId266">
              <w:r>
                <w:rPr>
                  <w:rFonts w:ascii="Arial" w:cs="Arial" w:eastAsia="Arial" w:hAnsi="Arial"/>
                  <w:sz w:val="16"/>
                  <w:szCs w:val="16"/>
                  <w:color w:val="auto"/>
                </w:rPr>
                <w:t>on Form 10-Q for the quarter ended June 30, 2018, filed with the Commission on July 30, 2018 (File No. 001-12984) and incorporated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gridSpan w:val="3"/>
            <w:vMerge w:val="restart"/>
          </w:tcPr>
          <w:p>
            <w:pPr>
              <w:spacing w:after="0" w:line="162" w:lineRule="exact"/>
              <w:rPr>
                <w:rFonts w:ascii="Arial" w:cs="Arial" w:eastAsia="Arial" w:hAnsi="Arial"/>
                <w:sz w:val="16"/>
                <w:szCs w:val="16"/>
                <w:color w:val="auto"/>
              </w:rPr>
            </w:pPr>
            <w:hyperlink r:id="rId266">
              <w:r>
                <w:rPr>
                  <w:rFonts w:ascii="Arial" w:cs="Arial" w:eastAsia="Arial" w:hAnsi="Arial"/>
                  <w:sz w:val="16"/>
                  <w:szCs w:val="16"/>
                  <w:color w:val="auto"/>
                </w:rPr>
                <w:t>herein 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66">
              <w:r>
                <w:rPr>
                  <w:rFonts w:ascii="Arial" w:cs="Arial" w:eastAsia="Arial" w:hAnsi="Arial"/>
                  <w:sz w:val="7"/>
                  <w:szCs w:val="7"/>
                  <w:color w:val="auto"/>
                </w:rPr>
                <w:t>(1)</w:t>
              </w:r>
            </w:hyperlink>
          </w:p>
        </w:tc>
        <w:tc>
          <w:tcPr>
            <w:tcW w:w="3200" w:type="dxa"/>
            <w:vAlign w:val="bottom"/>
            <w:gridSpan w:val="4"/>
            <w:vMerge w:val="restart"/>
          </w:tcPr>
          <w:p>
            <w:pPr>
              <w:spacing w:after="0"/>
              <w:rPr>
                <w:sz w:val="7"/>
                <w:szCs w:val="7"/>
                <w:color w:val="auto"/>
              </w:rPr>
            </w:pPr>
          </w:p>
        </w:tc>
        <w:tc>
          <w:tcPr>
            <w:tcW w:w="4820" w:type="dxa"/>
            <w:vAlign w:val="bottom"/>
            <w:gridSpan w:val="4"/>
            <w:vMerge w:val="restart"/>
          </w:tcPr>
          <w:p>
            <w:pPr>
              <w:spacing w:after="0"/>
              <w:rPr>
                <w:sz w:val="7"/>
                <w:szCs w:val="7"/>
                <w:color w:val="auto"/>
              </w:rPr>
            </w:pPr>
          </w:p>
        </w:tc>
        <w:tc>
          <w:tcPr>
            <w:tcW w:w="170" w:type="dxa"/>
            <w:vAlign w:val="bottom"/>
            <w:gridSpan w:val="2"/>
          </w:tcPr>
          <w:p>
            <w:pPr>
              <w:spacing w:after="0"/>
              <w:rPr>
                <w:sz w:val="7"/>
                <w:szCs w:val="7"/>
                <w:color w:val="auto"/>
              </w:rPr>
            </w:pPr>
          </w:p>
        </w:tc>
        <w:tc>
          <w:tcPr>
            <w:tcW w:w="23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200" w:type="dxa"/>
            <w:vAlign w:val="bottom"/>
            <w:gridSpan w:val="4"/>
            <w:vMerge w:val="continue"/>
          </w:tcPr>
          <w:p>
            <w:pPr>
              <w:spacing w:after="0"/>
              <w:rPr>
                <w:sz w:val="5"/>
                <w:szCs w:val="5"/>
                <w:color w:val="auto"/>
              </w:rPr>
            </w:pPr>
          </w:p>
        </w:tc>
        <w:tc>
          <w:tcPr>
            <w:tcW w:w="48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90" w:type="dxa"/>
            <w:vAlign w:val="bottom"/>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Arial" w:cs="Arial" w:eastAsia="Arial" w:hAnsi="Arial"/>
                <w:sz w:val="16"/>
                <w:szCs w:val="16"/>
                <w:color w:val="auto"/>
              </w:rPr>
              <w:t>10.13(d)</w:t>
            </w:r>
          </w:p>
        </w:tc>
        <w:tc>
          <w:tcPr>
            <w:tcW w:w="10320" w:type="dxa"/>
            <w:vAlign w:val="bottom"/>
            <w:gridSpan w:val="19"/>
          </w:tcPr>
          <w:p>
            <w:pPr>
              <w:ind w:left="280"/>
              <w:spacing w:after="0"/>
              <w:rPr>
                <w:rFonts w:ascii="Arial" w:cs="Arial" w:eastAsia="Arial" w:hAnsi="Arial"/>
                <w:sz w:val="16"/>
                <w:szCs w:val="16"/>
                <w:color w:val="auto"/>
              </w:rPr>
            </w:pPr>
            <w:hyperlink r:id="rId267">
              <w:r>
                <w:rPr>
                  <w:rFonts w:ascii="Arial" w:cs="Arial" w:eastAsia="Arial" w:hAnsi="Arial"/>
                  <w:sz w:val="16"/>
                  <w:szCs w:val="16"/>
                  <w:color w:val="auto"/>
                </w:rPr>
                <w:t>Form of Non-Qualified Stock Option Agreement for Non-Employee Directors filed as Exhibit 10.2 to the Company’s Quarterly Report on</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720" w:type="dxa"/>
            <w:vAlign w:val="bottom"/>
            <w:tcBorders>
              <w:top w:val="single" w:sz="8" w:color="0000EE"/>
            </w:tcBorders>
            <w:gridSpan w:val="13"/>
          </w:tcPr>
          <w:p>
            <w:pPr>
              <w:spacing w:after="0" w:line="142" w:lineRule="exact"/>
              <w:rPr>
                <w:rFonts w:ascii="Arial" w:cs="Arial" w:eastAsia="Arial" w:hAnsi="Arial"/>
                <w:sz w:val="16"/>
                <w:szCs w:val="16"/>
                <w:color w:val="auto"/>
              </w:rPr>
            </w:pPr>
            <w:hyperlink r:id="rId267">
              <w:r>
                <w:rPr>
                  <w:rFonts w:ascii="Arial" w:cs="Arial" w:eastAsia="Arial" w:hAnsi="Arial"/>
                  <w:sz w:val="16"/>
                  <w:szCs w:val="16"/>
                  <w:color w:val="auto"/>
                </w:rPr>
                <w:t>Form 10-Q for the quarter ended September 30, 2018, filed with the Commission on October 30, 2018 (File No. 001-12984) and</w:t>
              </w:r>
            </w:hyperlink>
          </w:p>
        </w:tc>
        <w:tc>
          <w:tcPr>
            <w:tcW w:w="90" w:type="dxa"/>
            <w:vAlign w:val="bottom"/>
          </w:tcPr>
          <w:p>
            <w:pPr>
              <w:spacing w:after="0"/>
              <w:rPr>
                <w:sz w:val="12"/>
                <w:szCs w:val="12"/>
                <w:color w:val="auto"/>
              </w:rPr>
            </w:pPr>
          </w:p>
        </w:tc>
        <w:tc>
          <w:tcPr>
            <w:tcW w:w="23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0" w:type="dxa"/>
            <w:vAlign w:val="bottom"/>
            <w:gridSpan w:val="5"/>
            <w:vMerge w:val="restart"/>
          </w:tcPr>
          <w:p>
            <w:pPr>
              <w:spacing w:after="0" w:line="162" w:lineRule="exact"/>
              <w:rPr>
                <w:rFonts w:ascii="Arial" w:cs="Arial" w:eastAsia="Arial" w:hAnsi="Arial"/>
                <w:sz w:val="16"/>
                <w:szCs w:val="16"/>
                <w:color w:val="auto"/>
              </w:rPr>
            </w:pPr>
            <w:hyperlink r:id="rId267">
              <w:r>
                <w:rPr>
                  <w:rFonts w:ascii="Arial" w:cs="Arial" w:eastAsia="Arial" w:hAnsi="Arial"/>
                  <w:sz w:val="16"/>
                  <w:szCs w:val="16"/>
                  <w:color w:val="auto"/>
                </w:rPr>
                <w:t>incorporated herein by reference.</w:t>
              </w:r>
            </w:hyperlink>
          </w:p>
        </w:tc>
        <w:tc>
          <w:tcPr>
            <w:tcW w:w="16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67">
              <w:r>
                <w:rPr>
                  <w:rFonts w:ascii="Arial" w:cs="Arial" w:eastAsia="Arial" w:hAnsi="Arial"/>
                  <w:sz w:val="7"/>
                  <w:szCs w:val="7"/>
                  <w:color w:val="auto"/>
                </w:rPr>
                <w:t>(1)</w:t>
              </w:r>
            </w:hyperlink>
          </w:p>
        </w:tc>
        <w:tc>
          <w:tcPr>
            <w:tcW w:w="2260" w:type="dxa"/>
            <w:vAlign w:val="bottom"/>
            <w:gridSpan w:val="2"/>
            <w:vMerge w:val="restart"/>
          </w:tcPr>
          <w:p>
            <w:pPr>
              <w:spacing w:after="0"/>
              <w:rPr>
                <w:sz w:val="7"/>
                <w:szCs w:val="7"/>
                <w:color w:val="auto"/>
              </w:rPr>
            </w:pPr>
          </w:p>
        </w:tc>
        <w:tc>
          <w:tcPr>
            <w:tcW w:w="4380" w:type="dxa"/>
            <w:vAlign w:val="bottom"/>
            <w:vMerge w:val="restart"/>
          </w:tcPr>
          <w:p>
            <w:pPr>
              <w:spacing w:after="0"/>
              <w:rPr>
                <w:sz w:val="7"/>
                <w:szCs w:val="7"/>
                <w:color w:val="auto"/>
              </w:rPr>
            </w:pPr>
          </w:p>
        </w:tc>
        <w:tc>
          <w:tcPr>
            <w:tcW w:w="610" w:type="dxa"/>
            <w:vAlign w:val="bottom"/>
            <w:gridSpan w:val="5"/>
          </w:tcPr>
          <w:p>
            <w:pPr>
              <w:spacing w:after="0"/>
              <w:rPr>
                <w:sz w:val="7"/>
                <w:szCs w:val="7"/>
                <w:color w:val="auto"/>
              </w:rPr>
            </w:pPr>
          </w:p>
        </w:tc>
        <w:tc>
          <w:tcPr>
            <w:tcW w:w="23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0" w:type="dxa"/>
            <w:vAlign w:val="bottom"/>
            <w:tcBorders>
              <w:bottom w:val="single" w:sz="8" w:color="0000EE"/>
            </w:tcBorders>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gridSpan w:val="2"/>
            <w:vMerge w:val="continue"/>
          </w:tcPr>
          <w:p>
            <w:pPr>
              <w:spacing w:after="0"/>
              <w:rPr>
                <w:sz w:val="5"/>
                <w:szCs w:val="5"/>
                <w:color w:val="auto"/>
              </w:rPr>
            </w:pPr>
          </w:p>
        </w:tc>
        <w:tc>
          <w:tcPr>
            <w:tcW w:w="4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 w:type="dxa"/>
            <w:vAlign w:val="bottom"/>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6"/>
                <w:szCs w:val="16"/>
                <w:color w:val="auto"/>
              </w:rPr>
              <w:t>10.14</w:t>
            </w:r>
          </w:p>
        </w:tc>
        <w:tc>
          <w:tcPr>
            <w:tcW w:w="10320" w:type="dxa"/>
            <w:vAlign w:val="bottom"/>
            <w:gridSpan w:val="19"/>
          </w:tcPr>
          <w:p>
            <w:pPr>
              <w:ind w:left="280"/>
              <w:spacing w:after="0"/>
              <w:rPr>
                <w:rFonts w:ascii="Arial" w:cs="Arial" w:eastAsia="Arial" w:hAnsi="Arial"/>
                <w:sz w:val="16"/>
                <w:szCs w:val="16"/>
                <w:color w:val="auto"/>
              </w:rPr>
            </w:pPr>
            <w:hyperlink r:id="rId268">
              <w:r>
                <w:rPr>
                  <w:rFonts w:ascii="Arial" w:cs="Arial" w:eastAsia="Arial" w:hAnsi="Arial"/>
                  <w:sz w:val="16"/>
                  <w:szCs w:val="16"/>
                  <w:color w:val="auto"/>
                </w:rPr>
                <w:t>The Eagle Materials Inc. Retirement Plan filed as Exhibit 4.6 to the Company’s Form S-8 POS, filed with the Commission on January 31,</w:t>
              </w:r>
            </w:hyperlink>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40" w:type="dxa"/>
            <w:vAlign w:val="bottom"/>
            <w:gridSpan w:val="7"/>
            <w:vMerge w:val="restart"/>
          </w:tcPr>
          <w:p>
            <w:pPr>
              <w:spacing w:after="0" w:line="175" w:lineRule="exact"/>
              <w:rPr>
                <w:rFonts w:ascii="Arial" w:cs="Arial" w:eastAsia="Arial" w:hAnsi="Arial"/>
                <w:sz w:val="16"/>
                <w:szCs w:val="16"/>
                <w:color w:val="auto"/>
              </w:rPr>
            </w:pPr>
            <w:hyperlink r:id="rId268">
              <w:r>
                <w:rPr>
                  <w:rFonts w:ascii="Arial" w:cs="Arial" w:eastAsia="Arial" w:hAnsi="Arial"/>
                  <w:sz w:val="16"/>
                  <w:szCs w:val="16"/>
                  <w:color w:val="auto"/>
                </w:rPr>
                <w:t>2019 (File No. 001-12984) and incorporated herein by reference.</w:t>
              </w:r>
            </w:hyperlink>
          </w:p>
        </w:tc>
        <w:tc>
          <w:tcPr>
            <w:tcW w:w="18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68">
              <w:r>
                <w:rPr>
                  <w:rFonts w:ascii="Arial" w:cs="Arial" w:eastAsia="Arial" w:hAnsi="Arial"/>
                  <w:sz w:val="8"/>
                  <w:szCs w:val="8"/>
                  <w:color w:val="auto"/>
                </w:rPr>
                <w:t>(1)</w:t>
              </w:r>
            </w:hyperlink>
          </w:p>
        </w:tc>
        <w:tc>
          <w:tcPr>
            <w:tcW w:w="4990" w:type="dxa"/>
            <w:vAlign w:val="bottom"/>
            <w:gridSpan w:val="6"/>
            <w:vMerge w:val="restart"/>
          </w:tcPr>
          <w:p>
            <w:pPr>
              <w:spacing w:after="0"/>
              <w:rPr>
                <w:sz w:val="8"/>
                <w:szCs w:val="8"/>
                <w:color w:val="auto"/>
              </w:rPr>
            </w:pPr>
          </w:p>
        </w:tc>
        <w:tc>
          <w:tcPr>
            <w:tcW w:w="23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40" w:type="dxa"/>
            <w:vAlign w:val="bottom"/>
            <w:tcBorders>
              <w:bottom w:val="single" w:sz="8" w:color="0000EE"/>
            </w:tcBorders>
            <w:gridSpan w:val="7"/>
            <w:vMerge w:val="continue"/>
          </w:tcPr>
          <w:p>
            <w:pPr>
              <w:spacing w:after="0"/>
              <w:rPr>
                <w:sz w:val="5"/>
                <w:szCs w:val="5"/>
                <w:color w:val="auto"/>
              </w:rPr>
            </w:pPr>
          </w:p>
        </w:tc>
        <w:tc>
          <w:tcPr>
            <w:tcW w:w="180" w:type="dxa"/>
            <w:vAlign w:val="bottom"/>
          </w:tcPr>
          <w:p>
            <w:pPr>
              <w:spacing w:after="0"/>
              <w:rPr>
                <w:sz w:val="5"/>
                <w:szCs w:val="5"/>
                <w:color w:val="auto"/>
              </w:rPr>
            </w:pPr>
          </w:p>
        </w:tc>
        <w:tc>
          <w:tcPr>
            <w:tcW w:w="4990" w:type="dxa"/>
            <w:vAlign w:val="bottom"/>
            <w:gridSpan w:val="6"/>
            <w:vMerge w:val="continue"/>
          </w:tcPr>
          <w:p>
            <w:pPr>
              <w:spacing w:after="0"/>
              <w:rPr>
                <w:sz w:val="5"/>
                <w:szCs w:val="5"/>
                <w:color w:val="auto"/>
              </w:rPr>
            </w:pPr>
          </w:p>
        </w:tc>
        <w:tc>
          <w:tcPr>
            <w:tcW w:w="15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-3950970</wp:posOffset>
            </wp:positionV>
            <wp:extent cx="58381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583819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-3556635</wp:posOffset>
            </wp:positionV>
            <wp:extent cx="62160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621601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-3162300</wp:posOffset>
            </wp:positionV>
            <wp:extent cx="63182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631825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-2767965</wp:posOffset>
            </wp:positionV>
            <wp:extent cx="59810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5981065"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-2374265</wp:posOffset>
            </wp:positionV>
            <wp:extent cx="58381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5838190"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-1979295</wp:posOffset>
            </wp:positionV>
            <wp:extent cx="58553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585533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-1584960</wp:posOffset>
            </wp:positionV>
            <wp:extent cx="61182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611822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-1190625</wp:posOffset>
            </wp:positionV>
            <wp:extent cx="58553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585533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-796290</wp:posOffset>
            </wp:positionV>
            <wp:extent cx="61182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611822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-402590</wp:posOffset>
            </wp:positionV>
            <wp:extent cx="58381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583819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-110490</wp:posOffset>
            </wp:positionV>
            <wp:extent cx="62299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6229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68" w:right="3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10.15</w:t>
            </w:r>
          </w:p>
        </w:tc>
        <w:tc>
          <w:tcPr>
            <w:tcW w:w="10020" w:type="dxa"/>
            <w:vAlign w:val="bottom"/>
            <w:gridSpan w:val="34"/>
          </w:tcPr>
          <w:p>
            <w:pPr>
              <w:spacing w:after="0"/>
              <w:rPr>
                <w:rFonts w:ascii="Arial" w:cs="Arial" w:eastAsia="Arial" w:hAnsi="Arial"/>
                <w:sz w:val="16"/>
                <w:szCs w:val="16"/>
                <w:color w:val="auto"/>
              </w:rPr>
            </w:pPr>
            <w:hyperlink r:id="rId281">
              <w:r>
                <w:rPr>
                  <w:rFonts w:ascii="Arial" w:cs="Arial" w:eastAsia="Arial" w:hAnsi="Arial"/>
                  <w:sz w:val="16"/>
                  <w:szCs w:val="16"/>
                  <w:color w:val="auto"/>
                </w:rPr>
                <w:t>The Eagle Materials Inc. Amended and Restated Supplemental Executive Retirement Plan filed as Exhibit 10.4 to the Company’s Annual</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20" w:type="dxa"/>
            <w:vAlign w:val="bottom"/>
            <w:tcBorders>
              <w:top w:val="single" w:sz="8" w:color="0000EE"/>
            </w:tcBorders>
            <w:gridSpan w:val="23"/>
          </w:tcPr>
          <w:p>
            <w:pPr>
              <w:spacing w:after="0" w:line="129" w:lineRule="exact"/>
              <w:rPr>
                <w:rFonts w:ascii="Arial" w:cs="Arial" w:eastAsia="Arial" w:hAnsi="Arial"/>
                <w:sz w:val="14"/>
                <w:szCs w:val="14"/>
                <w:color w:val="auto"/>
              </w:rPr>
            </w:pPr>
            <w:hyperlink r:id="rId281">
              <w:r>
                <w:rPr>
                  <w:rFonts w:ascii="Arial" w:cs="Arial" w:eastAsia="Arial" w:hAnsi="Arial"/>
                  <w:sz w:val="14"/>
                  <w:szCs w:val="14"/>
                  <w:color w:val="auto"/>
                </w:rPr>
                <w:t>Report on Form 10-K for the fiscal year ended March 31, 2000, filed with the Commission on June 21, 2000 (File No. 001-12984)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8"/>
            <w:vMerge w:val="restart"/>
          </w:tcPr>
          <w:p>
            <w:pPr>
              <w:spacing w:after="0" w:line="175" w:lineRule="exact"/>
              <w:rPr>
                <w:rFonts w:ascii="Arial" w:cs="Arial" w:eastAsia="Arial" w:hAnsi="Arial"/>
                <w:sz w:val="16"/>
                <w:szCs w:val="16"/>
                <w:color w:val="auto"/>
              </w:rPr>
            </w:pPr>
            <w:hyperlink r:id="rId281">
              <w:r>
                <w:rPr>
                  <w:rFonts w:ascii="Arial" w:cs="Arial" w:eastAsia="Arial" w:hAnsi="Arial"/>
                  <w:sz w:val="16"/>
                  <w:szCs w:val="16"/>
                  <w:color w:val="auto"/>
                </w:rPr>
                <w:t>incorporated herein by reference.</w:t>
              </w:r>
            </w:hyperlink>
          </w:p>
        </w:tc>
        <w:tc>
          <w:tcPr>
            <w:tcW w:w="160" w:type="dxa"/>
            <w:vAlign w:val="bottom"/>
            <w:tcBorders>
              <w:bottom w:val="single" w:sz="8" w:color="0000EE"/>
            </w:tcBorders>
            <w:gridSpan w:val="2"/>
          </w:tcPr>
          <w:p>
            <w:pPr>
              <w:jc w:val="right"/>
              <w:spacing w:after="0" w:line="75" w:lineRule="exact"/>
              <w:rPr>
                <w:rFonts w:ascii="Arial" w:cs="Arial" w:eastAsia="Arial" w:hAnsi="Arial"/>
                <w:sz w:val="8"/>
                <w:szCs w:val="8"/>
                <w:color w:val="auto"/>
              </w:rPr>
            </w:pPr>
            <w:hyperlink r:id="rId281">
              <w:r>
                <w:rPr>
                  <w:rFonts w:ascii="Arial" w:cs="Arial" w:eastAsia="Arial" w:hAnsi="Arial"/>
                  <w:sz w:val="8"/>
                  <w:szCs w:val="8"/>
                  <w:color w:val="auto"/>
                </w:rPr>
                <w:t>(1)</w:t>
              </w:r>
            </w:hyperlink>
          </w:p>
        </w:tc>
        <w:tc>
          <w:tcPr>
            <w:tcW w:w="20" w:type="dxa"/>
            <w:vAlign w:val="bottom"/>
            <w:vMerge w:val="restart"/>
          </w:tcPr>
          <w:p>
            <w:pPr>
              <w:spacing w:after="0"/>
              <w:rPr>
                <w:sz w:val="8"/>
                <w:szCs w:val="8"/>
                <w:color w:val="auto"/>
              </w:rPr>
            </w:pPr>
          </w:p>
        </w:tc>
        <w:tc>
          <w:tcPr>
            <w:tcW w:w="3040" w:type="dxa"/>
            <w:vAlign w:val="bottom"/>
            <w:gridSpan w:val="3"/>
            <w:vMerge w:val="restart"/>
          </w:tcPr>
          <w:p>
            <w:pPr>
              <w:spacing w:after="0"/>
              <w:rPr>
                <w:sz w:val="8"/>
                <w:szCs w:val="8"/>
                <w:color w:val="auto"/>
              </w:rPr>
            </w:pPr>
          </w:p>
        </w:tc>
        <w:tc>
          <w:tcPr>
            <w:tcW w:w="980" w:type="dxa"/>
            <w:vAlign w:val="bottom"/>
            <w:gridSpan w:val="2"/>
            <w:vMerge w:val="restart"/>
          </w:tcPr>
          <w:p>
            <w:pPr>
              <w:spacing w:after="0"/>
              <w:rPr>
                <w:sz w:val="8"/>
                <w:szCs w:val="8"/>
                <w:color w:val="auto"/>
              </w:rPr>
            </w:pPr>
          </w:p>
        </w:tc>
        <w:tc>
          <w:tcPr>
            <w:tcW w:w="940" w:type="dxa"/>
            <w:vAlign w:val="bottom"/>
            <w:gridSpan w:val="2"/>
            <w:vMerge w:val="restart"/>
          </w:tcPr>
          <w:p>
            <w:pPr>
              <w:spacing w:after="0"/>
              <w:rPr>
                <w:sz w:val="8"/>
                <w:szCs w:val="8"/>
                <w:color w:val="auto"/>
              </w:rPr>
            </w:pPr>
          </w:p>
        </w:tc>
        <w:tc>
          <w:tcPr>
            <w:tcW w:w="2060" w:type="dxa"/>
            <w:vAlign w:val="bottom"/>
            <w:gridSpan w:val="2"/>
            <w:vMerge w:val="restart"/>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tcBorders>
              <w:bottom w:val="single" w:sz="8" w:color="0000EE"/>
            </w:tcBorders>
            <w:gridSpan w:val="8"/>
            <w:vMerge w:val="continue"/>
          </w:tcPr>
          <w:p>
            <w:pPr>
              <w:spacing w:after="0"/>
              <w:rPr>
                <w:sz w:val="5"/>
                <w:szCs w:val="5"/>
                <w:color w:val="auto"/>
              </w:rPr>
            </w:pPr>
          </w:p>
        </w:tc>
        <w:tc>
          <w:tcPr>
            <w:tcW w:w="160" w:type="dxa"/>
            <w:vAlign w:val="bottom"/>
            <w:gridSpan w:val="2"/>
          </w:tcPr>
          <w:p>
            <w:pPr>
              <w:spacing w:after="0"/>
              <w:rPr>
                <w:sz w:val="5"/>
                <w:szCs w:val="5"/>
                <w:color w:val="auto"/>
              </w:rPr>
            </w:pPr>
          </w:p>
        </w:tc>
        <w:tc>
          <w:tcPr>
            <w:tcW w:w="20" w:type="dxa"/>
            <w:vAlign w:val="bottom"/>
            <w:vMerge w:val="continue"/>
          </w:tcPr>
          <w:p>
            <w:pPr>
              <w:spacing w:after="0"/>
              <w:rPr>
                <w:sz w:val="5"/>
                <w:szCs w:val="5"/>
                <w:color w:val="auto"/>
              </w:rPr>
            </w:pPr>
          </w:p>
        </w:tc>
        <w:tc>
          <w:tcPr>
            <w:tcW w:w="3040" w:type="dxa"/>
            <w:vAlign w:val="bottom"/>
            <w:gridSpan w:val="3"/>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10.15(a)</w:t>
            </w:r>
          </w:p>
        </w:tc>
        <w:tc>
          <w:tcPr>
            <w:tcW w:w="10020" w:type="dxa"/>
            <w:vAlign w:val="bottom"/>
            <w:gridSpan w:val="34"/>
          </w:tcPr>
          <w:p>
            <w:pPr>
              <w:spacing w:after="0"/>
              <w:rPr>
                <w:rFonts w:ascii="Arial" w:cs="Arial" w:eastAsia="Arial" w:hAnsi="Arial"/>
                <w:sz w:val="16"/>
                <w:szCs w:val="16"/>
                <w:color w:val="auto"/>
              </w:rPr>
            </w:pPr>
            <w:hyperlink r:id="rId282">
              <w:r>
                <w:rPr>
                  <w:rFonts w:ascii="Arial" w:cs="Arial" w:eastAsia="Arial" w:hAnsi="Arial"/>
                  <w:sz w:val="16"/>
                  <w:szCs w:val="16"/>
                  <w:color w:val="auto"/>
                </w:rPr>
                <w:t>First Amendment to the Eagle Materials Inc. Amended and Restated Supplemental Executive Retirement Plan, dated as of May 11, 2004,</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20" w:type="dxa"/>
            <w:vAlign w:val="bottom"/>
            <w:tcBorders>
              <w:top w:val="single" w:sz="8" w:color="0000EE"/>
            </w:tcBorders>
            <w:gridSpan w:val="28"/>
          </w:tcPr>
          <w:p>
            <w:pPr>
              <w:spacing w:after="0" w:line="129" w:lineRule="exact"/>
              <w:rPr>
                <w:rFonts w:ascii="Arial" w:cs="Arial" w:eastAsia="Arial" w:hAnsi="Arial"/>
                <w:sz w:val="14"/>
                <w:szCs w:val="14"/>
                <w:color w:val="auto"/>
              </w:rPr>
            </w:pPr>
            <w:hyperlink r:id="rId282">
              <w:r>
                <w:rPr>
                  <w:rFonts w:ascii="Arial" w:cs="Arial" w:eastAsia="Arial" w:hAnsi="Arial"/>
                  <w:sz w:val="14"/>
                  <w:szCs w:val="14"/>
                  <w:color w:val="auto"/>
                </w:rPr>
                <w:t>filed as Exhibit 10.4(a) to the Company’s Annual Report on Form 10-K for the fiscal year ended March 31, 2006, filed with the Commission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20" w:type="dxa"/>
            <w:vAlign w:val="bottom"/>
            <w:gridSpan w:val="13"/>
            <w:vMerge w:val="restart"/>
          </w:tcPr>
          <w:p>
            <w:pPr>
              <w:spacing w:after="0" w:line="175" w:lineRule="exact"/>
              <w:rPr>
                <w:rFonts w:ascii="Arial" w:cs="Arial" w:eastAsia="Arial" w:hAnsi="Arial"/>
                <w:sz w:val="16"/>
                <w:szCs w:val="16"/>
                <w:color w:val="auto"/>
              </w:rPr>
            </w:pPr>
            <w:hyperlink r:id="rId282">
              <w:r>
                <w:rPr>
                  <w:rFonts w:ascii="Arial" w:cs="Arial" w:eastAsia="Arial" w:hAnsi="Arial"/>
                  <w:sz w:val="16"/>
                  <w:szCs w:val="16"/>
                  <w:color w:val="auto"/>
                </w:rPr>
                <w:t>on June 2, 2006 (File No. 001-12984) and incorporated herein by reference.</w:t>
              </w:r>
            </w:hyperlink>
          </w:p>
        </w:tc>
        <w:tc>
          <w:tcPr>
            <w:tcW w:w="18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82">
              <w:r>
                <w:rPr>
                  <w:rFonts w:ascii="Arial" w:cs="Arial" w:eastAsia="Arial" w:hAnsi="Arial"/>
                  <w:sz w:val="8"/>
                  <w:szCs w:val="8"/>
                  <w:color w:val="auto"/>
                </w:rPr>
                <w:t>(1)</w:t>
              </w:r>
            </w:hyperlink>
          </w:p>
        </w:tc>
        <w:tc>
          <w:tcPr>
            <w:tcW w:w="980" w:type="dxa"/>
            <w:vAlign w:val="bottom"/>
            <w:gridSpan w:val="2"/>
            <w:vMerge w:val="restart"/>
          </w:tcPr>
          <w:p>
            <w:pPr>
              <w:spacing w:after="0"/>
              <w:rPr>
                <w:sz w:val="8"/>
                <w:szCs w:val="8"/>
                <w:color w:val="auto"/>
              </w:rPr>
            </w:pPr>
          </w:p>
        </w:tc>
        <w:tc>
          <w:tcPr>
            <w:tcW w:w="940" w:type="dxa"/>
            <w:vAlign w:val="bottom"/>
            <w:gridSpan w:val="2"/>
            <w:vMerge w:val="restart"/>
          </w:tcPr>
          <w:p>
            <w:pPr>
              <w:spacing w:after="0"/>
              <w:rPr>
                <w:sz w:val="8"/>
                <w:szCs w:val="8"/>
                <w:color w:val="auto"/>
              </w:rPr>
            </w:pPr>
          </w:p>
        </w:tc>
        <w:tc>
          <w:tcPr>
            <w:tcW w:w="2440" w:type="dxa"/>
            <w:vAlign w:val="bottom"/>
            <w:gridSpan w:val="12"/>
            <w:vMerge w:val="restart"/>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20" w:type="dxa"/>
            <w:vAlign w:val="bottom"/>
            <w:tcBorders>
              <w:bottom w:val="single" w:sz="8" w:color="0000EE"/>
            </w:tcBorders>
            <w:gridSpan w:val="13"/>
            <w:vMerge w:val="continue"/>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440" w:type="dxa"/>
            <w:vAlign w:val="bottom"/>
            <w:gridSpan w:val="1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10.16</w:t>
            </w:r>
          </w:p>
        </w:tc>
        <w:tc>
          <w:tcPr>
            <w:tcW w:w="10020" w:type="dxa"/>
            <w:vAlign w:val="bottom"/>
            <w:gridSpan w:val="34"/>
          </w:tcPr>
          <w:p>
            <w:pPr>
              <w:spacing w:after="0"/>
              <w:rPr>
                <w:rFonts w:ascii="Arial" w:cs="Arial" w:eastAsia="Arial" w:hAnsi="Arial"/>
                <w:sz w:val="16"/>
                <w:szCs w:val="16"/>
                <w:color w:val="auto"/>
              </w:rPr>
            </w:pPr>
            <w:hyperlink r:id="rId283">
              <w:r>
                <w:rPr>
                  <w:rFonts w:ascii="Arial" w:cs="Arial" w:eastAsia="Arial" w:hAnsi="Arial"/>
                  <w:sz w:val="16"/>
                  <w:szCs w:val="16"/>
                  <w:color w:val="auto"/>
                </w:rPr>
                <w:t>Trademark License and Name Domain Agreement dated January 30, 2004, between the Company and Centex Corporation, filed as Exhibit</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EE"/>
            </w:tcBorders>
            <w:gridSpan w:val="33"/>
          </w:tcPr>
          <w:p>
            <w:pPr>
              <w:spacing w:after="0" w:line="142" w:lineRule="exact"/>
              <w:rPr>
                <w:rFonts w:ascii="Arial" w:cs="Arial" w:eastAsia="Arial" w:hAnsi="Arial"/>
                <w:sz w:val="16"/>
                <w:szCs w:val="16"/>
                <w:color w:val="auto"/>
              </w:rPr>
            </w:pPr>
            <w:hyperlink r:id="rId283">
              <w:r>
                <w:rPr>
                  <w:rFonts w:ascii="Arial" w:cs="Arial" w:eastAsia="Arial" w:hAnsi="Arial"/>
                  <w:sz w:val="16"/>
                  <w:szCs w:val="16"/>
                  <w:color w:val="auto"/>
                </w:rPr>
                <w:t>10.5 to the Company’s Annual Report on Form 10-K for the fiscal year ended March 31, 2004, filed with the Commission on June 14, 2004</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EE"/>
            </w:tcBorders>
            <w:gridSpan w:val="31"/>
          </w:tcPr>
          <w:p>
            <w:pPr>
              <w:spacing w:after="0" w:line="142" w:lineRule="exact"/>
              <w:rPr>
                <w:rFonts w:ascii="Arial" w:cs="Arial" w:eastAsia="Arial" w:hAnsi="Arial"/>
                <w:sz w:val="16"/>
                <w:szCs w:val="16"/>
                <w:color w:val="auto"/>
              </w:rPr>
            </w:pPr>
            <w:hyperlink r:id="rId283">
              <w:r>
                <w:rPr>
                  <w:rFonts w:ascii="Arial" w:cs="Arial" w:eastAsia="Arial" w:hAnsi="Arial"/>
                  <w:sz w:val="16"/>
                  <w:szCs w:val="16"/>
                  <w:color w:val="auto"/>
                </w:rPr>
                <w:t>(File No. 001-12984) and incorporated herein by reference.</w:t>
              </w:r>
            </w:hyperlink>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6"/>
                <w:szCs w:val="16"/>
                <w:color w:val="auto"/>
              </w:rPr>
              <w:t>10.17</w:t>
            </w:r>
          </w:p>
        </w:tc>
        <w:tc>
          <w:tcPr>
            <w:tcW w:w="10020" w:type="dxa"/>
            <w:vAlign w:val="bottom"/>
            <w:gridSpan w:val="34"/>
          </w:tcPr>
          <w:p>
            <w:pPr>
              <w:spacing w:after="0"/>
              <w:rPr>
                <w:rFonts w:ascii="Arial" w:cs="Arial" w:eastAsia="Arial" w:hAnsi="Arial"/>
                <w:sz w:val="16"/>
                <w:szCs w:val="16"/>
                <w:color w:val="auto"/>
              </w:rPr>
            </w:pPr>
            <w:hyperlink r:id="rId284">
              <w:r>
                <w:rPr>
                  <w:rFonts w:ascii="Arial" w:cs="Arial" w:eastAsia="Arial" w:hAnsi="Arial"/>
                  <w:sz w:val="16"/>
                  <w:szCs w:val="16"/>
                  <w:color w:val="auto"/>
                </w:rPr>
                <w:t>Form of Indemnification Agreement between the Company and each of its directors filed as Exhibit 10.9 to the Company’s Annual Report</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EE"/>
              <w:bottom w:val="single" w:sz="8" w:color="0000EE"/>
            </w:tcBorders>
            <w:gridSpan w:val="25"/>
          </w:tcPr>
          <w:p>
            <w:pPr>
              <w:spacing w:after="0" w:line="142" w:lineRule="exact"/>
              <w:rPr>
                <w:rFonts w:ascii="Arial" w:cs="Arial" w:eastAsia="Arial" w:hAnsi="Arial"/>
                <w:sz w:val="16"/>
                <w:szCs w:val="16"/>
                <w:color w:val="auto"/>
              </w:rPr>
            </w:pPr>
            <w:hyperlink r:id="rId284">
              <w:r>
                <w:rPr>
                  <w:rFonts w:ascii="Arial" w:cs="Arial" w:eastAsia="Arial" w:hAnsi="Arial"/>
                  <w:sz w:val="16"/>
                  <w:szCs w:val="16"/>
                  <w:color w:val="auto"/>
                </w:rPr>
                <w:t>on Form 10-K for the fiscal year ended March 31, 2004, filed with the Commission on June 14, 2004 (File No. 001-12984) and incorporated</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0" w:type="dxa"/>
            <w:vAlign w:val="bottom"/>
            <w:tcBorders>
              <w:bottom w:val="single" w:sz="8" w:color="0000EE"/>
            </w:tcBorders>
            <w:gridSpan w:val="2"/>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0" w:type="dxa"/>
            <w:vAlign w:val="bottom"/>
            <w:tcBorders>
              <w:bottom w:val="single" w:sz="8" w:color="0000EE"/>
            </w:tcBorders>
            <w:gridSpan w:val="2"/>
          </w:tcPr>
          <w:p>
            <w:pPr>
              <w:spacing w:after="0"/>
              <w:rPr>
                <w:sz w:val="12"/>
                <w:szCs w:val="12"/>
                <w:color w:val="auto"/>
              </w:rPr>
            </w:pPr>
          </w:p>
        </w:tc>
        <w:tc>
          <w:tcPr>
            <w:tcW w:w="0" w:type="dxa"/>
            <w:vAlign w:val="bottom"/>
            <w:tcBorders>
              <w:bottom w:val="single" w:sz="8" w:color="0000E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1440" w:type="dxa"/>
            <w:vAlign w:val="bottom"/>
            <w:tcBorders>
              <w:bottom w:val="single" w:sz="8" w:color="0000EE"/>
            </w:tcBorders>
            <w:gridSpan w:val="5"/>
          </w:tcPr>
          <w:p>
            <w:pPr>
              <w:spacing w:after="0" w:line="142" w:lineRule="exact"/>
              <w:rPr>
                <w:rFonts w:ascii="Arial" w:cs="Arial" w:eastAsia="Arial" w:hAnsi="Arial"/>
                <w:sz w:val="16"/>
                <w:szCs w:val="16"/>
                <w:color w:val="auto"/>
                <w:w w:val="99"/>
              </w:rPr>
            </w:pPr>
            <w:hyperlink r:id="rId284">
              <w:r>
                <w:rPr>
                  <w:rFonts w:ascii="Arial" w:cs="Arial" w:eastAsia="Arial" w:hAnsi="Arial"/>
                  <w:sz w:val="16"/>
                  <w:szCs w:val="16"/>
                  <w:color w:val="auto"/>
                  <w:w w:val="99"/>
                </w:rPr>
                <w:t>herein by reference.</w:t>
              </w:r>
            </w:hyperlink>
          </w:p>
        </w:tc>
        <w:tc>
          <w:tcPr>
            <w:tcW w:w="8560" w:type="dxa"/>
            <w:vAlign w:val="bottom"/>
            <w:gridSpan w:val="28"/>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0"/>
                <w:szCs w:val="20"/>
                <w:color w:val="auto"/>
              </w:rPr>
            </w:pPr>
            <w:r>
              <w:rPr>
                <w:rFonts w:ascii="Arial" w:cs="Arial" w:eastAsia="Arial" w:hAnsi="Arial"/>
                <w:sz w:val="16"/>
                <w:szCs w:val="16"/>
                <w:color w:val="auto"/>
              </w:rPr>
              <w:t>10.18</w:t>
            </w:r>
          </w:p>
        </w:tc>
        <w:tc>
          <w:tcPr>
            <w:tcW w:w="10020" w:type="dxa"/>
            <w:vAlign w:val="bottom"/>
            <w:gridSpan w:val="34"/>
          </w:tcPr>
          <w:p>
            <w:pPr>
              <w:spacing w:after="0"/>
              <w:rPr>
                <w:rFonts w:ascii="Arial" w:cs="Arial" w:eastAsia="Arial" w:hAnsi="Arial"/>
                <w:sz w:val="16"/>
                <w:szCs w:val="16"/>
                <w:color w:val="auto"/>
              </w:rPr>
            </w:pPr>
            <w:hyperlink r:id="rId285">
              <w:r>
                <w:rPr>
                  <w:rFonts w:ascii="Arial" w:cs="Arial" w:eastAsia="Arial" w:hAnsi="Arial"/>
                  <w:sz w:val="16"/>
                  <w:szCs w:val="16"/>
                  <w:color w:val="auto"/>
                </w:rPr>
                <w:t>Eagle Materials Inc. Salaried Incentive Compensation Program for Fiscal Year 2022 filed as Exhibit 10.1 to the Current Report on Form 8-K</w:t>
              </w:r>
            </w:hyperlink>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360" w:type="dxa"/>
            <w:vAlign w:val="bottom"/>
            <w:gridSpan w:val="17"/>
            <w:vMerge w:val="restart"/>
          </w:tcPr>
          <w:p>
            <w:pPr>
              <w:spacing w:after="0" w:line="175" w:lineRule="exact"/>
              <w:rPr>
                <w:rFonts w:ascii="Arial" w:cs="Arial" w:eastAsia="Arial" w:hAnsi="Arial"/>
                <w:sz w:val="16"/>
                <w:szCs w:val="16"/>
                <w:color w:val="auto"/>
              </w:rPr>
            </w:pPr>
            <w:hyperlink r:id="rId285">
              <w:r>
                <w:rPr>
                  <w:rFonts w:ascii="Arial" w:cs="Arial" w:eastAsia="Arial" w:hAnsi="Arial"/>
                  <w:sz w:val="16"/>
                  <w:szCs w:val="16"/>
                  <w:color w:val="auto"/>
                </w:rPr>
                <w:t>filed with the Commission on May 21, 2021 (File No. 001-12984) and incorporated herein by reference.</w:t>
              </w:r>
            </w:hyperlink>
          </w:p>
        </w:tc>
        <w:tc>
          <w:tcPr>
            <w:tcW w:w="16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85">
              <w:r>
                <w:rPr>
                  <w:rFonts w:ascii="Arial" w:cs="Arial" w:eastAsia="Arial" w:hAnsi="Arial"/>
                  <w:sz w:val="8"/>
                  <w:szCs w:val="8"/>
                  <w:color w:val="auto"/>
                </w:rPr>
                <w:t>(1)</w:t>
              </w:r>
            </w:hyperlink>
          </w:p>
        </w:tc>
        <w:tc>
          <w:tcPr>
            <w:tcW w:w="2480" w:type="dxa"/>
            <w:vAlign w:val="bottom"/>
            <w:gridSpan w:val="15"/>
            <w:vMerge w:val="restart"/>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360" w:type="dxa"/>
            <w:vAlign w:val="bottom"/>
            <w:tcBorders>
              <w:bottom w:val="single" w:sz="8" w:color="0000EE"/>
            </w:tcBorders>
            <w:gridSpan w:val="17"/>
            <w:vMerge w:val="continue"/>
          </w:tcPr>
          <w:p>
            <w:pPr>
              <w:spacing w:after="0"/>
              <w:rPr>
                <w:sz w:val="5"/>
                <w:szCs w:val="5"/>
                <w:color w:val="auto"/>
              </w:rPr>
            </w:pPr>
          </w:p>
        </w:tc>
        <w:tc>
          <w:tcPr>
            <w:tcW w:w="160" w:type="dxa"/>
            <w:vAlign w:val="bottom"/>
          </w:tcPr>
          <w:p>
            <w:pPr>
              <w:spacing w:after="0"/>
              <w:rPr>
                <w:sz w:val="5"/>
                <w:szCs w:val="5"/>
                <w:color w:val="auto"/>
              </w:rPr>
            </w:pPr>
          </w:p>
        </w:tc>
        <w:tc>
          <w:tcPr>
            <w:tcW w:w="248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1180" w:type="dxa"/>
            <w:vAlign w:val="bottom"/>
          </w:tcPr>
          <w:p>
            <w:pPr>
              <w:spacing w:after="0"/>
              <w:rPr>
                <w:sz w:val="20"/>
                <w:szCs w:val="20"/>
                <w:color w:val="auto"/>
              </w:rPr>
            </w:pPr>
            <w:r>
              <w:rPr>
                <w:rFonts w:ascii="Arial" w:cs="Arial" w:eastAsia="Arial" w:hAnsi="Arial"/>
                <w:sz w:val="16"/>
                <w:szCs w:val="16"/>
                <w:color w:val="auto"/>
              </w:rPr>
              <w:t>10.18(a)</w:t>
            </w:r>
          </w:p>
        </w:tc>
        <w:tc>
          <w:tcPr>
            <w:tcW w:w="10020" w:type="dxa"/>
            <w:vAlign w:val="bottom"/>
            <w:gridSpan w:val="34"/>
          </w:tcPr>
          <w:p>
            <w:pPr>
              <w:spacing w:after="0"/>
              <w:rPr>
                <w:rFonts w:ascii="Arial" w:cs="Arial" w:eastAsia="Arial" w:hAnsi="Arial"/>
                <w:sz w:val="16"/>
                <w:szCs w:val="16"/>
                <w:color w:val="auto"/>
              </w:rPr>
            </w:pPr>
            <w:hyperlink r:id="rId286">
              <w:r>
                <w:rPr>
                  <w:rFonts w:ascii="Arial" w:cs="Arial" w:eastAsia="Arial" w:hAnsi="Arial"/>
                  <w:sz w:val="16"/>
                  <w:szCs w:val="16"/>
                  <w:color w:val="auto"/>
                </w:rPr>
                <w:t>Eagle Materials Inc. Special Situation Program for Fiscal Year 2022 filed as Exhibit 10.2 to the Current Report on Form 8-K filed with the</w:t>
              </w:r>
            </w:hyperlink>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60" w:type="dxa"/>
            <w:vAlign w:val="bottom"/>
            <w:gridSpan w:val="15"/>
            <w:vMerge w:val="restart"/>
          </w:tcPr>
          <w:p>
            <w:pPr>
              <w:spacing w:after="0" w:line="175" w:lineRule="exact"/>
              <w:rPr>
                <w:rFonts w:ascii="Arial" w:cs="Arial" w:eastAsia="Arial" w:hAnsi="Arial"/>
                <w:sz w:val="16"/>
                <w:szCs w:val="16"/>
                <w:color w:val="auto"/>
              </w:rPr>
            </w:pPr>
            <w:hyperlink r:id="rId286">
              <w:r>
                <w:rPr>
                  <w:rFonts w:ascii="Arial" w:cs="Arial" w:eastAsia="Arial" w:hAnsi="Arial"/>
                  <w:sz w:val="16"/>
                  <w:szCs w:val="16"/>
                  <w:color w:val="auto"/>
                </w:rPr>
                <w:t>Commission on May 21, 2021 (File No. 001-12984) and incorporated herein by reference.</w:t>
              </w:r>
            </w:hyperlink>
          </w:p>
        </w:tc>
        <w:tc>
          <w:tcPr>
            <w:tcW w:w="12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86">
              <w:r>
                <w:rPr>
                  <w:rFonts w:ascii="Arial" w:cs="Arial" w:eastAsia="Arial" w:hAnsi="Arial"/>
                  <w:sz w:val="8"/>
                  <w:szCs w:val="8"/>
                  <w:color w:val="auto"/>
                </w:rPr>
                <w:t>(1)</w:t>
              </w:r>
            </w:hyperlink>
          </w:p>
        </w:tc>
        <w:tc>
          <w:tcPr>
            <w:tcW w:w="3180" w:type="dxa"/>
            <w:vAlign w:val="bottom"/>
            <w:gridSpan w:val="6"/>
            <w:vMerge w:val="restart"/>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60" w:type="dxa"/>
            <w:vAlign w:val="bottom"/>
            <w:tcBorders>
              <w:bottom w:val="single" w:sz="8" w:color="0000EE"/>
            </w:tcBorders>
            <w:gridSpan w:val="15"/>
            <w:vMerge w:val="continue"/>
          </w:tcPr>
          <w:p>
            <w:pPr>
              <w:spacing w:after="0"/>
              <w:rPr>
                <w:sz w:val="5"/>
                <w:szCs w:val="5"/>
                <w:color w:val="auto"/>
              </w:rPr>
            </w:pPr>
          </w:p>
        </w:tc>
        <w:tc>
          <w:tcPr>
            <w:tcW w:w="120" w:type="dxa"/>
            <w:vAlign w:val="bottom"/>
          </w:tcPr>
          <w:p>
            <w:pPr>
              <w:spacing w:after="0"/>
              <w:rPr>
                <w:sz w:val="5"/>
                <w:szCs w:val="5"/>
                <w:color w:val="auto"/>
              </w:rPr>
            </w:pPr>
          </w:p>
        </w:tc>
        <w:tc>
          <w:tcPr>
            <w:tcW w:w="318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10.18(b)</w:t>
            </w:r>
          </w:p>
        </w:tc>
        <w:tc>
          <w:tcPr>
            <w:tcW w:w="10020" w:type="dxa"/>
            <w:vAlign w:val="bottom"/>
            <w:gridSpan w:val="34"/>
          </w:tcPr>
          <w:p>
            <w:pPr>
              <w:spacing w:after="0"/>
              <w:rPr>
                <w:rFonts w:ascii="Arial" w:cs="Arial" w:eastAsia="Arial" w:hAnsi="Arial"/>
                <w:sz w:val="16"/>
                <w:szCs w:val="16"/>
                <w:color w:val="auto"/>
              </w:rPr>
            </w:pPr>
            <w:hyperlink r:id="rId287">
              <w:r>
                <w:rPr>
                  <w:rFonts w:ascii="Arial" w:cs="Arial" w:eastAsia="Arial" w:hAnsi="Arial"/>
                  <w:sz w:val="16"/>
                  <w:szCs w:val="16"/>
                  <w:color w:val="auto"/>
                </w:rPr>
                <w:t>American Gypsum Company LLC Salaried Incentive Compensation Program for Fiscal Year 2022 filed as Exhibit 10.5 to the Company’s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10020" w:type="dxa"/>
            <w:vAlign w:val="bottom"/>
            <w:gridSpan w:val="34"/>
          </w:tcPr>
          <w:p>
            <w:pPr>
              <w:spacing w:after="0" w:line="155" w:lineRule="exact"/>
              <w:rPr>
                <w:rFonts w:ascii="Arial" w:cs="Arial" w:eastAsia="Arial" w:hAnsi="Arial"/>
                <w:sz w:val="16"/>
                <w:szCs w:val="16"/>
                <w:color w:val="auto"/>
              </w:rPr>
            </w:pPr>
            <w:hyperlink r:id="rId287">
              <w:r>
                <w:rPr>
                  <w:rFonts w:ascii="Arial" w:cs="Arial" w:eastAsia="Arial" w:hAnsi="Arial"/>
                  <w:sz w:val="16"/>
                  <w:szCs w:val="16"/>
                  <w:color w:val="auto"/>
                </w:rPr>
                <w:t>Quarterly Report on Form 10-Q for the quarter ended June 30, 2021, filed with the Commission on July 28, 2021 (File No. 001-12984) and</w:t>
              </w:r>
            </w:hyperlink>
          </w:p>
        </w:tc>
        <w:tc>
          <w:tcPr>
            <w:tcW w:w="0" w:type="dxa"/>
            <w:vAlign w:val="bottom"/>
          </w:tcPr>
          <w:p>
            <w:pPr>
              <w:spacing w:after="0"/>
              <w:rPr>
                <w:sz w:val="1"/>
                <w:szCs w:val="1"/>
                <w:color w:val="auto"/>
              </w:rPr>
            </w:pPr>
          </w:p>
        </w:tc>
      </w:tr>
      <w:tr>
        <w:trPr>
          <w:trHeight w:val="74"/>
        </w:trPr>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tcBorders>
              <w:top w:val="single" w:sz="8" w:color="0000EE"/>
              <w:bottom w:val="single" w:sz="8" w:color="0000EE"/>
            </w:tcBorders>
            <w:gridSpan w:val="9"/>
            <w:vMerge w:val="restart"/>
          </w:tcPr>
          <w:p>
            <w:pPr>
              <w:spacing w:after="0" w:line="155" w:lineRule="exact"/>
              <w:rPr>
                <w:rFonts w:ascii="Arial" w:cs="Arial" w:eastAsia="Arial" w:hAnsi="Arial"/>
                <w:sz w:val="16"/>
                <w:szCs w:val="16"/>
                <w:color w:val="auto"/>
              </w:rPr>
            </w:pPr>
            <w:hyperlink r:id="rId287">
              <w:r>
                <w:rPr>
                  <w:rFonts w:ascii="Arial" w:cs="Arial" w:eastAsia="Arial" w:hAnsi="Arial"/>
                  <w:sz w:val="16"/>
                  <w:szCs w:val="16"/>
                  <w:color w:val="auto"/>
                </w:rPr>
                <w:t>incorporated herein by reference.</w:t>
              </w:r>
            </w:hyperlink>
          </w:p>
        </w:tc>
        <w:tc>
          <w:tcPr>
            <w:tcW w:w="140" w:type="dxa"/>
            <w:vAlign w:val="bottom"/>
            <w:tcBorders>
              <w:top w:val="single" w:sz="8" w:color="0000EE"/>
              <w:bottom w:val="single" w:sz="8" w:color="0000EE"/>
            </w:tcBorders>
            <w:gridSpan w:val="2"/>
          </w:tcPr>
          <w:p>
            <w:pPr>
              <w:jc w:val="right"/>
              <w:spacing w:after="0" w:line="61" w:lineRule="exact"/>
              <w:rPr>
                <w:rFonts w:ascii="Arial" w:cs="Arial" w:eastAsia="Arial" w:hAnsi="Arial"/>
                <w:sz w:val="7"/>
                <w:szCs w:val="7"/>
                <w:color w:val="auto"/>
              </w:rPr>
            </w:pPr>
            <w:hyperlink r:id="rId287">
              <w:r>
                <w:rPr>
                  <w:rFonts w:ascii="Arial" w:cs="Arial" w:eastAsia="Arial" w:hAnsi="Arial"/>
                  <w:sz w:val="7"/>
                  <w:szCs w:val="7"/>
                  <w:color w:val="auto"/>
                </w:rPr>
                <w:t>(1)</w:t>
              </w:r>
            </w:hyperlink>
          </w:p>
        </w:tc>
        <w:tc>
          <w:tcPr>
            <w:tcW w:w="7400" w:type="dxa"/>
            <w:vAlign w:val="bottom"/>
            <w:tcBorders>
              <w:top w:val="single" w:sz="8" w:color="0000EE"/>
              <w:bottom w:val="single" w:sz="8" w:color="0000EE"/>
            </w:tcBorders>
            <w:gridSpan w:val="19"/>
            <w:vMerge w:val="restart"/>
          </w:tcPr>
          <w:p>
            <w:pPr>
              <w:spacing w:after="0"/>
              <w:rPr>
                <w:sz w:val="6"/>
                <w:szCs w:val="6"/>
                <w:color w:val="auto"/>
              </w:rPr>
            </w:pPr>
          </w:p>
        </w:tc>
        <w:tc>
          <w:tcPr>
            <w:tcW w:w="40" w:type="dxa"/>
            <w:vAlign w:val="bottom"/>
            <w:gridSpan w:val="2"/>
          </w:tcPr>
          <w:p>
            <w:pPr>
              <w:spacing w:after="0"/>
              <w:rPr>
                <w:sz w:val="6"/>
                <w:szCs w:val="6"/>
                <w:color w:val="auto"/>
              </w:rPr>
            </w:pPr>
          </w:p>
        </w:tc>
        <w:tc>
          <w:tcPr>
            <w:tcW w:w="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420" w:type="dxa"/>
            <w:vAlign w:val="bottom"/>
            <w:tcBorders>
              <w:bottom w:val="single" w:sz="8" w:color="0000EE"/>
            </w:tcBorders>
            <w:gridSpan w:val="9"/>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7400" w:type="dxa"/>
            <w:vAlign w:val="bottom"/>
            <w:gridSpan w:val="19"/>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6"/>
                <w:szCs w:val="16"/>
                <w:color w:val="auto"/>
              </w:rPr>
              <w:t>10.19</w:t>
            </w:r>
          </w:p>
        </w:tc>
        <w:tc>
          <w:tcPr>
            <w:tcW w:w="10020" w:type="dxa"/>
            <w:vAlign w:val="bottom"/>
            <w:gridSpan w:val="34"/>
          </w:tcPr>
          <w:p>
            <w:pPr>
              <w:spacing w:after="0"/>
              <w:rPr>
                <w:rFonts w:ascii="Arial" w:cs="Arial" w:eastAsia="Arial" w:hAnsi="Arial"/>
                <w:sz w:val="16"/>
                <w:szCs w:val="16"/>
                <w:color w:val="auto"/>
              </w:rPr>
            </w:pPr>
            <w:hyperlink r:id="rId288">
              <w:r>
                <w:rPr>
                  <w:rFonts w:ascii="Arial" w:cs="Arial" w:eastAsia="Arial" w:hAnsi="Arial"/>
                  <w:sz w:val="16"/>
                  <w:szCs w:val="16"/>
                  <w:color w:val="auto"/>
                </w:rPr>
                <w:t>Change in Control Continuity Agreement, dated as of June 20, 2019, by and between Eagle Materials Inc. and Michael R. Haack, filed as</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80" w:type="dxa"/>
            <w:vAlign w:val="bottom"/>
            <w:tcBorders>
              <w:top w:val="single" w:sz="8" w:color="0000EE"/>
            </w:tcBorders>
            <w:gridSpan w:val="26"/>
          </w:tcPr>
          <w:p>
            <w:pPr>
              <w:spacing w:after="0" w:line="129" w:lineRule="exact"/>
              <w:rPr>
                <w:rFonts w:ascii="Arial" w:cs="Arial" w:eastAsia="Arial" w:hAnsi="Arial"/>
                <w:sz w:val="14"/>
                <w:szCs w:val="14"/>
                <w:color w:val="auto"/>
              </w:rPr>
            </w:pPr>
            <w:hyperlink r:id="rId288">
              <w:r>
                <w:rPr>
                  <w:rFonts w:ascii="Arial" w:cs="Arial" w:eastAsia="Arial" w:hAnsi="Arial"/>
                  <w:sz w:val="14"/>
                  <w:szCs w:val="14"/>
                  <w:color w:val="auto"/>
                </w:rPr>
                <w:t>Exhibit 10.1 to the Current Report on Form 8-K filed with the Commission on June 25, 2019 (File No. 001-12984) and incorporated herein</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restart"/>
          </w:tcPr>
          <w:p>
            <w:pPr>
              <w:spacing w:after="0" w:line="175" w:lineRule="exact"/>
              <w:rPr>
                <w:rFonts w:ascii="Arial" w:cs="Arial" w:eastAsia="Arial" w:hAnsi="Arial"/>
                <w:sz w:val="16"/>
                <w:szCs w:val="16"/>
                <w:color w:val="auto"/>
              </w:rPr>
            </w:pPr>
            <w:hyperlink r:id="rId288">
              <w:r>
                <w:rPr>
                  <w:rFonts w:ascii="Arial" w:cs="Arial" w:eastAsia="Arial" w:hAnsi="Arial"/>
                  <w:sz w:val="16"/>
                  <w:szCs w:val="16"/>
                  <w:color w:val="auto"/>
                </w:rPr>
                <w:t>by reference.</w:t>
              </w:r>
            </w:hyperlink>
          </w:p>
        </w:tc>
        <w:tc>
          <w:tcPr>
            <w:tcW w:w="14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88">
              <w:r>
                <w:rPr>
                  <w:rFonts w:ascii="Arial" w:cs="Arial" w:eastAsia="Arial" w:hAnsi="Arial"/>
                  <w:sz w:val="8"/>
                  <w:szCs w:val="8"/>
                  <w:color w:val="auto"/>
                </w:rPr>
                <w:t>(1)</w:t>
              </w:r>
            </w:hyperlink>
          </w:p>
        </w:tc>
        <w:tc>
          <w:tcPr>
            <w:tcW w:w="480" w:type="dxa"/>
            <w:vAlign w:val="bottom"/>
            <w:gridSpan w:val="3"/>
            <w:vMerge w:val="restart"/>
          </w:tcPr>
          <w:p>
            <w:pPr>
              <w:spacing w:after="0"/>
              <w:rPr>
                <w:sz w:val="8"/>
                <w:szCs w:val="8"/>
                <w:color w:val="auto"/>
              </w:rPr>
            </w:pPr>
          </w:p>
        </w:tc>
        <w:tc>
          <w:tcPr>
            <w:tcW w:w="8300" w:type="dxa"/>
            <w:vAlign w:val="bottom"/>
            <w:gridSpan w:val="20"/>
            <w:vMerge w:val="restart"/>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bottom w:val="single" w:sz="8" w:color="0000EE"/>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8300" w:type="dxa"/>
            <w:vAlign w:val="bottom"/>
            <w:gridSpan w:val="20"/>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10.19(a)</w:t>
            </w:r>
          </w:p>
        </w:tc>
        <w:tc>
          <w:tcPr>
            <w:tcW w:w="10020" w:type="dxa"/>
            <w:vAlign w:val="bottom"/>
            <w:gridSpan w:val="34"/>
          </w:tcPr>
          <w:p>
            <w:pPr>
              <w:spacing w:after="0"/>
              <w:rPr>
                <w:rFonts w:ascii="Arial" w:cs="Arial" w:eastAsia="Arial" w:hAnsi="Arial"/>
                <w:sz w:val="16"/>
                <w:szCs w:val="16"/>
                <w:color w:val="auto"/>
              </w:rPr>
            </w:pPr>
            <w:hyperlink r:id="rId289">
              <w:r>
                <w:rPr>
                  <w:rFonts w:ascii="Arial" w:cs="Arial" w:eastAsia="Arial" w:hAnsi="Arial"/>
                  <w:sz w:val="16"/>
                  <w:szCs w:val="16"/>
                  <w:color w:val="auto"/>
                </w:rPr>
                <w:t>Change in Control Continuity Agreement, dated as of June 20, 2019, by and between Eagle Materials Inc. and D. Craig Kesler, filed as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0000" w:type="dxa"/>
            <w:vAlign w:val="bottom"/>
            <w:gridSpan w:val="33"/>
          </w:tcPr>
          <w:p>
            <w:pPr>
              <w:spacing w:after="0" w:line="129" w:lineRule="exact"/>
              <w:rPr>
                <w:rFonts w:ascii="Arial" w:cs="Arial" w:eastAsia="Arial" w:hAnsi="Arial"/>
                <w:sz w:val="14"/>
                <w:szCs w:val="14"/>
                <w:color w:val="auto"/>
              </w:rPr>
            </w:pPr>
            <w:hyperlink r:id="rId289">
              <w:r>
                <w:rPr>
                  <w:rFonts w:ascii="Arial" w:cs="Arial" w:eastAsia="Arial" w:hAnsi="Arial"/>
                  <w:sz w:val="14"/>
                  <w:szCs w:val="14"/>
                  <w:color w:val="auto"/>
                </w:rPr>
                <w:t>Exhibit 10.2 to the Current Report on Form 8-K filed with the Commission on June 25, 2019 (File No. 001-12984) and incorporated herein</w:t>
              </w:r>
            </w:hyperlink>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restart"/>
          </w:tcPr>
          <w:p>
            <w:pPr>
              <w:spacing w:after="0" w:line="175" w:lineRule="exact"/>
              <w:rPr>
                <w:rFonts w:ascii="Arial" w:cs="Arial" w:eastAsia="Arial" w:hAnsi="Arial"/>
                <w:sz w:val="16"/>
                <w:szCs w:val="16"/>
                <w:color w:val="auto"/>
              </w:rPr>
            </w:pPr>
            <w:hyperlink r:id="rId289">
              <w:r>
                <w:rPr>
                  <w:rFonts w:ascii="Arial" w:cs="Arial" w:eastAsia="Arial" w:hAnsi="Arial"/>
                  <w:sz w:val="16"/>
                  <w:szCs w:val="16"/>
                  <w:color w:val="auto"/>
                </w:rPr>
                <w:t>by reference.</w:t>
              </w:r>
            </w:hyperlink>
          </w:p>
        </w:tc>
        <w:tc>
          <w:tcPr>
            <w:tcW w:w="14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89">
              <w:r>
                <w:rPr>
                  <w:rFonts w:ascii="Arial" w:cs="Arial" w:eastAsia="Arial" w:hAnsi="Arial"/>
                  <w:sz w:val="8"/>
                  <w:szCs w:val="8"/>
                  <w:color w:val="auto"/>
                </w:rPr>
                <w:t>(1)</w:t>
              </w:r>
            </w:hyperlink>
          </w:p>
        </w:tc>
        <w:tc>
          <w:tcPr>
            <w:tcW w:w="480" w:type="dxa"/>
            <w:vAlign w:val="bottom"/>
            <w:gridSpan w:val="3"/>
            <w:vMerge w:val="restart"/>
          </w:tcPr>
          <w:p>
            <w:pPr>
              <w:spacing w:after="0"/>
              <w:rPr>
                <w:sz w:val="8"/>
                <w:szCs w:val="8"/>
                <w:color w:val="auto"/>
              </w:rPr>
            </w:pPr>
          </w:p>
        </w:tc>
        <w:tc>
          <w:tcPr>
            <w:tcW w:w="8300" w:type="dxa"/>
            <w:vAlign w:val="bottom"/>
            <w:gridSpan w:val="20"/>
            <w:vMerge w:val="restart"/>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bottom w:val="single" w:sz="8" w:color="0000EE"/>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8300" w:type="dxa"/>
            <w:vAlign w:val="bottom"/>
            <w:gridSpan w:val="20"/>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10.19(b)</w:t>
            </w:r>
          </w:p>
        </w:tc>
        <w:tc>
          <w:tcPr>
            <w:tcW w:w="10020" w:type="dxa"/>
            <w:vAlign w:val="bottom"/>
            <w:gridSpan w:val="34"/>
          </w:tcPr>
          <w:p>
            <w:pPr>
              <w:spacing w:after="0"/>
              <w:rPr>
                <w:rFonts w:ascii="Arial" w:cs="Arial" w:eastAsia="Arial" w:hAnsi="Arial"/>
                <w:sz w:val="16"/>
                <w:szCs w:val="16"/>
                <w:color w:val="auto"/>
              </w:rPr>
            </w:pPr>
            <w:hyperlink r:id="rId290">
              <w:r>
                <w:rPr>
                  <w:rFonts w:ascii="Arial" w:cs="Arial" w:eastAsia="Arial" w:hAnsi="Arial"/>
                  <w:sz w:val="16"/>
                  <w:szCs w:val="16"/>
                  <w:color w:val="auto"/>
                </w:rPr>
                <w:t>Change in Control Continuity Agreement, dated as of June 20, 2019, by and between Eagle Materials Inc. and Robert S. Stewart, filed as</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00" w:type="dxa"/>
            <w:vAlign w:val="bottom"/>
            <w:tcBorders>
              <w:top w:val="single" w:sz="8" w:color="0000EE"/>
            </w:tcBorders>
            <w:gridSpan w:val="27"/>
          </w:tcPr>
          <w:p>
            <w:pPr>
              <w:spacing w:after="0" w:line="129" w:lineRule="exact"/>
              <w:rPr>
                <w:rFonts w:ascii="Arial" w:cs="Arial" w:eastAsia="Arial" w:hAnsi="Arial"/>
                <w:sz w:val="14"/>
                <w:szCs w:val="14"/>
                <w:color w:val="auto"/>
              </w:rPr>
            </w:pPr>
            <w:hyperlink r:id="rId290">
              <w:r>
                <w:rPr>
                  <w:rFonts w:ascii="Arial" w:cs="Arial" w:eastAsia="Arial" w:hAnsi="Arial"/>
                  <w:sz w:val="14"/>
                  <w:szCs w:val="14"/>
                  <w:color w:val="auto"/>
                </w:rPr>
                <w:t>Exhibit 10.3 to the Current Report on Form 8-K filed with the Commission on June 25, 2019 (File No. 001-12984) and incorporated herein</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restart"/>
          </w:tcPr>
          <w:p>
            <w:pPr>
              <w:spacing w:after="0" w:line="175" w:lineRule="exact"/>
              <w:rPr>
                <w:rFonts w:ascii="Arial" w:cs="Arial" w:eastAsia="Arial" w:hAnsi="Arial"/>
                <w:sz w:val="16"/>
                <w:szCs w:val="16"/>
                <w:color w:val="auto"/>
              </w:rPr>
            </w:pPr>
            <w:hyperlink r:id="rId290">
              <w:r>
                <w:rPr>
                  <w:rFonts w:ascii="Arial" w:cs="Arial" w:eastAsia="Arial" w:hAnsi="Arial"/>
                  <w:sz w:val="16"/>
                  <w:szCs w:val="16"/>
                  <w:color w:val="auto"/>
                </w:rPr>
                <w:t>by reference.</w:t>
              </w:r>
            </w:hyperlink>
          </w:p>
        </w:tc>
        <w:tc>
          <w:tcPr>
            <w:tcW w:w="14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90">
              <w:r>
                <w:rPr>
                  <w:rFonts w:ascii="Arial" w:cs="Arial" w:eastAsia="Arial" w:hAnsi="Arial"/>
                  <w:sz w:val="8"/>
                  <w:szCs w:val="8"/>
                  <w:color w:val="auto"/>
                </w:rPr>
                <w:t>(1)</w:t>
              </w:r>
            </w:hyperlink>
          </w:p>
        </w:tc>
        <w:tc>
          <w:tcPr>
            <w:tcW w:w="480" w:type="dxa"/>
            <w:vAlign w:val="bottom"/>
            <w:gridSpan w:val="3"/>
            <w:vMerge w:val="restart"/>
          </w:tcPr>
          <w:p>
            <w:pPr>
              <w:spacing w:after="0"/>
              <w:rPr>
                <w:sz w:val="8"/>
                <w:szCs w:val="8"/>
                <w:color w:val="auto"/>
              </w:rPr>
            </w:pPr>
          </w:p>
        </w:tc>
        <w:tc>
          <w:tcPr>
            <w:tcW w:w="8300" w:type="dxa"/>
            <w:vAlign w:val="bottom"/>
            <w:gridSpan w:val="20"/>
            <w:vMerge w:val="restart"/>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bottom w:val="single" w:sz="8" w:color="0000EE"/>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8300" w:type="dxa"/>
            <w:vAlign w:val="bottom"/>
            <w:gridSpan w:val="20"/>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10.19(c)</w:t>
            </w:r>
          </w:p>
        </w:tc>
        <w:tc>
          <w:tcPr>
            <w:tcW w:w="10020" w:type="dxa"/>
            <w:vAlign w:val="bottom"/>
            <w:gridSpan w:val="34"/>
          </w:tcPr>
          <w:p>
            <w:pPr>
              <w:spacing w:after="0"/>
              <w:rPr>
                <w:rFonts w:ascii="Arial" w:cs="Arial" w:eastAsia="Arial" w:hAnsi="Arial"/>
                <w:sz w:val="16"/>
                <w:szCs w:val="16"/>
                <w:color w:val="auto"/>
              </w:rPr>
            </w:pPr>
            <w:hyperlink r:id="rId291">
              <w:r>
                <w:rPr>
                  <w:rFonts w:ascii="Arial" w:cs="Arial" w:eastAsia="Arial" w:hAnsi="Arial"/>
                  <w:sz w:val="16"/>
                  <w:szCs w:val="16"/>
                  <w:color w:val="auto"/>
                </w:rPr>
                <w:t>Change in Control Continuity Agreement, dated as of June 20, 2019, by and between Eagle Materials Inc. and James H. Graass, filed as</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40" w:type="dxa"/>
            <w:vAlign w:val="bottom"/>
            <w:tcBorders>
              <w:top w:val="single" w:sz="8" w:color="0000EE"/>
            </w:tcBorders>
            <w:gridSpan w:val="24"/>
          </w:tcPr>
          <w:p>
            <w:pPr>
              <w:spacing w:after="0" w:line="129" w:lineRule="exact"/>
              <w:rPr>
                <w:rFonts w:ascii="Arial" w:cs="Arial" w:eastAsia="Arial" w:hAnsi="Arial"/>
                <w:sz w:val="14"/>
                <w:szCs w:val="14"/>
                <w:color w:val="auto"/>
              </w:rPr>
            </w:pPr>
            <w:hyperlink r:id="rId291">
              <w:r>
                <w:rPr>
                  <w:rFonts w:ascii="Arial" w:cs="Arial" w:eastAsia="Arial" w:hAnsi="Arial"/>
                  <w:sz w:val="14"/>
                  <w:szCs w:val="14"/>
                  <w:color w:val="auto"/>
                </w:rPr>
                <w:t>Exhibit 10.4 to the Current Report on Form 8-K filed with the Commission on June 25, 2019 (File No. 001-12984) and incorporated herein</w:t>
              </w:r>
            </w:hyperlink>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restart"/>
          </w:tcPr>
          <w:p>
            <w:pPr>
              <w:spacing w:after="0" w:line="175" w:lineRule="exact"/>
              <w:rPr>
                <w:rFonts w:ascii="Arial" w:cs="Arial" w:eastAsia="Arial" w:hAnsi="Arial"/>
                <w:sz w:val="16"/>
                <w:szCs w:val="16"/>
                <w:color w:val="auto"/>
              </w:rPr>
            </w:pPr>
            <w:hyperlink r:id="rId291">
              <w:r>
                <w:rPr>
                  <w:rFonts w:ascii="Arial" w:cs="Arial" w:eastAsia="Arial" w:hAnsi="Arial"/>
                  <w:sz w:val="16"/>
                  <w:szCs w:val="16"/>
                  <w:color w:val="auto"/>
                </w:rPr>
                <w:t>by reference.</w:t>
              </w:r>
            </w:hyperlink>
          </w:p>
        </w:tc>
        <w:tc>
          <w:tcPr>
            <w:tcW w:w="14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91">
              <w:r>
                <w:rPr>
                  <w:rFonts w:ascii="Arial" w:cs="Arial" w:eastAsia="Arial" w:hAnsi="Arial"/>
                  <w:sz w:val="8"/>
                  <w:szCs w:val="8"/>
                  <w:color w:val="auto"/>
                </w:rPr>
                <w:t>(1)</w:t>
              </w:r>
            </w:hyperlink>
          </w:p>
        </w:tc>
        <w:tc>
          <w:tcPr>
            <w:tcW w:w="480" w:type="dxa"/>
            <w:vAlign w:val="bottom"/>
            <w:gridSpan w:val="3"/>
            <w:vMerge w:val="restart"/>
          </w:tcPr>
          <w:p>
            <w:pPr>
              <w:spacing w:after="0"/>
              <w:rPr>
                <w:sz w:val="8"/>
                <w:szCs w:val="8"/>
                <w:color w:val="auto"/>
              </w:rPr>
            </w:pPr>
          </w:p>
        </w:tc>
        <w:tc>
          <w:tcPr>
            <w:tcW w:w="8300" w:type="dxa"/>
            <w:vAlign w:val="bottom"/>
            <w:gridSpan w:val="20"/>
            <w:vMerge w:val="restart"/>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bottom w:val="single" w:sz="8" w:color="0000EE"/>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8300" w:type="dxa"/>
            <w:vAlign w:val="bottom"/>
            <w:gridSpan w:val="20"/>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10.20</w:t>
            </w:r>
          </w:p>
        </w:tc>
        <w:tc>
          <w:tcPr>
            <w:tcW w:w="10020" w:type="dxa"/>
            <w:vAlign w:val="bottom"/>
            <w:gridSpan w:val="34"/>
          </w:tcPr>
          <w:p>
            <w:pPr>
              <w:spacing w:after="0"/>
              <w:rPr>
                <w:rFonts w:ascii="Arial" w:cs="Arial" w:eastAsia="Arial" w:hAnsi="Arial"/>
                <w:sz w:val="16"/>
                <w:szCs w:val="16"/>
                <w:color w:val="auto"/>
              </w:rPr>
            </w:pPr>
            <w:hyperlink r:id="rId292">
              <w:r>
                <w:rPr>
                  <w:rFonts w:ascii="Arial" w:cs="Arial" w:eastAsia="Arial" w:hAnsi="Arial"/>
                  <w:sz w:val="16"/>
                  <w:szCs w:val="16"/>
                  <w:color w:val="auto"/>
                </w:rPr>
                <w:t>Form of Performance Vesting Non-Qualified Stock Option Agreement for Senior Executives, filed as Exhibit 10.8 to the Company’s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0000" w:type="dxa"/>
            <w:vAlign w:val="bottom"/>
            <w:gridSpan w:val="33"/>
          </w:tcPr>
          <w:p>
            <w:pPr>
              <w:spacing w:after="0" w:line="142" w:lineRule="exact"/>
              <w:rPr>
                <w:rFonts w:ascii="Arial" w:cs="Arial" w:eastAsia="Arial" w:hAnsi="Arial"/>
                <w:sz w:val="16"/>
                <w:szCs w:val="16"/>
                <w:color w:val="auto"/>
              </w:rPr>
            </w:pPr>
            <w:hyperlink r:id="rId292">
              <w:r>
                <w:rPr>
                  <w:rFonts w:ascii="Arial" w:cs="Arial" w:eastAsia="Arial" w:hAnsi="Arial"/>
                  <w:sz w:val="16"/>
                  <w:szCs w:val="16"/>
                  <w:color w:val="auto"/>
                </w:rPr>
                <w:t>Quarterly Report on Form 10-Q for the quarter ended June 30, 2019, filed with the Commission on July 31, 2019 (File No. 001-12984) and</w:t>
              </w:r>
            </w:hyperlink>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9"/>
            <w:vMerge w:val="restart"/>
          </w:tcPr>
          <w:p>
            <w:pPr>
              <w:spacing w:after="0" w:line="162" w:lineRule="exact"/>
              <w:rPr>
                <w:rFonts w:ascii="Arial" w:cs="Arial" w:eastAsia="Arial" w:hAnsi="Arial"/>
                <w:sz w:val="16"/>
                <w:szCs w:val="16"/>
                <w:color w:val="auto"/>
              </w:rPr>
            </w:pPr>
            <w:hyperlink r:id="rId292">
              <w:r>
                <w:rPr>
                  <w:rFonts w:ascii="Arial" w:cs="Arial" w:eastAsia="Arial" w:hAnsi="Arial"/>
                  <w:sz w:val="16"/>
                  <w:szCs w:val="16"/>
                  <w:color w:val="auto"/>
                </w:rPr>
                <w:t>incorporated herein by reference.</w:t>
              </w:r>
            </w:hyperlink>
          </w:p>
        </w:tc>
        <w:tc>
          <w:tcPr>
            <w:tcW w:w="140" w:type="dxa"/>
            <w:vAlign w:val="bottom"/>
            <w:tcBorders>
              <w:bottom w:val="single" w:sz="8" w:color="0000EE"/>
            </w:tcBorders>
            <w:gridSpan w:val="2"/>
          </w:tcPr>
          <w:p>
            <w:pPr>
              <w:jc w:val="right"/>
              <w:spacing w:after="0" w:line="61" w:lineRule="exact"/>
              <w:rPr>
                <w:rFonts w:ascii="Arial" w:cs="Arial" w:eastAsia="Arial" w:hAnsi="Arial"/>
                <w:sz w:val="7"/>
                <w:szCs w:val="7"/>
                <w:color w:val="auto"/>
              </w:rPr>
            </w:pPr>
            <w:hyperlink r:id="rId292">
              <w:r>
                <w:rPr>
                  <w:rFonts w:ascii="Arial" w:cs="Arial" w:eastAsia="Arial" w:hAnsi="Arial"/>
                  <w:sz w:val="7"/>
                  <w:szCs w:val="7"/>
                  <w:color w:val="auto"/>
                </w:rPr>
                <w:t>(1)</w:t>
              </w:r>
            </w:hyperlink>
          </w:p>
        </w:tc>
        <w:tc>
          <w:tcPr>
            <w:tcW w:w="7400" w:type="dxa"/>
            <w:vAlign w:val="bottom"/>
            <w:gridSpan w:val="19"/>
            <w:vMerge w:val="restart"/>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tcBorders>
              <w:bottom w:val="single" w:sz="8" w:color="0000EE"/>
            </w:tcBorders>
            <w:gridSpan w:val="9"/>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7400" w:type="dxa"/>
            <w:vAlign w:val="bottom"/>
            <w:gridSpan w:val="19"/>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10.20(a)</w:t>
            </w:r>
          </w:p>
        </w:tc>
        <w:tc>
          <w:tcPr>
            <w:tcW w:w="10020" w:type="dxa"/>
            <w:vAlign w:val="bottom"/>
            <w:gridSpan w:val="34"/>
          </w:tcPr>
          <w:p>
            <w:pPr>
              <w:spacing w:after="0"/>
              <w:rPr>
                <w:rFonts w:ascii="Arial" w:cs="Arial" w:eastAsia="Arial" w:hAnsi="Arial"/>
                <w:sz w:val="16"/>
                <w:szCs w:val="16"/>
                <w:color w:val="auto"/>
              </w:rPr>
            </w:pPr>
            <w:hyperlink r:id="rId293">
              <w:r>
                <w:rPr>
                  <w:rFonts w:ascii="Arial" w:cs="Arial" w:eastAsia="Arial" w:hAnsi="Arial"/>
                  <w:sz w:val="16"/>
                  <w:szCs w:val="16"/>
                  <w:color w:val="auto"/>
                </w:rPr>
                <w:t>Form of Time Vesting Non-Qualified Stock Option Agreement for Senior Executives, filed as Exhibit 10.9 to the Company’s Quarterly Report</w:t>
              </w:r>
            </w:hyperlink>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0" w:type="dxa"/>
            <w:vAlign w:val="bottom"/>
            <w:tcBorders>
              <w:top w:val="single" w:sz="8" w:color="0000EE"/>
            </w:tcBorders>
            <w:gridSpan w:val="33"/>
          </w:tcPr>
          <w:p>
            <w:pPr>
              <w:spacing w:after="0" w:line="129" w:lineRule="exact"/>
              <w:rPr>
                <w:rFonts w:ascii="Arial" w:cs="Arial" w:eastAsia="Arial" w:hAnsi="Arial"/>
                <w:sz w:val="14"/>
                <w:szCs w:val="14"/>
                <w:color w:val="auto"/>
              </w:rPr>
            </w:pPr>
            <w:hyperlink r:id="rId293">
              <w:r>
                <w:rPr>
                  <w:rFonts w:ascii="Arial" w:cs="Arial" w:eastAsia="Arial" w:hAnsi="Arial"/>
                  <w:sz w:val="14"/>
                  <w:szCs w:val="14"/>
                  <w:color w:val="auto"/>
                </w:rPr>
                <w:t>on Form 10-Q for the quarter ended June 30, 2019, filed with the Commission on July 31, 2019 (File No. 001-12984) and incorporated</w:t>
              </w:r>
            </w:hyperlink>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6"/>
            <w:vMerge w:val="restart"/>
          </w:tcPr>
          <w:p>
            <w:pPr>
              <w:spacing w:after="0" w:line="175" w:lineRule="exact"/>
              <w:rPr>
                <w:rFonts w:ascii="Arial" w:cs="Arial" w:eastAsia="Arial" w:hAnsi="Arial"/>
                <w:sz w:val="16"/>
                <w:szCs w:val="16"/>
                <w:color w:val="auto"/>
              </w:rPr>
            </w:pPr>
            <w:hyperlink r:id="rId293">
              <w:r>
                <w:rPr>
                  <w:rFonts w:ascii="Arial" w:cs="Arial" w:eastAsia="Arial" w:hAnsi="Arial"/>
                  <w:sz w:val="16"/>
                  <w:szCs w:val="16"/>
                  <w:color w:val="auto"/>
                </w:rPr>
                <w:t>herein by reference.</w:t>
              </w:r>
            </w:hyperlink>
          </w:p>
        </w:tc>
        <w:tc>
          <w:tcPr>
            <w:tcW w:w="12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93">
              <w:r>
                <w:rPr>
                  <w:rFonts w:ascii="Arial" w:cs="Arial" w:eastAsia="Arial" w:hAnsi="Arial"/>
                  <w:sz w:val="8"/>
                  <w:szCs w:val="8"/>
                  <w:color w:val="auto"/>
                </w:rPr>
                <w:t>(1)</w:t>
              </w:r>
            </w:hyperlink>
          </w:p>
        </w:tc>
        <w:tc>
          <w:tcPr>
            <w:tcW w:w="8060" w:type="dxa"/>
            <w:vAlign w:val="bottom"/>
            <w:gridSpan w:val="14"/>
            <w:vMerge w:val="restart"/>
          </w:tcPr>
          <w:p>
            <w:pPr>
              <w:spacing w:after="0"/>
              <w:rPr>
                <w:sz w:val="8"/>
                <w:szCs w:val="8"/>
                <w:color w:val="auto"/>
              </w:rPr>
            </w:pPr>
          </w:p>
        </w:tc>
        <w:tc>
          <w:tcPr>
            <w:tcW w:w="280" w:type="dxa"/>
            <w:vAlign w:val="bottom"/>
            <w:gridSpan w:val="8"/>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tcBorders>
              <w:bottom w:val="single" w:sz="8" w:color="0000EE"/>
            </w:tcBorders>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60" w:type="dxa"/>
            <w:vAlign w:val="bottom"/>
            <w:gridSpan w:val="1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10.20(b)</w:t>
            </w:r>
          </w:p>
        </w:tc>
        <w:tc>
          <w:tcPr>
            <w:tcW w:w="10020" w:type="dxa"/>
            <w:vAlign w:val="bottom"/>
            <w:gridSpan w:val="34"/>
          </w:tcPr>
          <w:p>
            <w:pPr>
              <w:spacing w:after="0"/>
              <w:rPr>
                <w:rFonts w:ascii="Arial" w:cs="Arial" w:eastAsia="Arial" w:hAnsi="Arial"/>
                <w:sz w:val="16"/>
                <w:szCs w:val="16"/>
                <w:color w:val="auto"/>
              </w:rPr>
            </w:pPr>
            <w:hyperlink r:id="rId294">
              <w:r>
                <w:rPr>
                  <w:rFonts w:ascii="Arial" w:cs="Arial" w:eastAsia="Arial" w:hAnsi="Arial"/>
                  <w:sz w:val="16"/>
                  <w:szCs w:val="16"/>
                  <w:color w:val="auto"/>
                </w:rPr>
                <w:t>Form of Performance Vesting Restricted Stock Agreement for Senior Executives, filed as Exhibit 10.10 to the Company’s Quarterly Report</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EE"/>
            </w:tcBorders>
            <w:gridSpan w:val="29"/>
          </w:tcPr>
          <w:p>
            <w:pPr>
              <w:spacing w:after="0" w:line="142" w:lineRule="exact"/>
              <w:rPr>
                <w:rFonts w:ascii="Arial" w:cs="Arial" w:eastAsia="Arial" w:hAnsi="Arial"/>
                <w:sz w:val="16"/>
                <w:szCs w:val="16"/>
                <w:color w:val="auto"/>
              </w:rPr>
            </w:pPr>
            <w:hyperlink r:id="rId294">
              <w:r>
                <w:rPr>
                  <w:rFonts w:ascii="Arial" w:cs="Arial" w:eastAsia="Arial" w:hAnsi="Arial"/>
                  <w:sz w:val="16"/>
                  <w:szCs w:val="16"/>
                  <w:color w:val="auto"/>
                </w:rPr>
                <w:t>on Form 10-Q for the quarter ended June 30, 2019, filed with the Commission on July 31, 2019 (File No. 001-12984) and incorporated</w:t>
              </w:r>
            </w:hyperlink>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80" w:type="dxa"/>
            <w:vAlign w:val="bottom"/>
            <w:gridSpan w:val="6"/>
            <w:vMerge w:val="restart"/>
          </w:tcPr>
          <w:p>
            <w:pPr>
              <w:spacing w:after="0" w:line="162" w:lineRule="exact"/>
              <w:rPr>
                <w:rFonts w:ascii="Arial" w:cs="Arial" w:eastAsia="Arial" w:hAnsi="Arial"/>
                <w:sz w:val="16"/>
                <w:szCs w:val="16"/>
                <w:color w:val="auto"/>
              </w:rPr>
            </w:pPr>
            <w:hyperlink r:id="rId294">
              <w:r>
                <w:rPr>
                  <w:rFonts w:ascii="Arial" w:cs="Arial" w:eastAsia="Arial" w:hAnsi="Arial"/>
                  <w:sz w:val="16"/>
                  <w:szCs w:val="16"/>
                  <w:color w:val="auto"/>
                </w:rPr>
                <w:t>herein by reference.</w:t>
              </w:r>
            </w:hyperlink>
          </w:p>
        </w:tc>
        <w:tc>
          <w:tcPr>
            <w:tcW w:w="120" w:type="dxa"/>
            <w:vAlign w:val="bottom"/>
            <w:tcBorders>
              <w:bottom w:val="single" w:sz="8" w:color="0000EE"/>
            </w:tcBorders>
          </w:tcPr>
          <w:p>
            <w:pPr>
              <w:jc w:val="right"/>
              <w:spacing w:after="0" w:line="61" w:lineRule="exact"/>
              <w:rPr>
                <w:rFonts w:ascii="Arial" w:cs="Arial" w:eastAsia="Arial" w:hAnsi="Arial"/>
                <w:sz w:val="7"/>
                <w:szCs w:val="7"/>
                <w:color w:val="auto"/>
              </w:rPr>
            </w:pPr>
            <w:hyperlink r:id="rId294">
              <w:r>
                <w:rPr>
                  <w:rFonts w:ascii="Arial" w:cs="Arial" w:eastAsia="Arial" w:hAnsi="Arial"/>
                  <w:sz w:val="7"/>
                  <w:szCs w:val="7"/>
                  <w:color w:val="auto"/>
                </w:rPr>
                <w:t>(1)</w:t>
              </w:r>
            </w:hyperlink>
          </w:p>
        </w:tc>
        <w:tc>
          <w:tcPr>
            <w:tcW w:w="8060" w:type="dxa"/>
            <w:vAlign w:val="bottom"/>
            <w:gridSpan w:val="14"/>
            <w:vMerge w:val="restart"/>
          </w:tcPr>
          <w:p>
            <w:pPr>
              <w:spacing w:after="0"/>
              <w:rPr>
                <w:sz w:val="7"/>
                <w:szCs w:val="7"/>
                <w:color w:val="auto"/>
              </w:rPr>
            </w:pPr>
          </w:p>
        </w:tc>
        <w:tc>
          <w:tcPr>
            <w:tcW w:w="340" w:type="dxa"/>
            <w:vAlign w:val="bottom"/>
            <w:gridSpan w:val="11"/>
          </w:tcPr>
          <w:p>
            <w:pPr>
              <w:spacing w:after="0"/>
              <w:rPr>
                <w:sz w:val="7"/>
                <w:szCs w:val="7"/>
                <w:color w:val="auto"/>
              </w:rPr>
            </w:pPr>
          </w:p>
        </w:tc>
        <w:tc>
          <w:tcPr>
            <w:tcW w:w="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tcBorders>
              <w:bottom w:val="single" w:sz="8" w:color="0000EE"/>
            </w:tcBorders>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60" w:type="dxa"/>
            <w:vAlign w:val="bottom"/>
            <w:gridSpan w:val="1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10.20(c)</w:t>
            </w:r>
          </w:p>
        </w:tc>
        <w:tc>
          <w:tcPr>
            <w:tcW w:w="10020" w:type="dxa"/>
            <w:vAlign w:val="bottom"/>
            <w:gridSpan w:val="34"/>
          </w:tcPr>
          <w:p>
            <w:pPr>
              <w:spacing w:after="0"/>
              <w:rPr>
                <w:rFonts w:ascii="Arial" w:cs="Arial" w:eastAsia="Arial" w:hAnsi="Arial"/>
                <w:sz w:val="16"/>
                <w:szCs w:val="16"/>
                <w:color w:val="auto"/>
              </w:rPr>
            </w:pPr>
            <w:hyperlink r:id="rId295">
              <w:r>
                <w:rPr>
                  <w:rFonts w:ascii="Arial" w:cs="Arial" w:eastAsia="Arial" w:hAnsi="Arial"/>
                  <w:sz w:val="16"/>
                  <w:szCs w:val="16"/>
                  <w:color w:val="auto"/>
                </w:rPr>
                <w:t>Form of Time Vesting Restricted Stock Agreement for Senior Executives, filed as Exhibit 10.11 to the Company’s Quarterly Report on Form</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0" w:type="dxa"/>
            <w:vAlign w:val="bottom"/>
            <w:tcBorders>
              <w:top w:val="single" w:sz="8" w:color="0000EE"/>
            </w:tcBorders>
            <w:gridSpan w:val="32"/>
          </w:tcPr>
          <w:p>
            <w:pPr>
              <w:spacing w:after="0" w:line="129" w:lineRule="exact"/>
              <w:rPr>
                <w:rFonts w:ascii="Arial" w:cs="Arial" w:eastAsia="Arial" w:hAnsi="Arial"/>
                <w:sz w:val="14"/>
                <w:szCs w:val="14"/>
                <w:color w:val="auto"/>
              </w:rPr>
            </w:pPr>
            <w:hyperlink r:id="rId295">
              <w:r>
                <w:rPr>
                  <w:rFonts w:ascii="Arial" w:cs="Arial" w:eastAsia="Arial" w:hAnsi="Arial"/>
                  <w:sz w:val="14"/>
                  <w:szCs w:val="14"/>
                  <w:color w:val="auto"/>
                </w:rPr>
                <w:t>10-Q for the quarter ended June 30, 2019, filed with the Commission on July 31, 2019 (File No. 001-12984) and incorporated herein by</w:t>
              </w:r>
            </w:hyperlink>
          </w:p>
        </w:tc>
        <w:tc>
          <w:tcPr>
            <w:tcW w:w="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restart"/>
          </w:tcPr>
          <w:p>
            <w:pPr>
              <w:spacing w:after="0" w:line="175" w:lineRule="exact"/>
              <w:rPr>
                <w:rFonts w:ascii="Arial" w:cs="Arial" w:eastAsia="Arial" w:hAnsi="Arial"/>
                <w:sz w:val="16"/>
                <w:szCs w:val="16"/>
                <w:color w:val="auto"/>
              </w:rPr>
            </w:pPr>
            <w:hyperlink r:id="rId295">
              <w:r>
                <w:rPr>
                  <w:rFonts w:ascii="Arial" w:cs="Arial" w:eastAsia="Arial" w:hAnsi="Arial"/>
                  <w:sz w:val="16"/>
                  <w:szCs w:val="16"/>
                  <w:color w:val="auto"/>
                </w:rPr>
                <w:t>reference.</w:t>
              </w:r>
            </w:hyperlink>
          </w:p>
        </w:tc>
        <w:tc>
          <w:tcPr>
            <w:tcW w:w="140" w:type="dxa"/>
            <w:vAlign w:val="bottom"/>
            <w:tcBorders>
              <w:bottom w:val="single" w:sz="8" w:color="0000EE"/>
            </w:tcBorders>
          </w:tcPr>
          <w:p>
            <w:pPr>
              <w:jc w:val="right"/>
              <w:spacing w:after="0" w:line="75" w:lineRule="exact"/>
              <w:rPr>
                <w:rFonts w:ascii="Arial" w:cs="Arial" w:eastAsia="Arial" w:hAnsi="Arial"/>
                <w:sz w:val="8"/>
                <w:szCs w:val="8"/>
                <w:color w:val="auto"/>
              </w:rPr>
            </w:pPr>
            <w:hyperlink r:id="rId295">
              <w:r>
                <w:rPr>
                  <w:rFonts w:ascii="Arial" w:cs="Arial" w:eastAsia="Arial" w:hAnsi="Arial"/>
                  <w:sz w:val="8"/>
                  <w:szCs w:val="8"/>
                  <w:color w:val="auto"/>
                </w:rPr>
                <w:t>(1)</w:t>
              </w:r>
            </w:hyperlink>
          </w:p>
        </w:tc>
        <w:tc>
          <w:tcPr>
            <w:tcW w:w="8760" w:type="dxa"/>
            <w:vAlign w:val="bottom"/>
            <w:gridSpan w:val="19"/>
            <w:vMerge w:val="restart"/>
          </w:tcPr>
          <w:p>
            <w:pPr>
              <w:spacing w:after="0"/>
              <w:rPr>
                <w:sz w:val="8"/>
                <w:szCs w:val="8"/>
                <w:color w:val="auto"/>
              </w:rPr>
            </w:pPr>
          </w:p>
        </w:tc>
        <w:tc>
          <w:tcPr>
            <w:tcW w:w="340" w:type="dxa"/>
            <w:vAlign w:val="bottom"/>
            <w:gridSpan w:val="12"/>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Borders>
              <w:bottom w:val="single" w:sz="8" w:color="0000EE"/>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8760" w:type="dxa"/>
            <w:vAlign w:val="bottom"/>
            <w:gridSpan w:val="19"/>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-5956935</wp:posOffset>
            </wp:positionV>
            <wp:extent cx="60839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6">
                      <a:extLst>
                        <a:ext uri="{28A0092B-C50C-407E-A947-70E740481C1C}"/>
                      </a:extLst>
                    </a:blip>
                    <a:srcRect/>
                    <a:stretch>
                      <a:fillRect/>
                    </a:stretch>
                  </pic:blipFill>
                  <pic:spPr bwMode="auto">
                    <a:xfrm>
                      <a:off x="0" y="0"/>
                      <a:ext cx="608393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-5562600</wp:posOffset>
            </wp:positionV>
            <wp:extent cx="63106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7">
                      <a:extLst>
                        <a:ext uri="{28A0092B-C50C-407E-A947-70E740481C1C}"/>
                      </a:extLst>
                    </a:blip>
                    <a:srcRect/>
                    <a:stretch>
                      <a:fillRect/>
                    </a:stretch>
                  </pic:blipFill>
                  <pic:spPr bwMode="auto">
                    <a:xfrm>
                      <a:off x="0" y="0"/>
                      <a:ext cx="631063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-4482465</wp:posOffset>
            </wp:positionV>
            <wp:extent cx="63487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8">
                      <a:extLst>
                        <a:ext uri="{28A0092B-C50C-407E-A947-70E740481C1C}"/>
                      </a:extLst>
                    </a:blip>
                    <a:srcRect/>
                    <a:stretch>
                      <a:fillRect/>
                    </a:stretch>
                  </pic:blipFill>
                  <pic:spPr bwMode="auto">
                    <a:xfrm>
                      <a:off x="0" y="0"/>
                      <a:ext cx="6348730"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-4148455</wp:posOffset>
            </wp:positionV>
            <wp:extent cx="62058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9">
                      <a:extLst>
                        <a:ext uri="{28A0092B-C50C-407E-A947-70E740481C1C}"/>
                      </a:extLst>
                    </a:blip>
                    <a:srcRect/>
                    <a:stretch>
                      <a:fillRect/>
                    </a:stretch>
                  </pic:blipFill>
                  <pic:spPr bwMode="auto">
                    <a:xfrm>
                      <a:off x="0" y="0"/>
                      <a:ext cx="620585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-3231515</wp:posOffset>
            </wp:positionV>
            <wp:extent cx="62668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0">
                      <a:extLst>
                        <a:ext uri="{28A0092B-C50C-407E-A947-70E740481C1C}"/>
                      </a:extLst>
                    </a:blip>
                    <a:srcRect/>
                    <a:stretch>
                      <a:fillRect/>
                    </a:stretch>
                  </pic:blipFill>
                  <pic:spPr bwMode="auto">
                    <a:xfrm>
                      <a:off x="0" y="0"/>
                      <a:ext cx="6266815"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-2785110</wp:posOffset>
            </wp:positionV>
            <wp:extent cx="62668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1">
                      <a:extLst>
                        <a:ext uri="{28A0092B-C50C-407E-A947-70E740481C1C}"/>
                      </a:extLst>
                    </a:blip>
                    <a:srcRect/>
                    <a:stretch>
                      <a:fillRect/>
                    </a:stretch>
                  </pic:blipFill>
                  <pic:spPr bwMode="auto">
                    <a:xfrm>
                      <a:off x="0" y="0"/>
                      <a:ext cx="626681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-2339340</wp:posOffset>
            </wp:positionV>
            <wp:extent cx="62668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2">
                      <a:extLst>
                        <a:ext uri="{28A0092B-C50C-407E-A947-70E740481C1C}"/>
                      </a:extLst>
                    </a:blip>
                    <a:srcRect/>
                    <a:stretch>
                      <a:fillRect/>
                    </a:stretch>
                  </pic:blipFill>
                  <pic:spPr bwMode="auto">
                    <a:xfrm>
                      <a:off x="0" y="0"/>
                      <a:ext cx="626681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-1893570</wp:posOffset>
            </wp:positionV>
            <wp:extent cx="62668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3">
                      <a:extLst>
                        <a:ext uri="{28A0092B-C50C-407E-A947-70E740481C1C}"/>
                      </a:extLst>
                    </a:blip>
                    <a:srcRect/>
                    <a:stretch>
                      <a:fillRect/>
                    </a:stretch>
                  </pic:blipFill>
                  <pic:spPr bwMode="auto">
                    <a:xfrm>
                      <a:off x="0" y="0"/>
                      <a:ext cx="626681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-1448435</wp:posOffset>
            </wp:positionV>
            <wp:extent cx="63068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4">
                      <a:extLst>
                        <a:ext uri="{28A0092B-C50C-407E-A947-70E740481C1C}"/>
                      </a:extLst>
                    </a:blip>
                    <a:srcRect/>
                    <a:stretch>
                      <a:fillRect/>
                    </a:stretch>
                  </pic:blipFill>
                  <pic:spPr bwMode="auto">
                    <a:xfrm>
                      <a:off x="0" y="0"/>
                      <a:ext cx="6306820"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-1002665</wp:posOffset>
            </wp:positionV>
            <wp:extent cx="61182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5">
                      <a:extLst>
                        <a:ext uri="{28A0092B-C50C-407E-A947-70E740481C1C}"/>
                      </a:extLst>
                    </a:blip>
                    <a:srcRect/>
                    <a:stretch>
                      <a:fillRect/>
                    </a:stretch>
                  </pic:blipFill>
                  <pic:spPr bwMode="auto">
                    <a:xfrm>
                      <a:off x="0" y="0"/>
                      <a:ext cx="611822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-556895</wp:posOffset>
            </wp:positionV>
            <wp:extent cx="61182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6">
                      <a:extLst>
                        <a:ext uri="{28A0092B-C50C-407E-A947-70E740481C1C}"/>
                      </a:extLst>
                    </a:blip>
                    <a:srcRect/>
                    <a:stretch>
                      <a:fillRect/>
                    </a:stretch>
                  </pic:blipFill>
                  <pic:spPr bwMode="auto">
                    <a:xfrm>
                      <a:off x="0" y="0"/>
                      <a:ext cx="611822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-111125</wp:posOffset>
            </wp:positionV>
            <wp:extent cx="61588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7">
                      <a:extLst>
                        <a:ext uri="{28A0092B-C50C-407E-A947-70E740481C1C}"/>
                      </a:extLst>
                    </a:blip>
                    <a:srcRect/>
                    <a:stretch>
                      <a:fillRect/>
                    </a:stretch>
                  </pic:blipFill>
                  <pic:spPr bwMode="auto">
                    <a:xfrm>
                      <a:off x="0" y="0"/>
                      <a:ext cx="615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47" w:right="3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auto"/>
              </w:rPr>
              <w:t>10.21</w:t>
            </w:r>
          </w:p>
        </w:tc>
        <w:tc>
          <w:tcPr>
            <w:tcW w:w="10020" w:type="dxa"/>
            <w:vAlign w:val="bottom"/>
            <w:gridSpan w:val="26"/>
          </w:tcPr>
          <w:p>
            <w:pPr>
              <w:spacing w:after="0"/>
              <w:rPr>
                <w:rFonts w:ascii="Arial" w:cs="Arial" w:eastAsia="Arial" w:hAnsi="Arial"/>
                <w:sz w:val="16"/>
                <w:szCs w:val="16"/>
                <w:color w:val="auto"/>
              </w:rPr>
            </w:pPr>
            <w:hyperlink r:id="rId309">
              <w:r>
                <w:rPr>
                  <w:rFonts w:ascii="Arial" w:cs="Arial" w:eastAsia="Arial" w:hAnsi="Arial"/>
                  <w:sz w:val="16"/>
                  <w:szCs w:val="16"/>
                  <w:color w:val="auto"/>
                </w:rPr>
                <w:t>Form of Performance Vesting Non-Qualified Stock Option Agreement for Senior Executives, filed as Exhibit 10.3 to the Company’s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0000" w:type="dxa"/>
            <w:vAlign w:val="bottom"/>
            <w:gridSpan w:val="25"/>
          </w:tcPr>
          <w:p>
            <w:pPr>
              <w:spacing w:after="0" w:line="129" w:lineRule="exact"/>
              <w:rPr>
                <w:rFonts w:ascii="Arial" w:cs="Arial" w:eastAsia="Arial" w:hAnsi="Arial"/>
                <w:sz w:val="14"/>
                <w:szCs w:val="14"/>
                <w:color w:val="auto"/>
              </w:rPr>
            </w:pPr>
            <w:hyperlink r:id="rId309">
              <w:r>
                <w:rPr>
                  <w:rFonts w:ascii="Arial" w:cs="Arial" w:eastAsia="Arial" w:hAnsi="Arial"/>
                  <w:sz w:val="14"/>
                  <w:szCs w:val="14"/>
                  <w:color w:val="auto"/>
                </w:rPr>
                <w:t>Quarterly Report on Form 10-Q for the quarter ended June 30, 2020, filed with the Commission on July 31, 2020 (File No. 001-12984) and</w:t>
              </w:r>
            </w:hyperlink>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3"/>
          </w:tcPr>
          <w:p>
            <w:pPr>
              <w:spacing w:after="0" w:line="176" w:lineRule="exact"/>
              <w:rPr>
                <w:rFonts w:ascii="Arial" w:cs="Arial" w:eastAsia="Arial" w:hAnsi="Arial"/>
                <w:sz w:val="15"/>
                <w:szCs w:val="15"/>
                <w:color w:val="auto"/>
              </w:rPr>
            </w:pPr>
            <w:hyperlink r:id="rId309">
              <w:r>
                <w:rPr>
                  <w:rFonts w:ascii="Arial" w:cs="Arial" w:eastAsia="Arial" w:hAnsi="Arial"/>
                  <w:sz w:val="15"/>
                  <w:szCs w:val="15"/>
                  <w:color w:val="auto"/>
                </w:rPr>
                <w:t xml:space="preserve">incorporated herein by reference. </w:t>
              </w:r>
              <w:r>
                <w:rPr>
                  <w:rFonts w:ascii="Arial" w:cs="Arial" w:eastAsia="Arial" w:hAnsi="Arial"/>
                  <w:sz w:val="20"/>
                  <w:szCs w:val="20"/>
                  <w:color w:val="auto"/>
                  <w:vertAlign w:val="superscript"/>
                </w:rPr>
                <w:t>(1)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10.21(a)</w:t>
            </w:r>
          </w:p>
        </w:tc>
        <w:tc>
          <w:tcPr>
            <w:tcW w:w="10020" w:type="dxa"/>
            <w:vAlign w:val="bottom"/>
            <w:gridSpan w:val="26"/>
          </w:tcPr>
          <w:p>
            <w:pPr>
              <w:spacing w:after="0"/>
              <w:rPr>
                <w:rFonts w:ascii="Arial" w:cs="Arial" w:eastAsia="Arial" w:hAnsi="Arial"/>
                <w:sz w:val="16"/>
                <w:szCs w:val="16"/>
                <w:color w:val="auto"/>
              </w:rPr>
            </w:pPr>
            <w:hyperlink r:id="rId310">
              <w:r>
                <w:rPr>
                  <w:rFonts w:ascii="Arial" w:cs="Arial" w:eastAsia="Arial" w:hAnsi="Arial"/>
                  <w:sz w:val="16"/>
                  <w:szCs w:val="16"/>
                  <w:color w:val="auto"/>
                </w:rPr>
                <w:t>Form of Time Vesting Non-Qualified Stock Option Agreement for Senior Executives, filed as Exhibit 10.4 to the Company’s Quarterly Report</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0" w:type="dxa"/>
            <w:vAlign w:val="bottom"/>
            <w:tcBorders>
              <w:top w:val="single" w:sz="8" w:color="0000EE"/>
            </w:tcBorders>
            <w:gridSpan w:val="25"/>
          </w:tcPr>
          <w:p>
            <w:pPr>
              <w:spacing w:after="0" w:line="129" w:lineRule="exact"/>
              <w:rPr>
                <w:rFonts w:ascii="Arial" w:cs="Arial" w:eastAsia="Arial" w:hAnsi="Arial"/>
                <w:sz w:val="14"/>
                <w:szCs w:val="14"/>
                <w:color w:val="auto"/>
              </w:rPr>
            </w:pPr>
            <w:hyperlink r:id="rId310">
              <w:r>
                <w:rPr>
                  <w:rFonts w:ascii="Arial" w:cs="Arial" w:eastAsia="Arial" w:hAnsi="Arial"/>
                  <w:sz w:val="14"/>
                  <w:szCs w:val="14"/>
                  <w:color w:val="auto"/>
                </w:rPr>
                <w:t>on Form 10-Q for the quarter ended June 30, 2020, filed with the Commission on July 31, 2020 (File No. 001-12984) and incorporated</w:t>
              </w:r>
            </w:hyperlink>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16"/>
          </w:tcPr>
          <w:p>
            <w:pPr>
              <w:spacing w:after="0" w:line="176" w:lineRule="exact"/>
              <w:rPr>
                <w:rFonts w:ascii="Arial" w:cs="Arial" w:eastAsia="Arial" w:hAnsi="Arial"/>
                <w:sz w:val="15"/>
                <w:szCs w:val="15"/>
                <w:color w:val="auto"/>
              </w:rPr>
            </w:pPr>
            <w:hyperlink r:id="rId310">
              <w:r>
                <w:rPr>
                  <w:rFonts w:ascii="Arial" w:cs="Arial" w:eastAsia="Arial" w:hAnsi="Arial"/>
                  <w:sz w:val="15"/>
                  <w:szCs w:val="15"/>
                  <w:color w:val="auto"/>
                </w:rPr>
                <w:t xml:space="preserve">herein by reference. </w:t>
              </w:r>
              <w:r>
                <w:rPr>
                  <w:rFonts w:ascii="Arial" w:cs="Arial" w:eastAsia="Arial" w:hAnsi="Arial"/>
                  <w:sz w:val="20"/>
                  <w:szCs w:val="20"/>
                  <w:color w:val="auto"/>
                  <w:vertAlign w:val="superscript"/>
                </w:rPr>
                <w:t>(1)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10.21(b)</w:t>
            </w:r>
          </w:p>
        </w:tc>
        <w:tc>
          <w:tcPr>
            <w:tcW w:w="10020" w:type="dxa"/>
            <w:vAlign w:val="bottom"/>
            <w:gridSpan w:val="26"/>
          </w:tcPr>
          <w:p>
            <w:pPr>
              <w:spacing w:after="0"/>
              <w:rPr>
                <w:rFonts w:ascii="Arial" w:cs="Arial" w:eastAsia="Arial" w:hAnsi="Arial"/>
                <w:sz w:val="16"/>
                <w:szCs w:val="16"/>
                <w:color w:val="auto"/>
              </w:rPr>
            </w:pPr>
            <w:hyperlink r:id="rId311">
              <w:r>
                <w:rPr>
                  <w:rFonts w:ascii="Arial" w:cs="Arial" w:eastAsia="Arial" w:hAnsi="Arial"/>
                  <w:sz w:val="16"/>
                  <w:szCs w:val="16"/>
                  <w:color w:val="auto"/>
                </w:rPr>
                <w:t>Form of Performance Vesting Restricted Stock Agreement for Senior Executives, filed as Exhibit 10.5 to the Company’s Quarterly Report on</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0" w:type="dxa"/>
            <w:vAlign w:val="bottom"/>
            <w:tcBorders>
              <w:top w:val="single" w:sz="8" w:color="0000EE"/>
            </w:tcBorders>
            <w:gridSpan w:val="25"/>
          </w:tcPr>
          <w:p>
            <w:pPr>
              <w:spacing w:after="0" w:line="129" w:lineRule="exact"/>
              <w:rPr>
                <w:rFonts w:ascii="Arial" w:cs="Arial" w:eastAsia="Arial" w:hAnsi="Arial"/>
                <w:sz w:val="14"/>
                <w:szCs w:val="14"/>
                <w:color w:val="auto"/>
              </w:rPr>
            </w:pPr>
            <w:hyperlink r:id="rId311">
              <w:r>
                <w:rPr>
                  <w:rFonts w:ascii="Arial" w:cs="Arial" w:eastAsia="Arial" w:hAnsi="Arial"/>
                  <w:sz w:val="14"/>
                  <w:szCs w:val="14"/>
                  <w:color w:val="auto"/>
                </w:rPr>
                <w:t>Form 10-Q for the quarter ended June 30, 2020, filed with the Commission on July 31, 2020 (File No. 001-12984) and incorporated herein</w:t>
              </w:r>
            </w:hyperlink>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3"/>
          </w:tcPr>
          <w:p>
            <w:pPr>
              <w:spacing w:after="0" w:line="176" w:lineRule="exact"/>
              <w:rPr>
                <w:rFonts w:ascii="Arial" w:cs="Arial" w:eastAsia="Arial" w:hAnsi="Arial"/>
                <w:sz w:val="15"/>
                <w:szCs w:val="15"/>
                <w:color w:val="auto"/>
              </w:rPr>
            </w:pPr>
            <w:hyperlink r:id="rId311">
              <w:r>
                <w:rPr>
                  <w:rFonts w:ascii="Arial" w:cs="Arial" w:eastAsia="Arial" w:hAnsi="Arial"/>
                  <w:sz w:val="15"/>
                  <w:szCs w:val="15"/>
                  <w:color w:val="auto"/>
                </w:rPr>
                <w:t xml:space="preserve">by reference. </w:t>
              </w:r>
              <w:r>
                <w:rPr>
                  <w:rFonts w:ascii="Arial" w:cs="Arial" w:eastAsia="Arial" w:hAnsi="Arial"/>
                  <w:sz w:val="20"/>
                  <w:szCs w:val="20"/>
                  <w:color w:val="auto"/>
                  <w:vertAlign w:val="superscript"/>
                </w:rPr>
                <w:t>(1)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10.21(c)</w:t>
            </w:r>
          </w:p>
        </w:tc>
        <w:tc>
          <w:tcPr>
            <w:tcW w:w="10020" w:type="dxa"/>
            <w:vAlign w:val="bottom"/>
            <w:gridSpan w:val="26"/>
          </w:tcPr>
          <w:p>
            <w:pPr>
              <w:spacing w:after="0"/>
              <w:rPr>
                <w:rFonts w:ascii="Arial" w:cs="Arial" w:eastAsia="Arial" w:hAnsi="Arial"/>
                <w:sz w:val="16"/>
                <w:szCs w:val="16"/>
                <w:color w:val="auto"/>
              </w:rPr>
            </w:pPr>
            <w:hyperlink r:id="rId312">
              <w:r>
                <w:rPr>
                  <w:rFonts w:ascii="Arial" w:cs="Arial" w:eastAsia="Arial" w:hAnsi="Arial"/>
                  <w:sz w:val="16"/>
                  <w:szCs w:val="16"/>
                  <w:color w:val="auto"/>
                </w:rPr>
                <w:t>Form of Time Vesting Restricted Stock Agreement for Senior Executives, filed as Exhibit 10.6 to the Company’s Quarterly Report on Form</w:t>
              </w:r>
            </w:hyperlink>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00" w:type="dxa"/>
            <w:vAlign w:val="bottom"/>
            <w:tcBorders>
              <w:top w:val="single" w:sz="8" w:color="0000EE"/>
            </w:tcBorders>
            <w:gridSpan w:val="22"/>
          </w:tcPr>
          <w:p>
            <w:pPr>
              <w:spacing w:after="0" w:line="129" w:lineRule="exact"/>
              <w:rPr>
                <w:rFonts w:ascii="Arial" w:cs="Arial" w:eastAsia="Arial" w:hAnsi="Arial"/>
                <w:sz w:val="14"/>
                <w:szCs w:val="14"/>
                <w:color w:val="auto"/>
              </w:rPr>
            </w:pPr>
            <w:hyperlink r:id="rId312">
              <w:r>
                <w:rPr>
                  <w:rFonts w:ascii="Arial" w:cs="Arial" w:eastAsia="Arial" w:hAnsi="Arial"/>
                  <w:sz w:val="14"/>
                  <w:szCs w:val="14"/>
                  <w:color w:val="auto"/>
                </w:rPr>
                <w:t>10-Q for the quarter ended June 30, 2020, filed with the Commission on July 31, 2020 (File No. 001-12984) and incorporated herein by</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gridSpan w:val="17"/>
          </w:tcPr>
          <w:p>
            <w:pPr>
              <w:spacing w:after="0" w:line="176" w:lineRule="exact"/>
              <w:rPr>
                <w:rFonts w:ascii="Arial" w:cs="Arial" w:eastAsia="Arial" w:hAnsi="Arial"/>
                <w:sz w:val="15"/>
                <w:szCs w:val="15"/>
                <w:color w:val="auto"/>
              </w:rPr>
            </w:pPr>
            <w:hyperlink r:id="rId312">
              <w:r>
                <w:rPr>
                  <w:rFonts w:ascii="Arial" w:cs="Arial" w:eastAsia="Arial" w:hAnsi="Arial"/>
                  <w:sz w:val="15"/>
                  <w:szCs w:val="15"/>
                  <w:color w:val="auto"/>
                </w:rPr>
                <w:t xml:space="preserve">reference. </w:t>
              </w:r>
              <w:r>
                <w:rPr>
                  <w:rFonts w:ascii="Arial" w:cs="Arial" w:eastAsia="Arial" w:hAnsi="Arial"/>
                  <w:sz w:val="20"/>
                  <w:szCs w:val="20"/>
                  <w:color w:val="auto"/>
                  <w:vertAlign w:val="superscript"/>
                </w:rPr>
                <w:t>(1)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6"/>
                <w:szCs w:val="16"/>
                <w:color w:val="auto"/>
              </w:rPr>
              <w:t>10.22</w:t>
            </w:r>
          </w:p>
        </w:tc>
        <w:tc>
          <w:tcPr>
            <w:tcW w:w="10020" w:type="dxa"/>
            <w:vAlign w:val="bottom"/>
            <w:gridSpan w:val="26"/>
          </w:tcPr>
          <w:p>
            <w:pPr>
              <w:spacing w:after="0"/>
              <w:rPr>
                <w:rFonts w:ascii="Arial" w:cs="Arial" w:eastAsia="Arial" w:hAnsi="Arial"/>
                <w:sz w:val="16"/>
                <w:szCs w:val="16"/>
                <w:color w:val="auto"/>
              </w:rPr>
            </w:pPr>
            <w:hyperlink r:id="rId313">
              <w:r>
                <w:rPr>
                  <w:rFonts w:ascii="Arial" w:cs="Arial" w:eastAsia="Arial" w:hAnsi="Arial"/>
                  <w:sz w:val="16"/>
                  <w:szCs w:val="16"/>
                  <w:color w:val="auto"/>
                </w:rPr>
                <w:t>Eagle Materials Inc. Director Compensation Summary filed as Exhibit 10.1 to the Company’s Quarterly Report on Form 10-Q for the quarter</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EE"/>
            </w:tcBorders>
            <w:gridSpan w:val="25"/>
          </w:tcPr>
          <w:p>
            <w:pPr>
              <w:spacing w:after="0" w:line="156" w:lineRule="exact"/>
              <w:rPr>
                <w:rFonts w:ascii="Arial" w:cs="Arial" w:eastAsia="Arial" w:hAnsi="Arial"/>
                <w:sz w:val="14"/>
                <w:szCs w:val="14"/>
                <w:color w:val="auto"/>
              </w:rPr>
            </w:pPr>
            <w:hyperlink r:id="rId313">
              <w:r>
                <w:rPr>
                  <w:rFonts w:ascii="Arial" w:cs="Arial" w:eastAsia="Arial" w:hAnsi="Arial"/>
                  <w:sz w:val="14"/>
                  <w:szCs w:val="14"/>
                  <w:color w:val="auto"/>
                </w:rPr>
                <w:t xml:space="preserve">ended September 30, 2020, filed with the Commission on October 30, 2020 (File No. 001-12984) and incorporated herein by reference. </w:t>
              </w:r>
              <w:r>
                <w:rPr>
                  <w:rFonts w:ascii="Arial" w:cs="Arial" w:eastAsia="Arial" w:hAnsi="Arial"/>
                  <w:sz w:val="18"/>
                  <w:szCs w:val="18"/>
                  <w:color w:val="auto"/>
                  <w:vertAlign w:val="superscript"/>
                </w:rPr>
                <w:t>(1)</w:t>
              </w:r>
            </w:hyperlink>
          </w:p>
        </w:tc>
        <w:tc>
          <w:tcPr>
            <w:tcW w:w="0" w:type="dxa"/>
            <w:vAlign w:val="bottom"/>
          </w:tcPr>
          <w:p>
            <w:pPr>
              <w:spacing w:after="0"/>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6"/>
                <w:szCs w:val="16"/>
                <w:color w:val="auto"/>
              </w:rPr>
              <w:t>10.23</w:t>
            </w:r>
          </w:p>
        </w:tc>
        <w:tc>
          <w:tcPr>
            <w:tcW w:w="9660" w:type="dxa"/>
            <w:vAlign w:val="bottom"/>
            <w:tcBorders>
              <w:top w:val="single" w:sz="8" w:color="0000EE"/>
            </w:tcBorders>
            <w:gridSpan w:val="17"/>
          </w:tcPr>
          <w:p>
            <w:pPr>
              <w:spacing w:after="0"/>
              <w:rPr>
                <w:rFonts w:ascii="Arial" w:cs="Arial" w:eastAsia="Arial" w:hAnsi="Arial"/>
                <w:sz w:val="16"/>
                <w:szCs w:val="16"/>
                <w:color w:val="auto"/>
              </w:rPr>
            </w:pPr>
            <w:hyperlink r:id="rId314">
              <w:r>
                <w:rPr>
                  <w:rFonts w:ascii="Arial" w:cs="Arial" w:eastAsia="Arial" w:hAnsi="Arial"/>
                  <w:sz w:val="16"/>
                  <w:szCs w:val="16"/>
                  <w:color w:val="auto"/>
                </w:rPr>
                <w:t>Amended and Restated Eagle Materials Inc. Employee Severance Plan and Summary Plan Description, filed as Exhibit 10.2 to the</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0000" w:type="dxa"/>
            <w:vAlign w:val="bottom"/>
            <w:gridSpan w:val="25"/>
          </w:tcPr>
          <w:p>
            <w:pPr>
              <w:spacing w:after="0" w:line="142" w:lineRule="exact"/>
              <w:rPr>
                <w:rFonts w:ascii="Arial" w:cs="Arial" w:eastAsia="Arial" w:hAnsi="Arial"/>
                <w:sz w:val="16"/>
                <w:szCs w:val="16"/>
                <w:color w:val="auto"/>
              </w:rPr>
            </w:pPr>
            <w:hyperlink r:id="rId314">
              <w:r>
                <w:rPr>
                  <w:rFonts w:ascii="Arial" w:cs="Arial" w:eastAsia="Arial" w:hAnsi="Arial"/>
                  <w:sz w:val="16"/>
                  <w:szCs w:val="16"/>
                  <w:color w:val="auto"/>
                </w:rPr>
                <w:t>Company’s Quarterly Report on Form 10-Q for the quarter ended December 31, 2020, filed with the Commission on January 28, 2021 (File</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EE"/>
            </w:tcBorders>
            <w:gridSpan w:val="24"/>
          </w:tcPr>
          <w:p>
            <w:pPr>
              <w:spacing w:after="0" w:line="142" w:lineRule="exact"/>
              <w:rPr>
                <w:rFonts w:ascii="Arial" w:cs="Arial" w:eastAsia="Arial" w:hAnsi="Arial"/>
                <w:sz w:val="16"/>
                <w:szCs w:val="16"/>
                <w:color w:val="auto"/>
              </w:rPr>
            </w:pPr>
            <w:hyperlink r:id="rId314">
              <w:r>
                <w:rPr>
                  <w:rFonts w:ascii="Arial" w:cs="Arial" w:eastAsia="Arial" w:hAnsi="Arial"/>
                  <w:sz w:val="16"/>
                  <w:szCs w:val="16"/>
                  <w:color w:val="auto"/>
                </w:rPr>
                <w:t>No. 001-12984) and incorporated herein by reference. (1)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6"/>
                <w:szCs w:val="16"/>
                <w:color w:val="auto"/>
              </w:rPr>
              <w:t>10.24</w:t>
            </w:r>
          </w:p>
        </w:tc>
        <w:tc>
          <w:tcPr>
            <w:tcW w:w="10020" w:type="dxa"/>
            <w:vAlign w:val="bottom"/>
            <w:gridSpan w:val="26"/>
          </w:tcPr>
          <w:p>
            <w:pPr>
              <w:spacing w:after="0"/>
              <w:rPr>
                <w:rFonts w:ascii="Arial" w:cs="Arial" w:eastAsia="Arial" w:hAnsi="Arial"/>
                <w:sz w:val="16"/>
                <w:szCs w:val="16"/>
                <w:color w:val="auto"/>
              </w:rPr>
            </w:pPr>
            <w:hyperlink r:id="rId315">
              <w:r>
                <w:rPr>
                  <w:rFonts w:ascii="Arial" w:cs="Arial" w:eastAsia="Arial" w:hAnsi="Arial"/>
                  <w:sz w:val="16"/>
                  <w:szCs w:val="16"/>
                  <w:color w:val="auto"/>
                </w:rPr>
                <w:t>Form of Restricted Stock Agreement for Non-Employee Directors, filed as Exhibit 10.2 to the Company’s Quarterly Report on Form 10-Q for</w:t>
              </w:r>
            </w:hyperlink>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0" w:type="dxa"/>
            <w:vAlign w:val="bottom"/>
            <w:tcBorders>
              <w:top w:val="single" w:sz="8" w:color="0000EE"/>
            </w:tcBorders>
            <w:gridSpan w:val="25"/>
          </w:tcPr>
          <w:p>
            <w:pPr>
              <w:spacing w:after="0" w:line="129" w:lineRule="exact"/>
              <w:rPr>
                <w:rFonts w:ascii="Arial" w:cs="Arial" w:eastAsia="Arial" w:hAnsi="Arial"/>
                <w:sz w:val="14"/>
                <w:szCs w:val="14"/>
                <w:color w:val="auto"/>
              </w:rPr>
            </w:pPr>
            <w:hyperlink r:id="rId315">
              <w:r>
                <w:rPr>
                  <w:rFonts w:ascii="Arial" w:cs="Arial" w:eastAsia="Arial" w:hAnsi="Arial"/>
                  <w:sz w:val="14"/>
                  <w:szCs w:val="14"/>
                  <w:color w:val="auto"/>
                </w:rPr>
                <w:t>the quarter ended September 30, 2020, filed with the Commission on October 30, 2020 (File No. 001-12984) and incorporated herein by</w:t>
              </w:r>
            </w:hyperlink>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20"/>
          </w:tcPr>
          <w:p>
            <w:pPr>
              <w:spacing w:after="0" w:line="176" w:lineRule="exact"/>
              <w:rPr>
                <w:rFonts w:ascii="Arial" w:cs="Arial" w:eastAsia="Arial" w:hAnsi="Arial"/>
                <w:sz w:val="15"/>
                <w:szCs w:val="15"/>
                <w:color w:val="auto"/>
              </w:rPr>
            </w:pPr>
            <w:hyperlink r:id="rId315">
              <w:r>
                <w:rPr>
                  <w:rFonts w:ascii="Arial" w:cs="Arial" w:eastAsia="Arial" w:hAnsi="Arial"/>
                  <w:sz w:val="15"/>
                  <w:szCs w:val="15"/>
                  <w:color w:val="auto"/>
                </w:rPr>
                <w:t xml:space="preserve">reference. </w:t>
              </w:r>
              <w:r>
                <w:rPr>
                  <w:rFonts w:ascii="Arial" w:cs="Arial" w:eastAsia="Arial" w:hAnsi="Arial"/>
                  <w:sz w:val="20"/>
                  <w:szCs w:val="20"/>
                  <w:color w:val="auto"/>
                  <w:vertAlign w:val="superscript"/>
                </w:rPr>
                <w:t>(1)</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auto"/>
              </w:rPr>
              <w:t>10.25</w:t>
            </w:r>
          </w:p>
        </w:tc>
        <w:tc>
          <w:tcPr>
            <w:tcW w:w="10020" w:type="dxa"/>
            <w:vAlign w:val="bottom"/>
            <w:gridSpan w:val="26"/>
          </w:tcPr>
          <w:p>
            <w:pPr>
              <w:spacing w:after="0"/>
              <w:rPr>
                <w:rFonts w:ascii="Arial" w:cs="Arial" w:eastAsia="Arial" w:hAnsi="Arial"/>
                <w:sz w:val="16"/>
                <w:szCs w:val="16"/>
                <w:color w:val="auto"/>
              </w:rPr>
            </w:pPr>
            <w:hyperlink r:id="rId316">
              <w:r>
                <w:rPr>
                  <w:rFonts w:ascii="Arial" w:cs="Arial" w:eastAsia="Arial" w:hAnsi="Arial"/>
                  <w:sz w:val="16"/>
                  <w:szCs w:val="16"/>
                  <w:color w:val="auto"/>
                </w:rPr>
                <w:t>Form of Performance Vesting Restricted Stock Agreement for Senior Executives, filed as Exhibit 10.3 to the Company’s Quarterly Report 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10020" w:type="dxa"/>
            <w:vAlign w:val="bottom"/>
            <w:gridSpan w:val="26"/>
          </w:tcPr>
          <w:p>
            <w:pPr>
              <w:spacing w:after="0" w:line="155" w:lineRule="exact"/>
              <w:rPr>
                <w:rFonts w:ascii="Arial" w:cs="Arial" w:eastAsia="Arial" w:hAnsi="Arial"/>
                <w:sz w:val="16"/>
                <w:szCs w:val="16"/>
                <w:color w:val="auto"/>
              </w:rPr>
            </w:pPr>
            <w:hyperlink r:id="rId316">
              <w:r>
                <w:rPr>
                  <w:rFonts w:ascii="Arial" w:cs="Arial" w:eastAsia="Arial" w:hAnsi="Arial"/>
                  <w:sz w:val="16"/>
                  <w:szCs w:val="16"/>
                  <w:color w:val="auto"/>
                </w:rPr>
                <w:t>Form 10-Q for the quarter ended June 30, 2021, filed with the Commission on July 28, 2021 (File No. 001-12984) and incorporated herein</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EE"/>
            </w:tcBorders>
            <w:gridSpan w:val="23"/>
          </w:tcPr>
          <w:p>
            <w:pPr>
              <w:spacing w:after="0" w:line="156" w:lineRule="exact"/>
              <w:rPr>
                <w:rFonts w:ascii="Arial" w:cs="Arial" w:eastAsia="Arial" w:hAnsi="Arial"/>
                <w:sz w:val="14"/>
                <w:szCs w:val="14"/>
                <w:color w:val="auto"/>
              </w:rPr>
            </w:pPr>
            <w:hyperlink r:id="rId316">
              <w:r>
                <w:rPr>
                  <w:rFonts w:ascii="Arial" w:cs="Arial" w:eastAsia="Arial" w:hAnsi="Arial"/>
                  <w:sz w:val="14"/>
                  <w:szCs w:val="14"/>
                  <w:color w:val="auto"/>
                </w:rPr>
                <w:t xml:space="preserve">by reference. </w:t>
              </w:r>
              <w:r>
                <w:rPr>
                  <w:rFonts w:ascii="Arial" w:cs="Arial" w:eastAsia="Arial" w:hAnsi="Arial"/>
                  <w:sz w:val="18"/>
                  <w:szCs w:val="18"/>
                  <w:color w:val="auto"/>
                  <w:vertAlign w:val="superscript"/>
                </w:rPr>
                <w:t>(1)</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6"/>
                <w:szCs w:val="16"/>
                <w:color w:val="auto"/>
              </w:rPr>
              <w:t>10.26</w:t>
            </w:r>
          </w:p>
        </w:tc>
        <w:tc>
          <w:tcPr>
            <w:tcW w:w="10020" w:type="dxa"/>
            <w:vAlign w:val="bottom"/>
            <w:gridSpan w:val="26"/>
          </w:tcPr>
          <w:p>
            <w:pPr>
              <w:spacing w:after="0"/>
              <w:rPr>
                <w:rFonts w:ascii="Arial" w:cs="Arial" w:eastAsia="Arial" w:hAnsi="Arial"/>
                <w:sz w:val="16"/>
                <w:szCs w:val="16"/>
                <w:color w:val="auto"/>
              </w:rPr>
            </w:pPr>
            <w:hyperlink r:id="rId317">
              <w:r>
                <w:rPr>
                  <w:rFonts w:ascii="Arial" w:cs="Arial" w:eastAsia="Arial" w:hAnsi="Arial"/>
                  <w:sz w:val="16"/>
                  <w:szCs w:val="16"/>
                  <w:color w:val="auto"/>
                </w:rPr>
                <w:t>Form of Time Vesting Restricted Stock Agreement for Senior Executives, filed as Exhibit 10.4 to the Company’s Quarterly Report on Form</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10020" w:type="dxa"/>
            <w:vAlign w:val="bottom"/>
            <w:gridSpan w:val="26"/>
          </w:tcPr>
          <w:p>
            <w:pPr>
              <w:spacing w:after="0" w:line="155" w:lineRule="exact"/>
              <w:rPr>
                <w:rFonts w:ascii="Arial" w:cs="Arial" w:eastAsia="Arial" w:hAnsi="Arial"/>
                <w:sz w:val="16"/>
                <w:szCs w:val="16"/>
                <w:color w:val="auto"/>
              </w:rPr>
            </w:pPr>
            <w:hyperlink r:id="rId317">
              <w:r>
                <w:rPr>
                  <w:rFonts w:ascii="Arial" w:cs="Arial" w:eastAsia="Arial" w:hAnsi="Arial"/>
                  <w:sz w:val="16"/>
                  <w:szCs w:val="16"/>
                  <w:color w:val="auto"/>
                </w:rPr>
                <w:t>10-Q for the quarter ended June 30, 2020, filed with the Commission on July 28, 2021 (File No. 001-12984) and incorporated herein by</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EE"/>
            </w:tcBorders>
            <w:gridSpan w:val="17"/>
          </w:tcPr>
          <w:p>
            <w:pPr>
              <w:spacing w:after="0" w:line="156" w:lineRule="exact"/>
              <w:rPr>
                <w:rFonts w:ascii="Arial" w:cs="Arial" w:eastAsia="Arial" w:hAnsi="Arial"/>
                <w:sz w:val="14"/>
                <w:szCs w:val="14"/>
                <w:color w:val="auto"/>
              </w:rPr>
            </w:pPr>
            <w:hyperlink r:id="rId317">
              <w:r>
                <w:rPr>
                  <w:rFonts w:ascii="Arial" w:cs="Arial" w:eastAsia="Arial" w:hAnsi="Arial"/>
                  <w:sz w:val="14"/>
                  <w:szCs w:val="14"/>
                  <w:color w:val="auto"/>
                </w:rPr>
                <w:t xml:space="preserve">reference. </w:t>
              </w:r>
              <w:r>
                <w:rPr>
                  <w:rFonts w:ascii="Arial" w:cs="Arial" w:eastAsia="Arial" w:hAnsi="Arial"/>
                  <w:sz w:val="18"/>
                  <w:szCs w:val="18"/>
                  <w:color w:val="auto"/>
                  <w:vertAlign w:val="superscript"/>
                </w:rPr>
                <w:t>(1)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6"/>
                <w:szCs w:val="16"/>
                <w:color w:val="auto"/>
              </w:rPr>
              <w:t>10.27</w:t>
            </w:r>
          </w:p>
        </w:tc>
        <w:tc>
          <w:tcPr>
            <w:tcW w:w="10020" w:type="dxa"/>
            <w:vAlign w:val="bottom"/>
            <w:gridSpan w:val="26"/>
          </w:tcPr>
          <w:p>
            <w:pPr>
              <w:spacing w:after="0"/>
              <w:rPr>
                <w:rFonts w:ascii="Arial" w:cs="Arial" w:eastAsia="Arial" w:hAnsi="Arial"/>
                <w:sz w:val="16"/>
                <w:szCs w:val="16"/>
                <w:color w:val="auto"/>
              </w:rPr>
            </w:pPr>
            <w:hyperlink r:id="rId318">
              <w:r>
                <w:rPr>
                  <w:rFonts w:ascii="Arial" w:cs="Arial" w:eastAsia="Arial" w:hAnsi="Arial"/>
                  <w:sz w:val="16"/>
                  <w:szCs w:val="16"/>
                  <w:color w:val="auto"/>
                </w:rPr>
                <w:t>Eagle Materials Inc. Director Compensation Summary filed as Exhibit 10.1 to the Company’s Quarterly Report on Form 10-Q for the quarter</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EE"/>
            </w:tcBorders>
            <w:gridSpan w:val="25"/>
          </w:tcPr>
          <w:p>
            <w:pPr>
              <w:spacing w:after="0" w:line="156" w:lineRule="exact"/>
              <w:rPr>
                <w:rFonts w:ascii="Arial" w:cs="Arial" w:eastAsia="Arial" w:hAnsi="Arial"/>
                <w:sz w:val="14"/>
                <w:szCs w:val="14"/>
                <w:color w:val="auto"/>
              </w:rPr>
            </w:pPr>
            <w:hyperlink r:id="rId318">
              <w:r>
                <w:rPr>
                  <w:rFonts w:ascii="Arial" w:cs="Arial" w:eastAsia="Arial" w:hAnsi="Arial"/>
                  <w:sz w:val="14"/>
                  <w:szCs w:val="14"/>
                  <w:color w:val="auto"/>
                </w:rPr>
                <w:t xml:space="preserve">ended September 30, 2021, filed with the Commission on October 28, 2021 (File No. 001-12984) and incorporated herein by reference. </w:t>
              </w:r>
              <w:r>
                <w:rPr>
                  <w:rFonts w:ascii="Arial" w:cs="Arial" w:eastAsia="Arial" w:hAnsi="Arial"/>
                  <w:sz w:val="18"/>
                  <w:szCs w:val="18"/>
                  <w:color w:val="auto"/>
                  <w:vertAlign w:val="superscript"/>
                </w:rPr>
                <w:t>(1)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6"/>
                <w:szCs w:val="16"/>
                <w:color w:val="auto"/>
              </w:rPr>
              <w:t>10.28</w:t>
            </w:r>
          </w:p>
        </w:tc>
        <w:tc>
          <w:tcPr>
            <w:tcW w:w="10020" w:type="dxa"/>
            <w:vAlign w:val="bottom"/>
            <w:gridSpan w:val="26"/>
          </w:tcPr>
          <w:p>
            <w:pPr>
              <w:spacing w:after="0"/>
              <w:rPr>
                <w:rFonts w:ascii="Arial" w:cs="Arial" w:eastAsia="Arial" w:hAnsi="Arial"/>
                <w:sz w:val="16"/>
                <w:szCs w:val="16"/>
                <w:color w:val="auto"/>
              </w:rPr>
            </w:pPr>
            <w:hyperlink r:id="rId319">
              <w:r>
                <w:rPr>
                  <w:rFonts w:ascii="Arial" w:cs="Arial" w:eastAsia="Arial" w:hAnsi="Arial"/>
                  <w:sz w:val="16"/>
                  <w:szCs w:val="16"/>
                  <w:color w:val="auto"/>
                </w:rPr>
                <w:t>Form of Restricted Stock Agreement for Non-Employee Directors, filed as Exhibit 10.2 to the Company’s Quarterly Report on Form 10-Q for</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10020" w:type="dxa"/>
            <w:vAlign w:val="bottom"/>
            <w:gridSpan w:val="26"/>
          </w:tcPr>
          <w:p>
            <w:pPr>
              <w:spacing w:after="0" w:line="155" w:lineRule="exact"/>
              <w:rPr>
                <w:rFonts w:ascii="Arial" w:cs="Arial" w:eastAsia="Arial" w:hAnsi="Arial"/>
                <w:sz w:val="16"/>
                <w:szCs w:val="16"/>
                <w:color w:val="auto"/>
              </w:rPr>
            </w:pPr>
            <w:hyperlink r:id="rId319">
              <w:r>
                <w:rPr>
                  <w:rFonts w:ascii="Arial" w:cs="Arial" w:eastAsia="Arial" w:hAnsi="Arial"/>
                  <w:sz w:val="16"/>
                  <w:szCs w:val="16"/>
                  <w:color w:val="auto"/>
                </w:rPr>
                <w:t>the quarter ended September 30, 2021, filed with the Commission on October 28, 2021 (File No. 001-12984) and incorporated herein by</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EE"/>
            </w:tcBorders>
            <w:gridSpan w:val="20"/>
          </w:tcPr>
          <w:p>
            <w:pPr>
              <w:spacing w:after="0" w:line="156" w:lineRule="exact"/>
              <w:rPr>
                <w:rFonts w:ascii="Arial" w:cs="Arial" w:eastAsia="Arial" w:hAnsi="Arial"/>
                <w:sz w:val="14"/>
                <w:szCs w:val="14"/>
                <w:color w:val="auto"/>
              </w:rPr>
            </w:pPr>
            <w:hyperlink r:id="rId319">
              <w:r>
                <w:rPr>
                  <w:rFonts w:ascii="Arial" w:cs="Arial" w:eastAsia="Arial" w:hAnsi="Arial"/>
                  <w:sz w:val="14"/>
                  <w:szCs w:val="14"/>
                  <w:color w:val="auto"/>
                </w:rPr>
                <w:t xml:space="preserve">reference. </w:t>
              </w:r>
              <w:r>
                <w:rPr>
                  <w:rFonts w:ascii="Arial" w:cs="Arial" w:eastAsia="Arial" w:hAnsi="Arial"/>
                  <w:sz w:val="18"/>
                  <w:szCs w:val="18"/>
                  <w:color w:val="auto"/>
                  <w:vertAlign w:val="superscript"/>
                </w:rPr>
                <w:t>(1)</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6"/>
                <w:szCs w:val="16"/>
                <w:color w:val="auto"/>
              </w:rPr>
              <w:t>10.29</w:t>
            </w:r>
          </w:p>
        </w:tc>
        <w:tc>
          <w:tcPr>
            <w:tcW w:w="10020" w:type="dxa"/>
            <w:vAlign w:val="bottom"/>
            <w:gridSpan w:val="26"/>
          </w:tcPr>
          <w:p>
            <w:pPr>
              <w:spacing w:after="0"/>
              <w:rPr>
                <w:rFonts w:ascii="Arial" w:cs="Arial" w:eastAsia="Arial" w:hAnsi="Arial"/>
                <w:sz w:val="16"/>
                <w:szCs w:val="16"/>
                <w:color w:val="auto"/>
              </w:rPr>
            </w:pPr>
            <w:hyperlink r:id="rId320">
              <w:r>
                <w:rPr>
                  <w:rFonts w:ascii="Arial" w:cs="Arial" w:eastAsia="Arial" w:hAnsi="Arial"/>
                  <w:sz w:val="16"/>
                  <w:szCs w:val="16"/>
                  <w:color w:val="auto"/>
                </w:rPr>
                <w:t>Form of Non-Qualified Stock Option Agreement for Non-Employee Directors, filed as Exhibit 10.3 to the Company’s Quarterly Report 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10020" w:type="dxa"/>
            <w:vAlign w:val="bottom"/>
            <w:gridSpan w:val="26"/>
          </w:tcPr>
          <w:p>
            <w:pPr>
              <w:spacing w:after="0" w:line="155" w:lineRule="exact"/>
              <w:rPr>
                <w:rFonts w:ascii="Arial" w:cs="Arial" w:eastAsia="Arial" w:hAnsi="Arial"/>
                <w:sz w:val="16"/>
                <w:szCs w:val="16"/>
                <w:color w:val="auto"/>
              </w:rPr>
            </w:pPr>
            <w:hyperlink r:id="rId320">
              <w:r>
                <w:rPr>
                  <w:rFonts w:ascii="Arial" w:cs="Arial" w:eastAsia="Arial" w:hAnsi="Arial"/>
                  <w:sz w:val="16"/>
                  <w:szCs w:val="16"/>
                  <w:color w:val="auto"/>
                </w:rPr>
                <w:t>Form 10-Q for the quarter ended September 30, 2021, filed with the Commission on October 28, 2021 (File No. 001-12984) and</w:t>
              </w:r>
            </w:hyperlink>
          </w:p>
        </w:tc>
        <w:tc>
          <w:tcPr>
            <w:tcW w:w="0" w:type="dxa"/>
            <w:vAlign w:val="bottom"/>
          </w:tcPr>
          <w:p>
            <w:pPr>
              <w:spacing w:after="0"/>
              <w:rPr>
                <w:sz w:val="1"/>
                <w:szCs w:val="1"/>
                <w:color w:val="auto"/>
              </w:rPr>
            </w:pPr>
          </w:p>
        </w:tc>
      </w:tr>
      <w:tr>
        <w:trPr>
          <w:trHeight w:val="75"/>
        </w:trPr>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tcBorders>
              <w:top w:val="single" w:sz="8" w:color="0000EE"/>
              <w:bottom w:val="single" w:sz="8" w:color="0000EE"/>
            </w:tcBorders>
            <w:gridSpan w:val="8"/>
            <w:vMerge w:val="restart"/>
          </w:tcPr>
          <w:p>
            <w:pPr>
              <w:spacing w:after="0" w:line="155" w:lineRule="exact"/>
              <w:rPr>
                <w:rFonts w:ascii="Arial" w:cs="Arial" w:eastAsia="Arial" w:hAnsi="Arial"/>
                <w:sz w:val="16"/>
                <w:szCs w:val="16"/>
                <w:color w:val="auto"/>
              </w:rPr>
            </w:pPr>
            <w:hyperlink r:id="rId320">
              <w:r>
                <w:rPr>
                  <w:rFonts w:ascii="Arial" w:cs="Arial" w:eastAsia="Arial" w:hAnsi="Arial"/>
                  <w:sz w:val="16"/>
                  <w:szCs w:val="16"/>
                  <w:color w:val="auto"/>
                </w:rPr>
                <w:t>incorporated herein by reference.</w:t>
              </w:r>
            </w:hyperlink>
          </w:p>
        </w:tc>
        <w:tc>
          <w:tcPr>
            <w:tcW w:w="180" w:type="dxa"/>
            <w:vAlign w:val="bottom"/>
            <w:tcBorders>
              <w:top w:val="single" w:sz="8" w:color="0000EE"/>
              <w:bottom w:val="single" w:sz="8" w:color="0000EE"/>
            </w:tcBorders>
            <w:gridSpan w:val="2"/>
          </w:tcPr>
          <w:p>
            <w:pPr>
              <w:jc w:val="right"/>
              <w:ind w:right="40"/>
              <w:spacing w:after="0" w:line="61" w:lineRule="exact"/>
              <w:rPr>
                <w:rFonts w:ascii="Arial" w:cs="Arial" w:eastAsia="Arial" w:hAnsi="Arial"/>
                <w:sz w:val="7"/>
                <w:szCs w:val="7"/>
                <w:color w:val="auto"/>
              </w:rPr>
            </w:pPr>
            <w:hyperlink r:id="rId320">
              <w:r>
                <w:rPr>
                  <w:rFonts w:ascii="Arial" w:cs="Arial" w:eastAsia="Arial" w:hAnsi="Arial"/>
                  <w:sz w:val="7"/>
                  <w:szCs w:val="7"/>
                  <w:color w:val="auto"/>
                </w:rPr>
                <w:t>(1)</w:t>
              </w:r>
            </w:hyperlink>
          </w:p>
        </w:tc>
        <w:tc>
          <w:tcPr>
            <w:tcW w:w="6580" w:type="dxa"/>
            <w:vAlign w:val="bottom"/>
            <w:tcBorders>
              <w:top w:val="single" w:sz="8" w:color="0000EE"/>
              <w:bottom w:val="single" w:sz="8" w:color="0000EE"/>
            </w:tcBorders>
            <w:gridSpan w:val="3"/>
            <w:vMerge w:val="restart"/>
          </w:tcPr>
          <w:p>
            <w:pPr>
              <w:spacing w:after="0"/>
              <w:rPr>
                <w:sz w:val="6"/>
                <w:szCs w:val="6"/>
                <w:color w:val="auto"/>
              </w:rPr>
            </w:pPr>
          </w:p>
        </w:tc>
        <w:tc>
          <w:tcPr>
            <w:tcW w:w="620" w:type="dxa"/>
            <w:vAlign w:val="bottom"/>
            <w:gridSpan w:val="8"/>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420" w:type="dxa"/>
            <w:vAlign w:val="bottom"/>
            <w:tcBorders>
              <w:bottom w:val="single" w:sz="8" w:color="0000EE"/>
            </w:tcBorders>
            <w:gridSpan w:val="8"/>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65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180" w:type="dxa"/>
            <w:vAlign w:val="bottom"/>
          </w:tcPr>
          <w:p>
            <w:pPr>
              <w:spacing w:after="0"/>
              <w:rPr>
                <w:sz w:val="20"/>
                <w:szCs w:val="20"/>
                <w:color w:val="auto"/>
              </w:rPr>
            </w:pPr>
            <w:r>
              <w:rPr>
                <w:rFonts w:ascii="Arial" w:cs="Arial" w:eastAsia="Arial" w:hAnsi="Arial"/>
                <w:sz w:val="16"/>
                <w:szCs w:val="16"/>
                <w:color w:val="auto"/>
              </w:rPr>
              <w:t>21*</w:t>
            </w:r>
          </w:p>
        </w:tc>
        <w:tc>
          <w:tcPr>
            <w:tcW w:w="2120" w:type="dxa"/>
            <w:vAlign w:val="bottom"/>
            <w:tcBorders>
              <w:bottom w:val="single" w:sz="8" w:color="0000EE"/>
            </w:tcBorders>
            <w:gridSpan w:val="7"/>
          </w:tcPr>
          <w:p>
            <w:pPr>
              <w:spacing w:after="0"/>
              <w:rPr>
                <w:rFonts w:ascii="Arial" w:cs="Arial" w:eastAsia="Arial" w:hAnsi="Arial"/>
                <w:sz w:val="16"/>
                <w:szCs w:val="16"/>
                <w:color w:val="404040"/>
              </w:rPr>
            </w:pPr>
            <w:hyperlink w:anchor="page133">
              <w:r>
                <w:rPr>
                  <w:rFonts w:ascii="Arial" w:cs="Arial" w:eastAsia="Arial" w:hAnsi="Arial"/>
                  <w:sz w:val="16"/>
                  <w:szCs w:val="16"/>
                  <w:color w:val="404040"/>
                </w:rPr>
                <w:t>Subsidiaries of the Company.</w:t>
              </w:r>
            </w:hyperlink>
          </w:p>
        </w:tc>
        <w:tc>
          <w:tcPr>
            <w:tcW w:w="79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6"/>
                <w:szCs w:val="16"/>
                <w:color w:val="404040"/>
              </w:rPr>
              <w:t>23.1*</w:t>
            </w:r>
          </w:p>
        </w:tc>
        <w:tc>
          <w:tcPr>
            <w:tcW w:w="5840" w:type="dxa"/>
            <w:vAlign w:val="bottom"/>
            <w:tcBorders>
              <w:bottom w:val="single" w:sz="8" w:color="0000EE"/>
            </w:tcBorders>
            <w:gridSpan w:val="13"/>
          </w:tcPr>
          <w:p>
            <w:pPr>
              <w:spacing w:after="0"/>
              <w:rPr>
                <w:rFonts w:ascii="Arial" w:cs="Arial" w:eastAsia="Arial" w:hAnsi="Arial"/>
                <w:sz w:val="16"/>
                <w:szCs w:val="16"/>
                <w:color w:val="404040"/>
              </w:rPr>
            </w:pPr>
            <w:hyperlink w:anchor="page136">
              <w:r>
                <w:rPr>
                  <w:rFonts w:ascii="Arial" w:cs="Arial" w:eastAsia="Arial" w:hAnsi="Arial"/>
                  <w:sz w:val="16"/>
                  <w:szCs w:val="16"/>
                  <w:color w:val="404040"/>
                </w:rPr>
                <w:t>Consent of Registered Independent Public Accounting Firm – Ernst &amp; Young LLP.</w:t>
              </w:r>
            </w:hyperlink>
          </w:p>
        </w:tc>
        <w:tc>
          <w:tcPr>
            <w:tcW w:w="41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404040"/>
              </w:rPr>
              <w:t>31.1*</w:t>
            </w:r>
          </w:p>
        </w:tc>
        <w:tc>
          <w:tcPr>
            <w:tcW w:w="10020" w:type="dxa"/>
            <w:vAlign w:val="bottom"/>
            <w:gridSpan w:val="26"/>
          </w:tcPr>
          <w:p>
            <w:pPr>
              <w:spacing w:after="0"/>
              <w:rPr>
                <w:rFonts w:ascii="Arial" w:cs="Arial" w:eastAsia="Arial" w:hAnsi="Arial"/>
                <w:sz w:val="16"/>
                <w:szCs w:val="16"/>
                <w:color w:val="404040"/>
              </w:rPr>
            </w:pPr>
            <w:hyperlink w:anchor="page137">
              <w:r>
                <w:rPr>
                  <w:rFonts w:ascii="Arial" w:cs="Arial" w:eastAsia="Arial" w:hAnsi="Arial"/>
                  <w:sz w:val="16"/>
                  <w:szCs w:val="16"/>
                  <w:color w:val="404040"/>
                </w:rPr>
                <w:t>Certification of the Chief Executive Officer of Eagle Materials Inc. pursuant to Rules 13a-14 and 15d-14 promulgated under the Securities</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EE"/>
            </w:tcBorders>
            <w:gridSpan w:val="22"/>
          </w:tcPr>
          <w:p>
            <w:pPr>
              <w:spacing w:after="0" w:line="142" w:lineRule="exact"/>
              <w:rPr>
                <w:rFonts w:ascii="Arial" w:cs="Arial" w:eastAsia="Arial" w:hAnsi="Arial"/>
                <w:sz w:val="16"/>
                <w:szCs w:val="16"/>
                <w:color w:val="404040"/>
              </w:rPr>
            </w:pPr>
            <w:hyperlink w:anchor="page137">
              <w:r>
                <w:rPr>
                  <w:rFonts w:ascii="Arial" w:cs="Arial" w:eastAsia="Arial" w:hAnsi="Arial"/>
                  <w:sz w:val="16"/>
                  <w:szCs w:val="16"/>
                  <w:color w:val="404040"/>
                </w:rPr>
                <w:t>Exchange Act of 1934, as amended.</w:t>
              </w:r>
            </w:hyperlink>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540" w:type="dxa"/>
            <w:vAlign w:val="bottom"/>
            <w:gridSpan w:val="10"/>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404040"/>
              </w:rPr>
              <w:t>31.2*</w:t>
            </w:r>
          </w:p>
        </w:tc>
        <w:tc>
          <w:tcPr>
            <w:tcW w:w="10020" w:type="dxa"/>
            <w:vAlign w:val="bottom"/>
            <w:gridSpan w:val="26"/>
          </w:tcPr>
          <w:p>
            <w:pPr>
              <w:spacing w:after="0"/>
              <w:rPr>
                <w:rFonts w:ascii="Arial" w:cs="Arial" w:eastAsia="Arial" w:hAnsi="Arial"/>
                <w:sz w:val="16"/>
                <w:szCs w:val="16"/>
                <w:color w:val="404040"/>
              </w:rPr>
            </w:pPr>
            <w:hyperlink w:anchor="page138">
              <w:r>
                <w:rPr>
                  <w:rFonts w:ascii="Arial" w:cs="Arial" w:eastAsia="Arial" w:hAnsi="Arial"/>
                  <w:sz w:val="16"/>
                  <w:szCs w:val="16"/>
                  <w:color w:val="404040"/>
                </w:rPr>
                <w:t>Certification of the Chief Financial Officer of Eagle Materials Inc. pursuant to Rules 13a-14 and 15d-14 promulgated under the Securities</w:t>
              </w:r>
            </w:hyperlink>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EE"/>
            </w:tcBorders>
            <w:gridSpan w:val="21"/>
          </w:tcPr>
          <w:p>
            <w:pPr>
              <w:spacing w:after="0" w:line="142" w:lineRule="exact"/>
              <w:rPr>
                <w:rFonts w:ascii="Arial" w:cs="Arial" w:eastAsia="Arial" w:hAnsi="Arial"/>
                <w:sz w:val="16"/>
                <w:szCs w:val="16"/>
                <w:color w:val="404040"/>
              </w:rPr>
            </w:pPr>
            <w:hyperlink w:anchor="page138">
              <w:r>
                <w:rPr>
                  <w:rFonts w:ascii="Arial" w:cs="Arial" w:eastAsia="Arial" w:hAnsi="Arial"/>
                  <w:sz w:val="16"/>
                  <w:szCs w:val="16"/>
                  <w:color w:val="404040"/>
                </w:rPr>
                <w:t>Exchange Act of 1934, as amended.</w:t>
              </w:r>
            </w:hyperlink>
          </w:p>
        </w:tc>
        <w:tc>
          <w:tcPr>
            <w:tcW w:w="1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540" w:type="dxa"/>
            <w:vAlign w:val="bottom"/>
            <w:gridSpan w:val="10"/>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vMerge w:val="restart"/>
          </w:tcPr>
          <w:p>
            <w:pPr>
              <w:spacing w:after="0"/>
              <w:rPr>
                <w:sz w:val="20"/>
                <w:szCs w:val="20"/>
                <w:color w:val="auto"/>
              </w:rPr>
            </w:pPr>
            <w:r>
              <w:rPr>
                <w:rFonts w:ascii="Arial" w:cs="Arial" w:eastAsia="Arial" w:hAnsi="Arial"/>
                <w:sz w:val="16"/>
                <w:szCs w:val="16"/>
                <w:color w:val="404040"/>
              </w:rPr>
              <w:t>32.1*</w:t>
            </w:r>
          </w:p>
        </w:tc>
        <w:tc>
          <w:tcPr>
            <w:tcW w:w="10020" w:type="dxa"/>
            <w:vAlign w:val="bottom"/>
            <w:gridSpan w:val="26"/>
          </w:tcPr>
          <w:p>
            <w:pPr>
              <w:spacing w:after="0"/>
              <w:rPr>
                <w:rFonts w:ascii="Arial" w:cs="Arial" w:eastAsia="Arial" w:hAnsi="Arial"/>
                <w:sz w:val="16"/>
                <w:szCs w:val="16"/>
                <w:color w:val="404040"/>
              </w:rPr>
            </w:pPr>
            <w:hyperlink w:anchor="page139">
              <w:r>
                <w:rPr>
                  <w:rFonts w:ascii="Arial" w:cs="Arial" w:eastAsia="Arial" w:hAnsi="Arial"/>
                  <w:sz w:val="16"/>
                  <w:szCs w:val="16"/>
                  <w:color w:val="404040"/>
                </w:rPr>
                <w:t>Certification of the Chief Executive Officer of Eagle Materials Inc. pursuant to 18 U.S.C. Section 1350, as adopted pursuant to Section 906</w:t>
              </w:r>
            </w:hyperlink>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80" w:type="dxa"/>
            <w:vAlign w:val="bottom"/>
            <w:vMerge w:val="continue"/>
          </w:tcPr>
          <w:p>
            <w:pPr>
              <w:spacing w:after="0"/>
              <w:rPr>
                <w:sz w:val="12"/>
                <w:szCs w:val="12"/>
                <w:color w:val="auto"/>
              </w:rPr>
            </w:pPr>
          </w:p>
        </w:tc>
        <w:tc>
          <w:tcPr>
            <w:tcW w:w="2540" w:type="dxa"/>
            <w:vAlign w:val="bottom"/>
            <w:tcBorders>
              <w:bottom w:val="single" w:sz="8" w:color="0000EE"/>
            </w:tcBorders>
            <w:gridSpan w:val="10"/>
          </w:tcPr>
          <w:p>
            <w:pPr>
              <w:spacing w:after="0" w:line="142" w:lineRule="exact"/>
              <w:rPr>
                <w:rFonts w:ascii="Arial" w:cs="Arial" w:eastAsia="Arial" w:hAnsi="Arial"/>
                <w:sz w:val="16"/>
                <w:szCs w:val="16"/>
                <w:color w:val="404040"/>
              </w:rPr>
            </w:pPr>
            <w:hyperlink w:anchor="page139">
              <w:r>
                <w:rPr>
                  <w:rFonts w:ascii="Arial" w:cs="Arial" w:eastAsia="Arial" w:hAnsi="Arial"/>
                  <w:sz w:val="16"/>
                  <w:szCs w:val="16"/>
                  <w:color w:val="404040"/>
                </w:rPr>
                <w:t>of the Sarbanes-Oxley Act of 2002.</w:t>
              </w:r>
            </w:hyperlink>
          </w:p>
        </w:tc>
        <w:tc>
          <w:tcPr>
            <w:tcW w:w="748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-6360160</wp:posOffset>
            </wp:positionV>
            <wp:extent cx="63068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1">
                      <a:extLst>
                        <a:ext uri="{28A0092B-C50C-407E-A947-70E740481C1C}"/>
                      </a:extLst>
                    </a:blip>
                    <a:srcRect/>
                    <a:stretch>
                      <a:fillRect/>
                    </a:stretch>
                  </pic:blipFill>
                  <pic:spPr bwMode="auto">
                    <a:xfrm>
                      <a:off x="0" y="0"/>
                      <a:ext cx="6306820"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-5914390</wp:posOffset>
            </wp:positionV>
            <wp:extent cx="61182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2">
                      <a:extLst>
                        <a:ext uri="{28A0092B-C50C-407E-A947-70E740481C1C}"/>
                      </a:extLst>
                    </a:blip>
                    <a:srcRect/>
                    <a:stretch>
                      <a:fillRect/>
                    </a:stretch>
                  </pic:blipFill>
                  <pic:spPr bwMode="auto">
                    <a:xfrm>
                      <a:off x="0" y="0"/>
                      <a:ext cx="611822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-5468620</wp:posOffset>
            </wp:positionV>
            <wp:extent cx="62896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3">
                      <a:extLst>
                        <a:ext uri="{28A0092B-C50C-407E-A947-70E740481C1C}"/>
                      </a:extLst>
                    </a:blip>
                    <a:srcRect/>
                    <a:stretch>
                      <a:fillRect/>
                    </a:stretch>
                  </pic:blipFill>
                  <pic:spPr bwMode="auto">
                    <a:xfrm>
                      <a:off x="0" y="0"/>
                      <a:ext cx="628967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-5022850</wp:posOffset>
            </wp:positionV>
            <wp:extent cx="61588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4">
                      <a:extLst>
                        <a:ext uri="{28A0092B-C50C-407E-A947-70E740481C1C}"/>
                      </a:extLst>
                    </a:blip>
                    <a:srcRect/>
                    <a:stretch>
                      <a:fillRect/>
                    </a:stretch>
                  </pic:blipFill>
                  <pic:spPr bwMode="auto">
                    <a:xfrm>
                      <a:off x="0" y="0"/>
                      <a:ext cx="6158865"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-3882390</wp:posOffset>
            </wp:positionV>
            <wp:extent cx="62160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5">
                      <a:extLst>
                        <a:ext uri="{28A0092B-C50C-407E-A947-70E740481C1C}"/>
                      </a:extLst>
                    </a:blip>
                    <a:srcRect/>
                    <a:stretch>
                      <a:fillRect/>
                    </a:stretch>
                  </pic:blipFill>
                  <pic:spPr bwMode="auto">
                    <a:xfrm>
                      <a:off x="0" y="0"/>
                      <a:ext cx="6216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124" w:name="page125"/>
    <w:bookmarkEnd w:id="124"/>
    <w:tbl>
      <w:tblPr>
        <w:tblLayout w:type="fixed"/>
        <w:tblInd w:w="2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Arial" w:cs="Arial" w:eastAsia="Arial" w:hAnsi="Arial"/>
                <w:sz w:val="16"/>
                <w:szCs w:val="16"/>
                <w:color w:val="404040"/>
              </w:rPr>
              <w:t>32.2*</w:t>
            </w:r>
          </w:p>
        </w:tc>
        <w:tc>
          <w:tcPr>
            <w:tcW w:w="10020" w:type="dxa"/>
            <w:vAlign w:val="bottom"/>
            <w:gridSpan w:val="4"/>
          </w:tcPr>
          <w:p>
            <w:pPr>
              <w:spacing w:after="0"/>
              <w:rPr>
                <w:rFonts w:ascii="Arial" w:cs="Arial" w:eastAsia="Arial" w:hAnsi="Arial"/>
                <w:sz w:val="16"/>
                <w:szCs w:val="16"/>
                <w:color w:val="404040"/>
              </w:rPr>
            </w:pPr>
            <w:hyperlink w:anchor="page140">
              <w:r>
                <w:rPr>
                  <w:rFonts w:ascii="Arial" w:cs="Arial" w:eastAsia="Arial" w:hAnsi="Arial"/>
                  <w:sz w:val="16"/>
                  <w:szCs w:val="16"/>
                  <w:color w:val="404040"/>
                </w:rPr>
                <w:t>Certification of the Chief Financial Officer of Eagle Materials Inc. pursuant to 18 U.S.C. Section 1350, as adopted pursuant to Section 906 of</w:t>
              </w:r>
            </w:hyperlink>
          </w:p>
        </w:tc>
      </w:tr>
      <w:tr>
        <w:trPr>
          <w:trHeight w:val="142"/>
        </w:trPr>
        <w:tc>
          <w:tcPr>
            <w:tcW w:w="118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340" w:type="dxa"/>
            <w:vAlign w:val="bottom"/>
            <w:tcBorders>
              <w:top w:val="single" w:sz="8" w:color="0000EE"/>
              <w:bottom w:val="single" w:sz="8" w:color="0000EE"/>
            </w:tcBorders>
            <w:gridSpan w:val="2"/>
          </w:tcPr>
          <w:p>
            <w:pPr>
              <w:spacing w:after="0" w:line="142" w:lineRule="exact"/>
              <w:rPr>
                <w:rFonts w:ascii="Arial" w:cs="Arial" w:eastAsia="Arial" w:hAnsi="Arial"/>
                <w:sz w:val="16"/>
                <w:szCs w:val="16"/>
                <w:color w:val="404040"/>
              </w:rPr>
            </w:pPr>
            <w:hyperlink w:anchor="page140">
              <w:r>
                <w:rPr>
                  <w:rFonts w:ascii="Arial" w:cs="Arial" w:eastAsia="Arial" w:hAnsi="Arial"/>
                  <w:sz w:val="16"/>
                  <w:szCs w:val="16"/>
                  <w:color w:val="404040"/>
                </w:rPr>
                <w:t>the Sarbanes-Oxley Act of 2002.</w:t>
              </w:r>
            </w:hyperlink>
          </w:p>
        </w:tc>
        <w:tc>
          <w:tcPr>
            <w:tcW w:w="7660" w:type="dxa"/>
            <w:vAlign w:val="bottom"/>
            <w:tcBorders>
              <w:top w:val="single" w:sz="8" w:color="0000EE"/>
            </w:tcBorders>
          </w:tcPr>
          <w:p>
            <w:pPr>
              <w:spacing w:after="0"/>
              <w:rPr>
                <w:sz w:val="12"/>
                <w:szCs w:val="12"/>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6"/>
                <w:szCs w:val="16"/>
                <w:color w:val="404040"/>
              </w:rPr>
              <w:t>95*</w:t>
            </w:r>
          </w:p>
        </w:tc>
        <w:tc>
          <w:tcPr>
            <w:tcW w:w="1720" w:type="dxa"/>
            <w:vAlign w:val="bottom"/>
            <w:tcBorders>
              <w:bottom w:val="single" w:sz="8" w:color="0000EE"/>
            </w:tcBorders>
            <w:gridSpan w:val="2"/>
          </w:tcPr>
          <w:p>
            <w:pPr>
              <w:spacing w:after="0"/>
              <w:rPr>
                <w:rFonts w:ascii="Arial" w:cs="Arial" w:eastAsia="Arial" w:hAnsi="Arial"/>
                <w:sz w:val="16"/>
                <w:szCs w:val="16"/>
                <w:color w:val="404040"/>
              </w:rPr>
            </w:pPr>
            <w:hyperlink w:anchor="page141">
              <w:r>
                <w:rPr>
                  <w:rFonts w:ascii="Arial" w:cs="Arial" w:eastAsia="Arial" w:hAnsi="Arial"/>
                  <w:sz w:val="16"/>
                  <w:szCs w:val="16"/>
                  <w:color w:val="404040"/>
                </w:rPr>
                <w:t>Mine Safety Disclosure.</w:t>
              </w:r>
            </w:hyperlink>
          </w:p>
        </w:tc>
        <w:tc>
          <w:tcPr>
            <w:tcW w:w="8300" w:type="dxa"/>
            <w:vAlign w:val="bottom"/>
            <w:gridSpan w:val="2"/>
          </w:tcPr>
          <w:p>
            <w:pPr>
              <w:spacing w:after="0"/>
              <w:rPr>
                <w:sz w:val="24"/>
                <w:szCs w:val="24"/>
                <w:color w:val="auto"/>
              </w:rPr>
            </w:pPr>
          </w:p>
        </w:tc>
      </w:tr>
      <w:tr>
        <w:trPr>
          <w:trHeight w:val="360"/>
        </w:trPr>
        <w:tc>
          <w:tcPr>
            <w:tcW w:w="1180" w:type="dxa"/>
            <w:vAlign w:val="bottom"/>
          </w:tcPr>
          <w:p>
            <w:pPr>
              <w:spacing w:after="0"/>
              <w:rPr>
                <w:sz w:val="20"/>
                <w:szCs w:val="20"/>
                <w:color w:val="auto"/>
              </w:rPr>
            </w:pPr>
            <w:r>
              <w:rPr>
                <w:rFonts w:ascii="Arial" w:cs="Arial" w:eastAsia="Arial" w:hAnsi="Arial"/>
                <w:sz w:val="16"/>
                <w:szCs w:val="16"/>
                <w:color w:val="auto"/>
              </w:rPr>
              <w:t>101.INS*</w:t>
            </w:r>
          </w:p>
        </w:tc>
        <w:tc>
          <w:tcPr>
            <w:tcW w:w="10020" w:type="dxa"/>
            <w:vAlign w:val="bottom"/>
            <w:gridSpan w:val="4"/>
          </w:tcPr>
          <w:p>
            <w:pPr>
              <w:spacing w:after="0"/>
              <w:rPr>
                <w:sz w:val="20"/>
                <w:szCs w:val="20"/>
                <w:color w:val="auto"/>
              </w:rPr>
            </w:pPr>
            <w:r>
              <w:rPr>
                <w:rFonts w:ascii="Arial" w:cs="Arial" w:eastAsia="Arial" w:hAnsi="Arial"/>
                <w:sz w:val="16"/>
                <w:szCs w:val="16"/>
                <w:color w:val="auto"/>
              </w:rPr>
              <w:t>Inline XBRL Instance Document – This instance document does not appear in the Interactive Data File because its XBRL tags are</w:t>
            </w:r>
          </w:p>
        </w:tc>
      </w:tr>
      <w:tr>
        <w:trPr>
          <w:trHeight w:val="195"/>
        </w:trPr>
        <w:tc>
          <w:tcPr>
            <w:tcW w:w="1180" w:type="dxa"/>
            <w:vAlign w:val="bottom"/>
          </w:tcPr>
          <w:p>
            <w:pPr>
              <w:spacing w:after="0"/>
              <w:rPr>
                <w:sz w:val="16"/>
                <w:szCs w:val="16"/>
                <w:color w:val="auto"/>
              </w:rPr>
            </w:pPr>
          </w:p>
        </w:tc>
        <w:tc>
          <w:tcPr>
            <w:tcW w:w="10020" w:type="dxa"/>
            <w:vAlign w:val="bottom"/>
            <w:gridSpan w:val="4"/>
          </w:tcPr>
          <w:p>
            <w:pPr>
              <w:spacing w:after="0"/>
              <w:rPr>
                <w:sz w:val="20"/>
                <w:szCs w:val="20"/>
                <w:color w:val="auto"/>
              </w:rPr>
            </w:pPr>
            <w:r>
              <w:rPr>
                <w:rFonts w:ascii="Arial" w:cs="Arial" w:eastAsia="Arial" w:hAnsi="Arial"/>
                <w:sz w:val="16"/>
                <w:szCs w:val="16"/>
                <w:color w:val="auto"/>
              </w:rPr>
              <w:t>embedded within the Inline XBRL document.</w:t>
            </w:r>
          </w:p>
        </w:tc>
      </w:tr>
      <w:tr>
        <w:trPr>
          <w:trHeight w:val="378"/>
        </w:trPr>
        <w:tc>
          <w:tcPr>
            <w:tcW w:w="1180" w:type="dxa"/>
            <w:vAlign w:val="bottom"/>
          </w:tcPr>
          <w:p>
            <w:pPr>
              <w:spacing w:after="0"/>
              <w:rPr>
                <w:sz w:val="20"/>
                <w:szCs w:val="20"/>
                <w:color w:val="auto"/>
              </w:rPr>
            </w:pPr>
            <w:r>
              <w:rPr>
                <w:rFonts w:ascii="Arial" w:cs="Arial" w:eastAsia="Arial" w:hAnsi="Arial"/>
                <w:sz w:val="16"/>
                <w:szCs w:val="16"/>
                <w:color w:val="auto"/>
              </w:rPr>
              <w:t>101.SCH*</w:t>
            </w:r>
          </w:p>
        </w:tc>
        <w:tc>
          <w:tcPr>
            <w:tcW w:w="1002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78"/>
        </w:trPr>
        <w:tc>
          <w:tcPr>
            <w:tcW w:w="1180" w:type="dxa"/>
            <w:vAlign w:val="bottom"/>
          </w:tcPr>
          <w:p>
            <w:pPr>
              <w:spacing w:after="0"/>
              <w:rPr>
                <w:sz w:val="20"/>
                <w:szCs w:val="20"/>
                <w:color w:val="auto"/>
              </w:rPr>
            </w:pPr>
            <w:r>
              <w:rPr>
                <w:rFonts w:ascii="Arial" w:cs="Arial" w:eastAsia="Arial" w:hAnsi="Arial"/>
                <w:sz w:val="16"/>
                <w:szCs w:val="16"/>
                <w:color w:val="auto"/>
              </w:rPr>
              <w:t>101.CAL*</w:t>
            </w:r>
          </w:p>
        </w:tc>
        <w:tc>
          <w:tcPr>
            <w:tcW w:w="1002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78"/>
        </w:trPr>
        <w:tc>
          <w:tcPr>
            <w:tcW w:w="1180" w:type="dxa"/>
            <w:vAlign w:val="bottom"/>
          </w:tcPr>
          <w:p>
            <w:pPr>
              <w:spacing w:after="0"/>
              <w:rPr>
                <w:sz w:val="20"/>
                <w:szCs w:val="20"/>
                <w:color w:val="auto"/>
              </w:rPr>
            </w:pPr>
            <w:r>
              <w:rPr>
                <w:rFonts w:ascii="Arial" w:cs="Arial" w:eastAsia="Arial" w:hAnsi="Arial"/>
                <w:sz w:val="16"/>
                <w:szCs w:val="16"/>
                <w:color w:val="auto"/>
              </w:rPr>
              <w:t>101.DEF*</w:t>
            </w:r>
          </w:p>
        </w:tc>
        <w:tc>
          <w:tcPr>
            <w:tcW w:w="1002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78"/>
        </w:trPr>
        <w:tc>
          <w:tcPr>
            <w:tcW w:w="1180" w:type="dxa"/>
            <w:vAlign w:val="bottom"/>
          </w:tcPr>
          <w:p>
            <w:pPr>
              <w:spacing w:after="0"/>
              <w:rPr>
                <w:sz w:val="20"/>
                <w:szCs w:val="20"/>
                <w:color w:val="auto"/>
              </w:rPr>
            </w:pPr>
            <w:r>
              <w:rPr>
                <w:rFonts w:ascii="Arial" w:cs="Arial" w:eastAsia="Arial" w:hAnsi="Arial"/>
                <w:sz w:val="16"/>
                <w:szCs w:val="16"/>
                <w:color w:val="auto"/>
              </w:rPr>
              <w:t>101.LAB*</w:t>
            </w:r>
          </w:p>
        </w:tc>
        <w:tc>
          <w:tcPr>
            <w:tcW w:w="1002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78"/>
        </w:trPr>
        <w:tc>
          <w:tcPr>
            <w:tcW w:w="1180" w:type="dxa"/>
            <w:vAlign w:val="bottom"/>
          </w:tcPr>
          <w:p>
            <w:pPr>
              <w:spacing w:after="0"/>
              <w:rPr>
                <w:sz w:val="20"/>
                <w:szCs w:val="20"/>
                <w:color w:val="auto"/>
              </w:rPr>
            </w:pPr>
            <w:r>
              <w:rPr>
                <w:rFonts w:ascii="Arial" w:cs="Arial" w:eastAsia="Arial" w:hAnsi="Arial"/>
                <w:sz w:val="16"/>
                <w:szCs w:val="16"/>
                <w:color w:val="auto"/>
              </w:rPr>
              <w:t>101.PRE*</w:t>
            </w:r>
          </w:p>
        </w:tc>
        <w:tc>
          <w:tcPr>
            <w:tcW w:w="1002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83" w:lineRule="exact"/>
        <w:rPr>
          <w:sz w:val="20"/>
          <w:szCs w:val="20"/>
          <w:color w:val="auto"/>
        </w:rPr>
      </w:pPr>
    </w:p>
    <w:p>
      <w:pPr>
        <w:ind w:left="1200" w:hanging="1179"/>
        <w:spacing w:after="0"/>
        <w:tabs>
          <w:tab w:leader="none" w:pos="12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Cover Page Interactive Data File – (formatted as Inline XBRL and Contained in Exhibit 101).</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4230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220" w:hanging="212"/>
        <w:spacing w:after="0" w:line="201" w:lineRule="auto"/>
        <w:tabs>
          <w:tab w:leader="none" w:pos="22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Required to be identified as a management contract or a compensatory plan or arrangement pursuant to Item 15(a) (3) of Form 10-K.</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b w:val="1"/>
          <w:bCs w:val="1"/>
          <w:color w:val="auto"/>
        </w:rPr>
        <w:t>SIGNATURES</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w:t>
      </w:r>
    </w:p>
    <w:p>
      <w:pPr>
        <w:spacing w:after="0" w:line="152"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EAGLE MATERIALS INC.</w:t>
      </w:r>
    </w:p>
    <w:p>
      <w:pPr>
        <w:jc w:val="center"/>
        <w:ind w:left="672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27" w:lineRule="exact"/>
        <w:rPr>
          <w:sz w:val="20"/>
          <w:szCs w:val="20"/>
          <w:color w:val="auto"/>
        </w:rPr>
      </w:pPr>
    </w:p>
    <w:p>
      <w:pPr>
        <w:ind w:left="20"/>
        <w:spacing w:after="0"/>
        <w:tabs>
          <w:tab w:leader="none" w:pos="8160" w:val="left"/>
        </w:tabs>
        <w:rPr>
          <w:sz w:val="20"/>
          <w:szCs w:val="20"/>
          <w:color w:val="auto"/>
        </w:rPr>
      </w:pPr>
      <w:r>
        <w:rPr>
          <w:rFonts w:ascii="Arial" w:cs="Arial" w:eastAsia="Arial" w:hAnsi="Arial"/>
          <w:sz w:val="18"/>
          <w:szCs w:val="18"/>
          <w:color w:val="auto"/>
        </w:rPr>
        <w:t>May 20, 2022</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Michael R. Haack,</w:t>
      </w:r>
    </w:p>
    <w:p>
      <w:pPr>
        <w:spacing w:after="0" w:line="36"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180"/>
          </w:cols>
          <w:pgMar w:left="320" w:top="355" w:right="399" w:bottom="1440" w:gutter="0" w:footer="0" w:header="0"/>
        </w:sect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2022</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Michael R. Haack</w:t>
      </w:r>
    </w:p>
    <w:p>
      <w:pPr>
        <w:ind w:left="1500"/>
        <w:spacing w:after="0" w:line="203" w:lineRule="auto"/>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-109855</wp:posOffset>
            </wp:positionV>
            <wp:extent cx="28460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ind w:right="-19"/>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D. Craig Kesler</w:t>
      </w:r>
    </w:p>
    <w:p>
      <w:pPr>
        <w:jc w:val="center"/>
        <w:ind w:right="-19"/>
        <w:spacing w:after="0" w:line="203" w:lineRule="auto"/>
        <w:rPr>
          <w:sz w:val="20"/>
          <w:szCs w:val="20"/>
          <w:color w:val="auto"/>
        </w:rPr>
      </w:pPr>
      <w:r>
        <w:rPr>
          <w:rFonts w:ascii="Arial" w:cs="Arial" w:eastAsia="Arial" w:hAnsi="Arial"/>
          <w:sz w:val="18"/>
          <w:szCs w:val="18"/>
          <w:color w:val="auto"/>
        </w:rPr>
        <w:t>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-109855</wp:posOffset>
            </wp:positionV>
            <wp:extent cx="28460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right"/>
        <w:ind w:right="20"/>
        <w:spacing w:after="0" w:line="215" w:lineRule="auto"/>
        <w:rPr>
          <w:sz w:val="20"/>
          <w:szCs w:val="20"/>
          <w:color w:val="auto"/>
        </w:rPr>
      </w:pPr>
      <w:r>
        <w:rPr>
          <w:rFonts w:ascii="Arial" w:cs="Arial" w:eastAsia="Arial" w:hAnsi="Arial"/>
          <w:sz w:val="17"/>
          <w:szCs w:val="17"/>
          <w:color w:val="auto"/>
        </w:rPr>
        <w:t>Executive Vice President – Finance and Administration</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and Chief Financial Officer (principal financial officer)</w:t>
      </w:r>
    </w:p>
    <w:p>
      <w:pPr>
        <w:spacing w:after="0" w:line="20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William R. Devlin</w:t>
      </w:r>
    </w:p>
    <w:p>
      <w:pPr>
        <w:ind w:left="1520"/>
        <w:spacing w:after="0" w:line="203" w:lineRule="auto"/>
        <w:rPr>
          <w:sz w:val="20"/>
          <w:szCs w:val="20"/>
          <w:color w:val="auto"/>
        </w:rPr>
      </w:pPr>
      <w:r>
        <w:rPr>
          <w:rFonts w:ascii="Arial" w:cs="Arial" w:eastAsia="Arial" w:hAnsi="Arial"/>
          <w:sz w:val="18"/>
          <w:szCs w:val="18"/>
          <w:color w:val="auto"/>
        </w:rPr>
        <w:t>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-109855</wp:posOffset>
            </wp:positionV>
            <wp:extent cx="28460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jc w:val="center"/>
        <w:ind w:right="-19"/>
        <w:spacing w:after="0" w:line="203" w:lineRule="auto"/>
        <w:rPr>
          <w:sz w:val="20"/>
          <w:szCs w:val="20"/>
          <w:color w:val="auto"/>
        </w:rPr>
      </w:pPr>
      <w:r>
        <w:rPr>
          <w:rFonts w:ascii="Arial" w:cs="Arial" w:eastAsia="Arial" w:hAnsi="Arial"/>
          <w:sz w:val="18"/>
          <w:szCs w:val="18"/>
          <w:color w:val="auto"/>
        </w:rPr>
        <w:t>Senior Vice President – Controller and</w:t>
      </w:r>
    </w:p>
    <w:p>
      <w:pPr>
        <w:jc w:val="center"/>
        <w:ind w:right="-19"/>
        <w:spacing w:after="0" w:line="204" w:lineRule="auto"/>
        <w:rPr>
          <w:sz w:val="20"/>
          <w:szCs w:val="20"/>
          <w:color w:val="auto"/>
        </w:rPr>
      </w:pPr>
      <w:r>
        <w:rPr>
          <w:rFonts w:ascii="Arial" w:cs="Arial" w:eastAsia="Arial" w:hAnsi="Arial"/>
          <w:sz w:val="18"/>
          <w:szCs w:val="18"/>
          <w:color w:val="auto"/>
        </w:rPr>
        <w:t>Chief Accounting Officer</w:t>
      </w:r>
    </w:p>
    <w:p>
      <w:pPr>
        <w:jc w:val="center"/>
        <w:ind w:right="-19"/>
        <w:spacing w:after="0"/>
        <w:rPr>
          <w:sz w:val="20"/>
          <w:szCs w:val="20"/>
          <w:color w:val="auto"/>
        </w:rPr>
      </w:pPr>
      <w:r>
        <w:rPr>
          <w:rFonts w:ascii="Arial" w:cs="Arial" w:eastAsia="Arial" w:hAnsi="Arial"/>
          <w:sz w:val="18"/>
          <w:szCs w:val="18"/>
          <w:color w:val="auto"/>
        </w:rPr>
        <w:t>(principal accounting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F. William Barnett</w:t>
      </w:r>
    </w:p>
    <w:p>
      <w:pPr>
        <w:jc w:val="center"/>
        <w:ind w:right="-19"/>
        <w:spacing w:after="0"/>
        <w:rPr>
          <w:sz w:val="20"/>
          <w:szCs w:val="20"/>
          <w:color w:val="auto"/>
        </w:rPr>
      </w:pPr>
      <w:r>
        <w:rPr>
          <w:rFonts w:ascii="Arial" w:cs="Arial" w:eastAsia="Arial" w:hAnsi="Arial"/>
          <w:sz w:val="18"/>
          <w:szCs w:val="18"/>
          <w:color w:val="auto"/>
        </w:rPr>
        <w:t>F. William Barnett,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-130175</wp:posOffset>
            </wp:positionV>
            <wp:extent cx="28460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Richard Beckwitt</w:t>
      </w:r>
    </w:p>
    <w:p>
      <w:pPr>
        <w:jc w:val="center"/>
        <w:ind w:right="-19"/>
        <w:spacing w:after="0"/>
        <w:rPr>
          <w:sz w:val="20"/>
          <w:szCs w:val="20"/>
          <w:color w:val="auto"/>
        </w:rPr>
      </w:pPr>
      <w:r>
        <w:rPr>
          <w:rFonts w:ascii="Arial" w:cs="Arial" w:eastAsia="Arial" w:hAnsi="Arial"/>
          <w:sz w:val="18"/>
          <w:szCs w:val="18"/>
          <w:color w:val="auto"/>
        </w:rPr>
        <w:t>Richard Beckwitt,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-130175</wp:posOffset>
            </wp:positionV>
            <wp:extent cx="28460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Ed H. Bowman, Jr.</w:t>
      </w:r>
    </w:p>
    <w:p>
      <w:pPr>
        <w:jc w:val="center"/>
        <w:ind w:right="-19"/>
        <w:spacing w:after="0"/>
        <w:rPr>
          <w:sz w:val="20"/>
          <w:szCs w:val="20"/>
          <w:color w:val="auto"/>
        </w:rPr>
      </w:pPr>
      <w:r>
        <w:rPr>
          <w:rFonts w:ascii="Arial" w:cs="Arial" w:eastAsia="Arial" w:hAnsi="Arial"/>
          <w:sz w:val="18"/>
          <w:szCs w:val="18"/>
          <w:color w:val="auto"/>
        </w:rPr>
        <w:t>Ed H. Bowman, Jr.,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-130175</wp:posOffset>
            </wp:positionV>
            <wp:extent cx="28460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380"/>
          </w:cols>
          <w:pgMar w:left="320" w:top="355" w:right="39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type w:val="continuous"/>
        </w:sectPr>
      </w:pPr>
    </w:p>
    <w:bookmarkStart w:id="126" w:name="page127"/>
    <w:bookmarkEnd w:id="126"/>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20" w:lineRule="exact"/>
        <w:rPr>
          <w:sz w:val="20"/>
          <w:szCs w:val="20"/>
          <w:color w:val="auto"/>
        </w:rPr>
      </w:pPr>
      <w:r>
        <w:rPr>
          <w:sz w:val="20"/>
          <w:szCs w:val="20"/>
          <w:color w:val="auto"/>
        </w:rPr>
        <w:br w:type="column"/>
      </w:r>
    </w:p>
    <w:p>
      <w:pPr>
        <w:jc w:val="center"/>
        <w:ind w:left="-939"/>
        <w:spacing w:after="0"/>
        <w:rPr>
          <w:sz w:val="20"/>
          <w:szCs w:val="20"/>
          <w:color w:val="auto"/>
        </w:rPr>
      </w:pPr>
      <w:r>
        <w:rPr>
          <w:rFonts w:ascii="Arial" w:cs="Arial" w:eastAsia="Arial" w:hAnsi="Arial"/>
          <w:sz w:val="18"/>
          <w:szCs w:val="18"/>
          <w:color w:val="auto"/>
        </w:rPr>
        <w:t>/s/ Margot L. Carter</w:t>
      </w:r>
    </w:p>
    <w:p>
      <w:pPr>
        <w:jc w:val="center"/>
        <w:ind w:left="-939"/>
        <w:spacing w:after="0"/>
        <w:rPr>
          <w:sz w:val="20"/>
          <w:szCs w:val="20"/>
          <w:color w:val="auto"/>
        </w:rPr>
      </w:pPr>
      <w:r>
        <w:rPr>
          <w:rFonts w:ascii="Arial" w:cs="Arial" w:eastAsia="Arial" w:hAnsi="Arial"/>
          <w:sz w:val="18"/>
          <w:szCs w:val="18"/>
          <w:color w:val="auto"/>
        </w:rPr>
        <w:t>Margot L. Carter,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-130175</wp:posOffset>
            </wp:positionV>
            <wp:extent cx="28460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0"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George J. Damiris</w:t>
      </w:r>
    </w:p>
    <w:p>
      <w:pPr>
        <w:jc w:val="center"/>
        <w:ind w:left="-939"/>
        <w:spacing w:after="0"/>
        <w:rPr>
          <w:sz w:val="20"/>
          <w:szCs w:val="20"/>
          <w:color w:val="auto"/>
        </w:rPr>
      </w:pPr>
      <w:r>
        <w:rPr>
          <w:rFonts w:ascii="Arial" w:cs="Arial" w:eastAsia="Arial" w:hAnsi="Arial"/>
          <w:sz w:val="18"/>
          <w:szCs w:val="18"/>
          <w:color w:val="auto"/>
        </w:rPr>
        <w:t>George J. Damiris,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-130175</wp:posOffset>
            </wp:positionV>
            <wp:extent cx="28460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90"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Martin M. Ellen</w:t>
      </w:r>
    </w:p>
    <w:p>
      <w:pPr>
        <w:jc w:val="center"/>
        <w:ind w:left="-939"/>
        <w:spacing w:after="0"/>
        <w:rPr>
          <w:sz w:val="20"/>
          <w:szCs w:val="20"/>
          <w:color w:val="auto"/>
        </w:rPr>
      </w:pPr>
      <w:r>
        <w:rPr>
          <w:rFonts w:ascii="Arial" w:cs="Arial" w:eastAsia="Arial" w:hAnsi="Arial"/>
          <w:sz w:val="18"/>
          <w:szCs w:val="18"/>
          <w:color w:val="auto"/>
        </w:rPr>
        <w:t>Martin M. Ellen,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-130175</wp:posOffset>
            </wp:positionV>
            <wp:extent cx="28460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87"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Mauro Gregorio</w:t>
      </w:r>
    </w:p>
    <w:p>
      <w:pPr>
        <w:jc w:val="center"/>
        <w:ind w:left="-939"/>
        <w:spacing w:after="0"/>
        <w:rPr>
          <w:sz w:val="20"/>
          <w:szCs w:val="20"/>
          <w:color w:val="auto"/>
        </w:rPr>
      </w:pPr>
      <w:r>
        <w:rPr>
          <w:rFonts w:ascii="Arial" w:cs="Arial" w:eastAsia="Arial" w:hAnsi="Arial"/>
          <w:sz w:val="18"/>
          <w:szCs w:val="18"/>
          <w:color w:val="auto"/>
        </w:rPr>
        <w:t>Mauro Gregorio,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-130175</wp:posOffset>
            </wp:positionV>
            <wp:extent cx="28460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87"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Michael R. Nicolais</w:t>
      </w:r>
    </w:p>
    <w:p>
      <w:pPr>
        <w:jc w:val="center"/>
        <w:ind w:left="-939"/>
        <w:spacing w:after="0"/>
        <w:rPr>
          <w:sz w:val="20"/>
          <w:szCs w:val="20"/>
          <w:color w:val="auto"/>
        </w:rPr>
      </w:pPr>
      <w:r>
        <w:rPr>
          <w:rFonts w:ascii="Arial" w:cs="Arial" w:eastAsia="Arial" w:hAnsi="Arial"/>
          <w:sz w:val="18"/>
          <w:szCs w:val="18"/>
          <w:color w:val="auto"/>
        </w:rPr>
        <w:t>Michael R. Nicolais,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-130175</wp:posOffset>
            </wp:positionV>
            <wp:extent cx="28460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87"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David B. Powers</w:t>
      </w:r>
    </w:p>
    <w:p>
      <w:pPr>
        <w:jc w:val="center"/>
        <w:ind w:left="-939"/>
        <w:spacing w:after="0"/>
        <w:rPr>
          <w:sz w:val="20"/>
          <w:szCs w:val="20"/>
          <w:color w:val="auto"/>
        </w:rPr>
      </w:pPr>
      <w:r>
        <w:rPr>
          <w:rFonts w:ascii="Arial" w:cs="Arial" w:eastAsia="Arial" w:hAnsi="Arial"/>
          <w:sz w:val="18"/>
          <w:szCs w:val="18"/>
          <w:color w:val="auto"/>
        </w:rPr>
        <w:t>David B. Powers,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-130175</wp:posOffset>
            </wp:positionV>
            <wp:extent cx="28460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87"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Mary P. Ricciardello</w:t>
      </w:r>
    </w:p>
    <w:p>
      <w:pPr>
        <w:jc w:val="center"/>
        <w:ind w:left="-939"/>
        <w:spacing w:after="0"/>
        <w:rPr>
          <w:sz w:val="20"/>
          <w:szCs w:val="20"/>
          <w:color w:val="auto"/>
        </w:rPr>
      </w:pPr>
      <w:r>
        <w:rPr>
          <w:rFonts w:ascii="Arial" w:cs="Arial" w:eastAsia="Arial" w:hAnsi="Arial"/>
          <w:sz w:val="17"/>
          <w:szCs w:val="17"/>
          <w:color w:val="auto"/>
        </w:rPr>
        <w:t>Mary P. Ricciardello,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-123190</wp:posOffset>
            </wp:positionV>
            <wp:extent cx="28460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9" w:lineRule="exact"/>
        <w:rPr>
          <w:sz w:val="20"/>
          <w:szCs w:val="20"/>
          <w:color w:val="auto"/>
        </w:rPr>
      </w:pPr>
    </w:p>
    <w:p>
      <w:pPr>
        <w:jc w:val="center"/>
        <w:ind w:left="-939"/>
        <w:spacing w:after="0"/>
        <w:rPr>
          <w:sz w:val="20"/>
          <w:szCs w:val="20"/>
          <w:color w:val="auto"/>
        </w:rPr>
      </w:pPr>
      <w:r>
        <w:rPr>
          <w:rFonts w:ascii="Arial" w:cs="Arial" w:eastAsia="Arial" w:hAnsi="Arial"/>
          <w:sz w:val="18"/>
          <w:szCs w:val="18"/>
          <w:color w:val="auto"/>
        </w:rPr>
        <w:t>/s/ Richard R. Stewart</w:t>
      </w:r>
    </w:p>
    <w:p>
      <w:pPr>
        <w:jc w:val="center"/>
        <w:ind w:left="-939"/>
        <w:spacing w:after="0"/>
        <w:rPr>
          <w:sz w:val="20"/>
          <w:szCs w:val="20"/>
          <w:color w:val="auto"/>
        </w:rPr>
      </w:pPr>
      <w:r>
        <w:rPr>
          <w:rFonts w:ascii="Arial" w:cs="Arial" w:eastAsia="Arial" w:hAnsi="Arial"/>
          <w:sz w:val="18"/>
          <w:szCs w:val="18"/>
          <w:color w:val="auto"/>
        </w:rPr>
        <w:t>Richard R. Stewart,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-130175</wp:posOffset>
            </wp:positionV>
            <wp:extent cx="28460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38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60960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40" w:space="720"/>
            <w:col w:w="4680"/>
          </w:cols>
          <w:pgMar w:left="340" w:top="566" w:right="141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color w:val="auto"/>
        </w:rPr>
        <w:t>Exhibit 4.1</w:t>
      </w:r>
    </w:p>
    <w:p>
      <w:pPr>
        <w:spacing w:after="0" w:line="17" w:lineRule="exact"/>
        <w:rPr>
          <w:sz w:val="20"/>
          <w:szCs w:val="20"/>
          <w:color w:val="auto"/>
        </w:rPr>
      </w:pPr>
    </w:p>
    <w:p>
      <w:pPr>
        <w:jc w:val="center"/>
        <w:ind w:left="340" w:right="2480"/>
        <w:spacing w:after="0" w:line="233" w:lineRule="auto"/>
        <w:rPr>
          <w:sz w:val="20"/>
          <w:szCs w:val="20"/>
          <w:color w:val="auto"/>
        </w:rPr>
      </w:pPr>
      <w:r>
        <w:rPr>
          <w:rFonts w:ascii="Arial" w:cs="Arial" w:eastAsia="Arial" w:hAnsi="Arial"/>
          <w:sz w:val="21"/>
          <w:szCs w:val="21"/>
          <w:b w:val="1"/>
          <w:bCs w:val="1"/>
          <w:color w:val="auto"/>
        </w:rPr>
        <w:t>DESCRIPTION OF THE REGISTRANT’S SECURITIES REGISTERED PURSUANT TO SECTION 12 OF THE SECURITIES EXCHANGE ACT OF 1934</w:t>
      </w:r>
    </w:p>
    <w:p>
      <w:pPr>
        <w:spacing w:after="0" w:line="183" w:lineRule="exact"/>
        <w:rPr>
          <w:sz w:val="20"/>
          <w:szCs w:val="20"/>
          <w:color w:val="auto"/>
        </w:rPr>
      </w:pPr>
    </w:p>
    <w:p>
      <w:pPr>
        <w:ind w:right="80" w:firstLine="749"/>
        <w:spacing w:after="0" w:line="244" w:lineRule="auto"/>
        <w:rPr>
          <w:sz w:val="20"/>
          <w:szCs w:val="20"/>
          <w:color w:val="auto"/>
        </w:rPr>
      </w:pPr>
      <w:r>
        <w:rPr>
          <w:rFonts w:ascii="Arial" w:cs="Arial" w:eastAsia="Arial" w:hAnsi="Arial"/>
          <w:sz w:val="20"/>
          <w:szCs w:val="20"/>
          <w:color w:val="auto"/>
        </w:rPr>
        <w:t>As of March 31, 2022, Eagle Materials Inc. (the “Company” or “we”) has one class of securities registered under Section 12 of the Securities Exchange Act of 1934, as amended, which consists of its common stock, par value $0.01 per share (the “common stock”). The following contains a description of our common stock, as well as certain related additional information. This description is a summary only and does not purport to be complete and is subject to and qualified by reference to the provisions of applicable law, the Company’s Restated Certificate of Incorporation (the “Certificate of Incorporation”), and the Company’s Amended and Restated Bylaws (the “Bylaws”), each of which is incorporated by reference as an exhibit to the Company’s Annual Report on Form 10-K. For additional information, please read the Company’s Certificate of Incorporation and Bylaws and the applicable provisions of the Delaware General Corporation Law (the “DGCL”).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DESCRIPTION OF CAPITAL STOCK</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10" w:lineRule="exact"/>
        <w:rPr>
          <w:sz w:val="20"/>
          <w:szCs w:val="20"/>
          <w:color w:val="auto"/>
        </w:rPr>
      </w:pPr>
    </w:p>
    <w:p>
      <w:pPr>
        <w:ind w:right="100" w:firstLine="749"/>
        <w:spacing w:after="0" w:line="236" w:lineRule="auto"/>
        <w:rPr>
          <w:sz w:val="20"/>
          <w:szCs w:val="20"/>
          <w:color w:val="auto"/>
        </w:rPr>
      </w:pPr>
      <w:r>
        <w:rPr>
          <w:rFonts w:ascii="Arial" w:cs="Arial" w:eastAsia="Arial" w:hAnsi="Arial"/>
          <w:sz w:val="21"/>
          <w:szCs w:val="21"/>
          <w:color w:val="auto"/>
        </w:rPr>
        <w:t>Pursuant to the Certificate of Incorporation, we are authorized to issue 105,000,000 shares of capital stock, consisting of 100,000,000 shares of common stock and 5,000,000 shares of preferred stock, par value $0.01 per share (the “preferred stock”). As of May 18, 2022, 38,199,438 shares of our common stock were outstanding, and there were no issued and outstanding shares of our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Voting Rights</w:t>
      </w:r>
    </w:p>
    <w:p>
      <w:pPr>
        <w:spacing w:after="0" w:line="204" w:lineRule="exact"/>
        <w:rPr>
          <w:sz w:val="20"/>
          <w:szCs w:val="20"/>
          <w:color w:val="auto"/>
        </w:rPr>
      </w:pPr>
    </w:p>
    <w:p>
      <w:pPr>
        <w:jc w:val="both"/>
        <w:ind w:right="20" w:firstLine="749"/>
        <w:spacing w:after="0" w:line="299" w:lineRule="auto"/>
        <w:rPr>
          <w:sz w:val="20"/>
          <w:szCs w:val="20"/>
          <w:color w:val="auto"/>
        </w:rPr>
      </w:pPr>
      <w:r>
        <w:rPr>
          <w:rFonts w:ascii="Arial" w:cs="Arial" w:eastAsia="Arial" w:hAnsi="Arial"/>
          <w:sz w:val="18"/>
          <w:szCs w:val="18"/>
          <w:color w:val="auto"/>
        </w:rPr>
        <w:t>Holders of our common stock are entitled to one vote per share on all matters submitted to a vote of stockholders. Cumulative voting of shares of common stock is not permitted. Except as otherwise required by law or with respect to any outstanding series of our preferred stock, the holders of our common stock possess all voting power that may be exercised by our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Dividend Rights; Rights Upon Liquidation</w:t>
      </w:r>
    </w:p>
    <w:p>
      <w:pPr>
        <w:spacing w:after="0" w:line="204" w:lineRule="exact"/>
        <w:rPr>
          <w:sz w:val="20"/>
          <w:szCs w:val="20"/>
          <w:color w:val="auto"/>
        </w:rPr>
      </w:pPr>
    </w:p>
    <w:p>
      <w:pPr>
        <w:ind w:right="360" w:firstLine="749"/>
        <w:spacing w:after="0" w:line="235" w:lineRule="auto"/>
        <w:rPr>
          <w:sz w:val="20"/>
          <w:szCs w:val="20"/>
          <w:color w:val="auto"/>
        </w:rPr>
      </w:pPr>
      <w:r>
        <w:rPr>
          <w:rFonts w:ascii="Arial" w:cs="Arial" w:eastAsia="Arial" w:hAnsi="Arial"/>
          <w:sz w:val="21"/>
          <w:szCs w:val="21"/>
          <w:color w:val="auto"/>
        </w:rPr>
        <w:t>Subject to any preferential rights of holders of any of our preferred stock that may be outstanding, holders of shares of our common stock are entitled to share ratably in any dividends on such stock declared by our Board of Directors. In the event of any liquidation or dissolution of the Company, the holders of our common stock are entitled to share ratably in all remaining assets available for distribution to stockholders after payment or provision for our liabilities and the liquidation preference of any of our preferred stock that may be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Other Matters</w:t>
      </w:r>
    </w:p>
    <w:p>
      <w:pPr>
        <w:spacing w:after="0" w:line="204" w:lineRule="exact"/>
        <w:rPr>
          <w:sz w:val="20"/>
          <w:szCs w:val="20"/>
          <w:color w:val="auto"/>
        </w:rPr>
      </w:pPr>
    </w:p>
    <w:p>
      <w:pPr>
        <w:ind w:right="100" w:firstLine="749"/>
        <w:spacing w:after="0" w:line="250" w:lineRule="auto"/>
        <w:rPr>
          <w:sz w:val="20"/>
          <w:szCs w:val="20"/>
          <w:color w:val="auto"/>
        </w:rPr>
      </w:pPr>
      <w:r>
        <w:rPr>
          <w:rFonts w:ascii="Arial" w:cs="Arial" w:eastAsia="Arial" w:hAnsi="Arial"/>
          <w:sz w:val="21"/>
          <w:szCs w:val="21"/>
          <w:color w:val="auto"/>
        </w:rPr>
        <w:t>The shares of common stock have no preemptive or conversion rights and are not subject to further calls or assessment by us. There are no redemption or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provisions applicable to the common stock. All outstanding shares of our common stock are fully paid and non-assessable.</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1"/>
          <w:szCs w:val="21"/>
          <w:color w:val="auto"/>
        </w:rPr>
        <w:t>Computershare Shareowner Services, LLC is the transfer agent and registrar for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Exchange Listing</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1"/>
          <w:szCs w:val="21"/>
          <w:color w:val="auto"/>
        </w:rPr>
        <w:t>Our common stock is traded on the New York Stock Exchange under the ticker symbol “EXP.”</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Provisions of Our Certificate of Incorporation and Bylaws and Delaware Law</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General</w:t>
      </w:r>
    </w:p>
    <w:p>
      <w:pPr>
        <w:spacing w:after="0" w:line="204" w:lineRule="exact"/>
        <w:rPr>
          <w:sz w:val="20"/>
          <w:szCs w:val="20"/>
          <w:color w:val="auto"/>
        </w:rPr>
      </w:pPr>
    </w:p>
    <w:p>
      <w:pPr>
        <w:ind w:right="60" w:firstLine="749"/>
        <w:spacing w:after="0" w:line="251" w:lineRule="auto"/>
        <w:rPr>
          <w:sz w:val="20"/>
          <w:szCs w:val="20"/>
          <w:color w:val="auto"/>
        </w:rPr>
      </w:pPr>
      <w:r>
        <w:rPr>
          <w:rFonts w:ascii="Arial" w:cs="Arial" w:eastAsia="Arial" w:hAnsi="Arial"/>
          <w:sz w:val="20"/>
          <w:szCs w:val="20"/>
          <w:color w:val="auto"/>
        </w:rPr>
        <w:t>Certain provisions of our Certificate of Incorporation, our Bylaws and Section 203 of the DGCL may have the effect of impeding the acquisition of control of the Company by means of a tender offer, a proxy contest, open market purchases or otherwise in a transaction not approved by our Board of Directors. These provisions are designed to reduce the vulnerability of the Company to an unsolicited takeover attempt which is unfair or coercive to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Number of Members of Board of Directors</w:t>
      </w:r>
    </w:p>
    <w:p>
      <w:pPr>
        <w:spacing w:after="0" w:line="204" w:lineRule="exact"/>
        <w:rPr>
          <w:sz w:val="20"/>
          <w:szCs w:val="20"/>
          <w:color w:val="auto"/>
        </w:rPr>
      </w:pPr>
    </w:p>
    <w:p>
      <w:pPr>
        <w:ind w:right="60" w:firstLine="749"/>
        <w:spacing w:after="0" w:line="235" w:lineRule="auto"/>
        <w:rPr>
          <w:sz w:val="20"/>
          <w:szCs w:val="20"/>
          <w:color w:val="auto"/>
        </w:rPr>
      </w:pPr>
      <w:r>
        <w:rPr>
          <w:rFonts w:ascii="Arial" w:cs="Arial" w:eastAsia="Arial" w:hAnsi="Arial"/>
          <w:sz w:val="21"/>
          <w:szCs w:val="21"/>
          <w:color w:val="auto"/>
        </w:rPr>
        <w:t>The number of directors that constitute our entire Board of Directors will be fixed from time to time exclusively by our Board of Directors pursuant to a resolution adopted by a majority of the Board of Directors. The Certificate of Incorporation provides, however, that the Board of Directors shall consist of not less than three nor more than fifteen directors. This provision would permit our Board of Directors, if it so elects, to increase the number of members of the Board of Directors to a number not to exceed fifteen directors and fill the resulting vacancies with its own designees.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Exclusive Forum Clause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w:t>
      </w:r>
    </w:p>
    <w:p>
      <w:pPr>
        <w:spacing w:after="0" w:line="41" w:lineRule="exact"/>
        <w:rPr>
          <w:sz w:val="20"/>
          <w:szCs w:val="20"/>
          <w:color w:val="auto"/>
        </w:rPr>
      </w:pPr>
    </w:p>
    <w:p>
      <w:pPr>
        <w:ind w:right="80" w:firstLine="8"/>
        <w:spacing w:after="0" w:line="242" w:lineRule="auto"/>
        <w:tabs>
          <w:tab w:leader="none" w:pos="247"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internal corporate claims within the meaning of the DGCL, as well as (ii) (A) any derivative action or proceeding brought on our behalf, (B) any action asserting a claim of breach of a fiduciary duty owed by any of our directors, officers or other employees to us or to our stockholders, (C) any action asserting a claim arising pursuant to any provision of the DGCL, or (D) any action asserting a claim governed by the internal affairs doctrine, shall be a state or federal court located within the state of Delaware, in all cases subject to the court’s having personal jurisdiction over the indispensable parties named as defendants. Any person or entity purchasing or otherwise acquiring any interest in shares of our capital stock will be deemed to have notice of and consented to the provisions covering the forum for adjudication of disputes in our Bylaws.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9" w:name="page130"/>
    <w:bookmarkEnd w:id="129"/>
    <w:p>
      <w:pPr>
        <w:spacing w:after="0"/>
        <w:rPr>
          <w:sz w:val="20"/>
          <w:szCs w:val="20"/>
          <w:color w:val="auto"/>
        </w:rPr>
      </w:pPr>
      <w:r>
        <w:rPr>
          <w:rFonts w:ascii="Arial" w:cs="Arial" w:eastAsia="Arial" w:hAnsi="Arial"/>
          <w:sz w:val="21"/>
          <w:szCs w:val="21"/>
          <w:i w:val="1"/>
          <w:iCs w:val="1"/>
          <w:color w:val="auto"/>
        </w:rPr>
        <w:t>Advance Notice of Proposals and Nominations</w:t>
      </w:r>
    </w:p>
    <w:p>
      <w:pPr>
        <w:spacing w:after="0" w:line="204" w:lineRule="exact"/>
        <w:rPr>
          <w:sz w:val="20"/>
          <w:szCs w:val="20"/>
          <w:color w:val="auto"/>
        </w:rPr>
      </w:pPr>
    </w:p>
    <w:p>
      <w:pPr>
        <w:ind w:right="80" w:firstLine="749"/>
        <w:spacing w:after="0" w:line="276" w:lineRule="auto"/>
        <w:rPr>
          <w:sz w:val="20"/>
          <w:szCs w:val="20"/>
          <w:color w:val="auto"/>
        </w:rPr>
      </w:pPr>
      <w:r>
        <w:rPr>
          <w:rFonts w:ascii="Arial" w:cs="Arial" w:eastAsia="Arial" w:hAnsi="Arial"/>
          <w:sz w:val="18"/>
          <w:szCs w:val="18"/>
          <w:color w:val="auto"/>
        </w:rPr>
        <w:t>Our Bylaws provide that at any annual meeting of stockholders, the only nominations of persons for election to our Board of Directors to be considered and the only business to be conducted will be the nominations made or business brought before the meeting</w:t>
      </w:r>
    </w:p>
    <w:p>
      <w:pPr>
        <w:spacing w:after="0" w:line="1" w:lineRule="exact"/>
        <w:rPr>
          <w:sz w:val="20"/>
          <w:szCs w:val="20"/>
          <w:color w:val="auto"/>
        </w:rPr>
      </w:pPr>
    </w:p>
    <w:p>
      <w:pPr>
        <w:ind w:firstLine="8"/>
        <w:spacing w:after="0" w:line="269" w:lineRule="auto"/>
        <w:tabs>
          <w:tab w:leader="none" w:pos="2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our notice of meeting delivered at the direction of our Board of Directors, (ii) by or at the direction of our Board of Directors or (iii) by a stockholder who is a stockholder of record at the time of delivery of the notice provided for in the Bylaws, who is entitled to vote at the meeting and who complies with the advance notice procedures set forth in the Bylaws. For nominations and other business to be properly brought before an annual meeting of stockholders pursuant to clause (iii) above, the stockholder must deliver written notice to our principal office not less than 90 days nor more than 180 days prior to the annual meeting. However, if notice of the meeting is not given, or made by public disclosure, to the stockholders at least 100 days prior to the date of an annual meeting, notice by the stockholder must be received not later than the close of business on the tenth day following the day on which such notice of the date of the meeting was mailed or public disclosure was made. Similar procedures apply to nominations of persons for election to our Board of Directors at any special meeting of the stockholders called for the purposes of electing directors. Except for director nominations, stockholders are not entitled to submit business to be considered or acted upon at any special meeting of the stockholders. Notice by a stockholder to us requesting inclusion of a proposal in our proxy statement pursuant to Rule 14a-8 under the Exchange Act will be considered timely if received by our Secretary prior to the deadline specified in Rule 14a-8. Our Bylaws also specify the form and content of a stockholder’s notice. These provisions may prevent or hinder stockholders from bringing matters before an annual meeting or special meeting of stockholders or from nominating candidates for election as directors at such meetings of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Limits on Special Meetings</w:t>
      </w:r>
    </w:p>
    <w:p>
      <w:pPr>
        <w:spacing w:after="0" w:line="204" w:lineRule="exact"/>
        <w:rPr>
          <w:sz w:val="20"/>
          <w:szCs w:val="20"/>
          <w:color w:val="auto"/>
        </w:rPr>
      </w:pPr>
    </w:p>
    <w:p>
      <w:pPr>
        <w:ind w:right="60" w:firstLine="749"/>
        <w:spacing w:after="0" w:line="257" w:lineRule="auto"/>
        <w:rPr>
          <w:sz w:val="20"/>
          <w:szCs w:val="20"/>
          <w:color w:val="auto"/>
        </w:rPr>
      </w:pPr>
      <w:r>
        <w:rPr>
          <w:rFonts w:ascii="Arial" w:cs="Arial" w:eastAsia="Arial" w:hAnsi="Arial"/>
          <w:sz w:val="20"/>
          <w:szCs w:val="20"/>
          <w:color w:val="auto"/>
        </w:rPr>
        <w:t>Except as otherwise required by law, a special meeting of the stockholders may be called only by the Chairman of the Board or in his absence by the President, by the Board of Directors, or by the Secretary, at the request in writing of a majority of the members of our Board of Directors. A special meeting of the stockholders may not be called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Action by Stockholders</w:t>
      </w:r>
    </w:p>
    <w:p>
      <w:pPr>
        <w:spacing w:after="0" w:line="204" w:lineRule="exact"/>
        <w:rPr>
          <w:sz w:val="20"/>
          <w:szCs w:val="20"/>
          <w:color w:val="auto"/>
        </w:rPr>
      </w:pPr>
    </w:p>
    <w:p>
      <w:pPr>
        <w:ind w:right="20" w:firstLine="749"/>
        <w:spacing w:after="0" w:line="250" w:lineRule="auto"/>
        <w:rPr>
          <w:sz w:val="20"/>
          <w:szCs w:val="20"/>
          <w:color w:val="auto"/>
        </w:rPr>
      </w:pPr>
      <w:r>
        <w:rPr>
          <w:rFonts w:ascii="Arial" w:cs="Arial" w:eastAsia="Arial" w:hAnsi="Arial"/>
          <w:sz w:val="21"/>
          <w:szCs w:val="21"/>
          <w:color w:val="auto"/>
        </w:rPr>
        <w:t>Any action that may be taken by our stockholders must be taken at a duly called annual or special meeting of such holders and not by written consent in lieu of a meeting.</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Classification of Our Board of Directors</w:t>
      </w:r>
    </w:p>
    <w:p>
      <w:pPr>
        <w:spacing w:after="0" w:line="204" w:lineRule="exact"/>
        <w:rPr>
          <w:sz w:val="20"/>
          <w:szCs w:val="20"/>
          <w:color w:val="auto"/>
        </w:rPr>
      </w:pPr>
    </w:p>
    <w:p>
      <w:pPr>
        <w:ind w:firstLine="749"/>
        <w:spacing w:after="0" w:line="264" w:lineRule="auto"/>
        <w:rPr>
          <w:sz w:val="20"/>
          <w:szCs w:val="20"/>
          <w:color w:val="auto"/>
        </w:rPr>
      </w:pPr>
      <w:r>
        <w:rPr>
          <w:rFonts w:ascii="Arial" w:cs="Arial" w:eastAsia="Arial" w:hAnsi="Arial"/>
          <w:sz w:val="19"/>
          <w:szCs w:val="19"/>
          <w:color w:val="auto"/>
        </w:rPr>
        <w:t>Our Board of Directors, which is comprised of eleven directors, is divided into three classes of directors based on their term of office: Class I, Class II and Class III. The directors in each such class hold office for staggered terms of three years each. At present, we have three Class I directors, four Class II directors and five Class III directors. Each director generally serves for a term ending on the third annual meeting of stockholders following the annual meeting of stockholders at which such director was elected until his or her successor has been duly elected and qualified. This classification of our Board of Directors limits the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0" w:name="page131"/>
    <w:bookmarkEnd w:id="130"/>
    <w:p>
      <w:pPr>
        <w:jc w:val="both"/>
        <w:spacing w:after="0" w:line="236" w:lineRule="auto"/>
        <w:rPr>
          <w:sz w:val="20"/>
          <w:szCs w:val="20"/>
          <w:color w:val="auto"/>
        </w:rPr>
      </w:pPr>
      <w:r>
        <w:rPr>
          <w:rFonts w:ascii="Arial" w:cs="Arial" w:eastAsia="Arial" w:hAnsi="Arial"/>
          <w:sz w:val="21"/>
          <w:szCs w:val="21"/>
          <w:color w:val="auto"/>
        </w:rPr>
        <w:t>ability of majority stockholders or persons holding proxies to vote a majority of our shares to change control of our Board of Directors in fewer than two annual stockholder meetings. This limitation could have the effect of discouraging a potential acquiror from making a tender offer or otherwise attempting to obtain control of the Company and could thus increase the likelihood that incumbent directors will retain their positions.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Supermajority Voting</w:t>
      </w:r>
    </w:p>
    <w:p>
      <w:pPr>
        <w:spacing w:after="0" w:line="204" w:lineRule="exact"/>
        <w:rPr>
          <w:sz w:val="20"/>
          <w:szCs w:val="20"/>
          <w:color w:val="auto"/>
        </w:rPr>
      </w:pPr>
    </w:p>
    <w:p>
      <w:pPr>
        <w:ind w:right="40" w:firstLine="749"/>
        <w:spacing w:after="0" w:line="264" w:lineRule="auto"/>
        <w:rPr>
          <w:sz w:val="20"/>
          <w:szCs w:val="20"/>
          <w:color w:val="auto"/>
        </w:rPr>
      </w:pPr>
      <w:r>
        <w:rPr>
          <w:rFonts w:ascii="Arial" w:cs="Arial" w:eastAsia="Arial" w:hAnsi="Arial"/>
          <w:sz w:val="19"/>
          <w:szCs w:val="19"/>
          <w:color w:val="auto"/>
        </w:rPr>
        <w:t>Our Bylaws generally provide that stockholder action is effective upon majority vote, except in the case of contested director elections and circumstances requiring supermajority voting. Contested elections are subject to a plurality voting standard. In addition, the affirmative vote of the holders of record of at least 66 ⅔% of the combined voting power of all of our outstanding stock entitled to vote, voting together as a single class, is required to alter, amend, rescind or repeal any of our Bylaws or to alter, amend, rescind or repeal the following provisions of our Certificate of Incorporation or to adopt any provision inconsistent therewith:</w:t>
      </w:r>
    </w:p>
    <w:p>
      <w:pPr>
        <w:spacing w:after="0" w:line="162" w:lineRule="exact"/>
        <w:rPr>
          <w:sz w:val="20"/>
          <w:szCs w:val="20"/>
          <w:color w:val="auto"/>
        </w:rPr>
      </w:pPr>
    </w:p>
    <w:p>
      <w:pPr>
        <w:ind w:left="1040" w:hanging="452"/>
        <w:spacing w:after="0"/>
        <w:tabs>
          <w:tab w:leader="none" w:pos="10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provisions relating to the Board of Directors, including the division of the Board of Directors into three classes;</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1040" w:right="60" w:hanging="452"/>
        <w:spacing w:after="0" w:line="238" w:lineRule="auto"/>
        <w:tabs>
          <w:tab w:leader="none" w:pos="10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provision that special meetings of the stockholders may only be called by certain officers or by the Board of Directors and may not be called by the stockholders;</w:t>
      </w:r>
    </w:p>
    <w:p>
      <w:pPr>
        <w:spacing w:after="0" w:line="209" w:lineRule="exact"/>
        <w:rPr>
          <w:rFonts w:ascii="Arial" w:cs="Arial" w:eastAsia="Arial" w:hAnsi="Arial"/>
          <w:sz w:val="21"/>
          <w:szCs w:val="21"/>
          <w:color w:val="auto"/>
        </w:rPr>
      </w:pPr>
    </w:p>
    <w:p>
      <w:pPr>
        <w:ind w:left="1040" w:hanging="452"/>
        <w:spacing w:after="0"/>
        <w:tabs>
          <w:tab w:leader="none" w:pos="10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provision that stockholders may not act by written consent;</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ind w:left="1040" w:hanging="452"/>
        <w:spacing w:after="0"/>
        <w:tabs>
          <w:tab w:leader="none" w:pos="10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provision authorizing the Board of Directors to adopt, alter, amend and repeal the Bylaws; and</w:t>
      </w: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left="1040" w:hanging="452"/>
        <w:spacing w:after="0"/>
        <w:tabs>
          <w:tab w:leader="none" w:pos="10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provision requiring a 66 ⅔% vote of stockholders to amend the Bylaws.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Section 203 of the Delaware General Corporation Law</w:t>
      </w:r>
    </w:p>
    <w:p>
      <w:pPr>
        <w:spacing w:after="0" w:line="204" w:lineRule="exact"/>
        <w:rPr>
          <w:sz w:val="20"/>
          <w:szCs w:val="20"/>
          <w:color w:val="auto"/>
        </w:rPr>
      </w:pPr>
    </w:p>
    <w:p>
      <w:pPr>
        <w:ind w:right="180" w:firstLine="749"/>
        <w:spacing w:after="0" w:line="277" w:lineRule="auto"/>
        <w:rPr>
          <w:sz w:val="20"/>
          <w:szCs w:val="20"/>
          <w:color w:val="auto"/>
        </w:rPr>
      </w:pPr>
      <w:r>
        <w:rPr>
          <w:rFonts w:ascii="Arial" w:cs="Arial" w:eastAsia="Arial" w:hAnsi="Arial"/>
          <w:sz w:val="19"/>
          <w:szCs w:val="19"/>
          <w:color w:val="auto"/>
        </w:rPr>
        <w:t>We are subject to Section 203 of the Delaware General Corporation Law. The provisions of Section 203 prohibit a publicly-held Delaware corporation from engaging in certain “business combinations” with an “interested stockholder” for a period of three years after the date that the person became an interested stockholder, unless one of the following conditions is satisfied:</w:t>
      </w:r>
    </w:p>
    <w:p>
      <w:pPr>
        <w:spacing w:after="0" w:line="148" w:lineRule="exact"/>
        <w:rPr>
          <w:sz w:val="20"/>
          <w:szCs w:val="20"/>
          <w:color w:val="auto"/>
        </w:rPr>
      </w:pPr>
    </w:p>
    <w:p>
      <w:pPr>
        <w:ind w:left="1040" w:right="100" w:hanging="452"/>
        <w:spacing w:after="0" w:line="238" w:lineRule="auto"/>
        <w:tabs>
          <w:tab w:leader="none" w:pos="10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prior to the date that the person became an interested stockholder, the transaction or business combination that resulted in the person becoming an interested stockholder is approved by our Board of Directors;</w:t>
      </w:r>
    </w:p>
    <w:p>
      <w:pPr>
        <w:spacing w:after="0" w:line="209" w:lineRule="exact"/>
        <w:rPr>
          <w:rFonts w:ascii="Arial" w:cs="Arial" w:eastAsia="Arial" w:hAnsi="Arial"/>
          <w:sz w:val="21"/>
          <w:szCs w:val="21"/>
          <w:color w:val="auto"/>
        </w:rPr>
      </w:pPr>
    </w:p>
    <w:p>
      <w:pPr>
        <w:ind w:left="1040" w:right="160" w:hanging="452"/>
        <w:spacing w:after="0" w:line="230" w:lineRule="auto"/>
        <w:tabs>
          <w:tab w:leader="none" w:pos="10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upon consummation of the transaction that resulted in the stockholder becoming an interested stockholder, the interested stockholder owned at least 85% of our voting stock outstanding at the time the transaction commenced, other than statutorily excluded shares; or</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sectPr>
      </w:pPr>
    </w:p>
    <w:bookmarkStart w:id="131" w:name="page132"/>
    <w:bookmarkEnd w:id="131"/>
    <w:p>
      <w:pPr>
        <w:ind w:left="1040" w:hanging="452"/>
        <w:spacing w:after="0" w:line="230" w:lineRule="auto"/>
        <w:tabs>
          <w:tab w:leader="none" w:pos="10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on or after the date that the person became an interested stockholder, the business combination is approved by our Board of Directors and by the holders of at least two-thirds of our outstanding voting stock, excluding voting stock owned by the interested stockholder.</w:t>
      </w:r>
    </w:p>
    <w:p>
      <w:pPr>
        <w:spacing w:after="0" w:line="197" w:lineRule="exact"/>
        <w:rPr>
          <w:sz w:val="20"/>
          <w:szCs w:val="20"/>
          <w:color w:val="auto"/>
        </w:rPr>
      </w:pPr>
    </w:p>
    <w:p>
      <w:pPr>
        <w:ind w:right="80" w:firstLine="749"/>
        <w:spacing w:after="0" w:line="277" w:lineRule="auto"/>
        <w:rPr>
          <w:sz w:val="20"/>
          <w:szCs w:val="20"/>
          <w:color w:val="auto"/>
        </w:rPr>
      </w:pPr>
      <w:r>
        <w:rPr>
          <w:rFonts w:ascii="Arial" w:cs="Arial" w:eastAsia="Arial" w:hAnsi="Arial"/>
          <w:sz w:val="19"/>
          <w:szCs w:val="19"/>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48" w:lineRule="exact"/>
        <w:rPr>
          <w:sz w:val="20"/>
          <w:szCs w:val="20"/>
          <w:color w:val="auto"/>
        </w:rPr>
      </w:pPr>
    </w:p>
    <w:p>
      <w:pPr>
        <w:ind w:firstLine="749"/>
        <w:spacing w:after="0" w:line="236" w:lineRule="auto"/>
        <w:rPr>
          <w:sz w:val="20"/>
          <w:szCs w:val="20"/>
          <w:color w:val="auto"/>
        </w:rPr>
      </w:pPr>
      <w:r>
        <w:rPr>
          <w:rFonts w:ascii="Arial" w:cs="Arial" w:eastAsia="Arial" w:hAnsi="Arial"/>
          <w:sz w:val="21"/>
          <w:szCs w:val="21"/>
          <w:color w:val="auto"/>
        </w:rPr>
        <w:t>Under some circumstances, Section 203 makes it more difficult for a person who would be an “interested stockholder” to effect various business combinations with a corporation for a three-year period, although the stockholders may elect to exclude a corporation from the restrictions imposed under Section 203. Our Certificate of Incorporation does not exclude us from the restrictions imposed under Section 203.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132" w:name="page133"/>
    <w:bookmarkEnd w:id="132"/>
    <w:p>
      <w:pPr>
        <w:ind w:left="10480"/>
        <w:spacing w:after="0"/>
        <w:rPr>
          <w:sz w:val="20"/>
          <w:szCs w:val="20"/>
          <w:color w:val="auto"/>
        </w:rPr>
      </w:pPr>
      <w:r>
        <w:rPr>
          <w:rFonts w:ascii="Arial" w:cs="Arial" w:eastAsia="Arial" w:hAnsi="Arial"/>
          <w:sz w:val="17"/>
          <w:szCs w:val="17"/>
          <w:color w:val="auto"/>
        </w:rPr>
        <w:t>Exhibit 21</w:t>
      </w:r>
    </w:p>
    <w:p>
      <w:pPr>
        <w:spacing w:after="0" w:line="169" w:lineRule="exact"/>
        <w:rPr>
          <w:sz w:val="20"/>
          <w:szCs w:val="20"/>
          <w:color w:val="auto"/>
        </w:rPr>
      </w:pPr>
    </w:p>
    <w:p>
      <w:pPr>
        <w:ind w:right="460" w:firstLine="481"/>
        <w:spacing w:after="0" w:line="261" w:lineRule="auto"/>
        <w:rPr>
          <w:sz w:val="20"/>
          <w:szCs w:val="20"/>
          <w:color w:val="auto"/>
        </w:rPr>
      </w:pPr>
      <w:r>
        <w:rPr>
          <w:rFonts w:ascii="Arial" w:cs="Arial" w:eastAsia="Arial" w:hAnsi="Arial"/>
          <w:sz w:val="18"/>
          <w:szCs w:val="18"/>
          <w:color w:val="auto"/>
        </w:rPr>
        <w:t>The following is a list of subsidiaries of Eagle Materials Inc., wholly-owned unless otherwise stated. This list of subsidiaries includes all of the significant subsidiaries of Eagle Materials Inc. as of May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41"/>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 Name</w:t>
            </w:r>
          </w:p>
        </w:tc>
        <w:tc>
          <w:tcPr>
            <w:tcW w:w="22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473"/>
        </w:trPr>
        <w:tc>
          <w:tcPr>
            <w:tcW w:w="5640" w:type="dxa"/>
            <w:vAlign w:val="bottom"/>
          </w:tcPr>
          <w:p>
            <w:pPr>
              <w:ind w:left="20"/>
              <w:spacing w:after="0"/>
              <w:rPr>
                <w:sz w:val="20"/>
                <w:szCs w:val="20"/>
                <w:color w:val="auto"/>
              </w:rPr>
            </w:pPr>
            <w:r>
              <w:rPr>
                <w:rFonts w:ascii="Arial" w:cs="Arial" w:eastAsia="Arial" w:hAnsi="Arial"/>
                <w:sz w:val="18"/>
                <w:szCs w:val="18"/>
                <w:color w:val="auto"/>
              </w:rPr>
              <w:t>AG DALLAS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AG SOUTH CAROLINA LLC</w:t>
            </w:r>
          </w:p>
        </w:tc>
        <w:tc>
          <w:tcPr>
            <w:tcW w:w="22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AMERICAN GYPSUM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AMERICAN GYPSUM MARKETING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72"/>
        </w:trPr>
        <w:tc>
          <w:tcPr>
            <w:tcW w:w="5640" w:type="dxa"/>
            <w:vAlign w:val="bottom"/>
          </w:tcPr>
          <w:p>
            <w:pPr>
              <w:ind w:left="20"/>
              <w:spacing w:after="0"/>
              <w:rPr>
                <w:sz w:val="20"/>
                <w:szCs w:val="20"/>
                <w:color w:val="auto"/>
              </w:rPr>
            </w:pPr>
            <w:r>
              <w:rPr>
                <w:rFonts w:ascii="Arial" w:cs="Arial" w:eastAsia="Arial" w:hAnsi="Arial"/>
                <w:sz w:val="18"/>
                <w:szCs w:val="18"/>
                <w:color w:val="auto"/>
              </w:rPr>
              <w:t>AUDUBON MATERIALS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d/b/a Central Plains Cement Company LLC</w:t>
            </w:r>
          </w:p>
        </w:tc>
        <w:tc>
          <w:tcPr>
            <w:tcW w:w="22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72"/>
        </w:trPr>
        <w:tc>
          <w:tcPr>
            <w:tcW w:w="5640" w:type="dxa"/>
            <w:vAlign w:val="bottom"/>
          </w:tcPr>
          <w:p>
            <w:pPr>
              <w:ind w:left="20"/>
              <w:spacing w:after="0"/>
              <w:rPr>
                <w:sz w:val="20"/>
                <w:szCs w:val="20"/>
                <w:color w:val="auto"/>
              </w:rPr>
            </w:pPr>
            <w:r>
              <w:rPr>
                <w:rFonts w:ascii="Arial" w:cs="Arial" w:eastAsia="Arial" w:hAnsi="Arial"/>
                <w:sz w:val="18"/>
                <w:szCs w:val="18"/>
                <w:color w:val="auto"/>
              </w:rPr>
              <w:t>AUDUBON READYMIX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d/b/a Quicksilver Readymix LLC</w:t>
            </w:r>
          </w:p>
        </w:tc>
        <w:tc>
          <w:tcPr>
            <w:tcW w:w="22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CCP CEMENT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CCP CONCRETE/AGGREGATES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CCP GYPSUM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CENTEX MATERIALS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ILLINOIS CEMENT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FAIRBORN CEMENT COMPANY LLC</w:t>
            </w:r>
          </w:p>
        </w:tc>
        <w:tc>
          <w:tcPr>
            <w:tcW w:w="22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HOLLIS &amp; EASTERN RAILROAD COMPANY LLC</w:t>
            </w:r>
          </w:p>
        </w:tc>
        <w:tc>
          <w:tcPr>
            <w:tcW w:w="22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72"/>
        </w:trPr>
        <w:tc>
          <w:tcPr>
            <w:tcW w:w="5640" w:type="dxa"/>
            <w:vAlign w:val="bottom"/>
          </w:tcPr>
          <w:p>
            <w:pPr>
              <w:ind w:left="20"/>
              <w:spacing w:after="0"/>
              <w:rPr>
                <w:sz w:val="20"/>
                <w:szCs w:val="20"/>
                <w:color w:val="auto"/>
              </w:rPr>
            </w:pPr>
            <w:r>
              <w:rPr>
                <w:rFonts w:ascii="Arial" w:cs="Arial" w:eastAsia="Arial" w:hAnsi="Arial"/>
                <w:sz w:val="18"/>
                <w:szCs w:val="18"/>
                <w:color w:val="auto"/>
              </w:rPr>
              <w:t>KANSAS CITY AGGREGATE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d/b/a Talon Concrete and Aggregates LLC</w:t>
            </w:r>
          </w:p>
        </w:tc>
        <w:tc>
          <w:tcPr>
            <w:tcW w:w="22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KANSAS CITY FLY ASH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72"/>
        </w:trPr>
        <w:tc>
          <w:tcPr>
            <w:tcW w:w="5640" w:type="dxa"/>
            <w:vAlign w:val="bottom"/>
          </w:tcPr>
          <w:p>
            <w:pPr>
              <w:ind w:left="20"/>
              <w:spacing w:after="0"/>
              <w:rPr>
                <w:sz w:val="20"/>
                <w:szCs w:val="20"/>
                <w:color w:val="auto"/>
              </w:rPr>
            </w:pPr>
            <w:r>
              <w:rPr>
                <w:rFonts w:ascii="Arial" w:cs="Arial" w:eastAsia="Arial" w:hAnsi="Arial"/>
                <w:sz w:val="18"/>
                <w:szCs w:val="18"/>
                <w:color w:val="auto"/>
              </w:rPr>
              <w:t>KANSAS CITY READYMIX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d/b/a Talon Concrete and Aggregates LLC</w:t>
            </w:r>
          </w:p>
        </w:tc>
        <w:tc>
          <w:tcPr>
            <w:tcW w:w="22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KOSMOS CEMENT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29"/>
        </w:trPr>
        <w:tc>
          <w:tcPr>
            <w:tcW w:w="5640" w:type="dxa"/>
            <w:vAlign w:val="bottom"/>
          </w:tcPr>
          <w:p>
            <w:pPr>
              <w:ind w:left="20"/>
              <w:spacing w:after="0"/>
              <w:rPr>
                <w:sz w:val="20"/>
                <w:szCs w:val="20"/>
                <w:color w:val="auto"/>
              </w:rPr>
            </w:pPr>
            <w:r>
              <w:rPr>
                <w:rFonts w:ascii="Arial" w:cs="Arial" w:eastAsia="Arial" w:hAnsi="Arial"/>
                <w:sz w:val="18"/>
                <w:szCs w:val="18"/>
                <w:color w:val="auto"/>
              </w:rPr>
              <w:t>MOUNTAIN CEMENT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MOUNTAIN LAND &amp; CATTLE COMPANY LLC</w:t>
            </w:r>
          </w:p>
        </w:tc>
        <w:tc>
          <w:tcPr>
            <w:tcW w:w="22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486"/>
        </w:trPr>
        <w:tc>
          <w:tcPr>
            <w:tcW w:w="5640" w:type="dxa"/>
            <w:vAlign w:val="bottom"/>
          </w:tcPr>
          <w:p>
            <w:pPr>
              <w:ind w:left="20"/>
              <w:spacing w:after="0"/>
              <w:rPr>
                <w:sz w:val="20"/>
                <w:szCs w:val="20"/>
                <w:color w:val="auto"/>
              </w:rPr>
            </w:pPr>
            <w:r>
              <w:rPr>
                <w:rFonts w:ascii="Arial" w:cs="Arial" w:eastAsia="Arial" w:hAnsi="Arial"/>
                <w:sz w:val="18"/>
                <w:szCs w:val="18"/>
                <w:color w:val="auto"/>
              </w:rPr>
              <w:t>NEVADA CEMENT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729"/>
        </w:trPr>
        <w:tc>
          <w:tcPr>
            <w:tcW w:w="5640" w:type="dxa"/>
            <w:vAlign w:val="bottom"/>
          </w:tcPr>
          <w:p>
            <w:pPr>
              <w:ind w:left="20"/>
              <w:spacing w:after="0"/>
              <w:rPr>
                <w:sz w:val="20"/>
                <w:szCs w:val="20"/>
                <w:color w:val="auto"/>
              </w:rPr>
            </w:pPr>
            <w:r>
              <w:rPr>
                <w:rFonts w:ascii="Arial" w:cs="Arial" w:eastAsia="Arial" w:hAnsi="Arial"/>
                <w:sz w:val="18"/>
                <w:szCs w:val="18"/>
                <w:color w:val="auto"/>
              </w:rPr>
              <w:t>REPUBLIC PAPERBOARD COMPANY LLC</w:t>
            </w:r>
          </w:p>
        </w:tc>
        <w:tc>
          <w:tcPr>
            <w:tcW w:w="2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574"/>
        </w:trPr>
        <w:tc>
          <w:tcPr>
            <w:tcW w:w="56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SKYWAY CEMENT COMPANY LLC</w:t>
            </w:r>
          </w:p>
        </w:tc>
        <w:tc>
          <w:tcPr>
            <w:tcW w:w="3140" w:type="dxa"/>
            <w:vAlign w:val="bottom"/>
          </w:tcPr>
          <w:p>
            <w:pPr>
              <w:spacing w:after="0"/>
              <w:rPr>
                <w:sz w:val="20"/>
                <w:szCs w:val="20"/>
                <w:color w:val="auto"/>
              </w:rPr>
            </w:pPr>
          </w:p>
        </w:tc>
        <w:tc>
          <w:tcPr>
            <w:tcW w:w="3160" w:type="dxa"/>
            <w:vAlign w:val="bottom"/>
          </w:tcPr>
          <w:p>
            <w:pPr>
              <w:jc w:val="center"/>
              <w:ind w:right="110"/>
              <w:spacing w:after="0"/>
              <w:rPr>
                <w:sz w:val="20"/>
                <w:szCs w:val="20"/>
                <w:color w:val="auto"/>
              </w:rPr>
            </w:pPr>
            <w:r>
              <w:rPr>
                <w:rFonts w:ascii="Arial" w:cs="Arial" w:eastAsia="Arial" w:hAnsi="Arial"/>
                <w:sz w:val="18"/>
                <w:szCs w:val="18"/>
                <w:color w:val="auto"/>
                <w:w w:val="89"/>
              </w:rPr>
              <w:t>Delaware</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TEXAS CEMENT COMPANY</w:t>
            </w:r>
          </w:p>
        </w:tc>
        <w:tc>
          <w:tcPr>
            <w:tcW w:w="3140" w:type="dxa"/>
            <w:vAlign w:val="bottom"/>
          </w:tcPr>
          <w:p>
            <w:pPr>
              <w:spacing w:after="0"/>
              <w:rPr>
                <w:sz w:val="21"/>
                <w:szCs w:val="21"/>
                <w:color w:val="auto"/>
              </w:rPr>
            </w:pPr>
          </w:p>
        </w:tc>
        <w:tc>
          <w:tcPr>
            <w:tcW w:w="3160" w:type="dxa"/>
            <w:vAlign w:val="bottom"/>
          </w:tcPr>
          <w:p>
            <w:pPr>
              <w:jc w:val="center"/>
              <w:ind w:right="110"/>
              <w:spacing w:after="0"/>
              <w:rPr>
                <w:sz w:val="20"/>
                <w:szCs w:val="20"/>
                <w:color w:val="auto"/>
              </w:rPr>
            </w:pPr>
            <w:r>
              <w:rPr>
                <w:rFonts w:ascii="Arial" w:cs="Arial" w:eastAsia="Arial" w:hAnsi="Arial"/>
                <w:sz w:val="18"/>
                <w:szCs w:val="18"/>
                <w:color w:val="auto"/>
                <w:w w:val="90"/>
              </w:rPr>
              <w:t>Nevada</w:t>
            </w:r>
          </w:p>
        </w:tc>
      </w:tr>
      <w:tr>
        <w:trPr>
          <w:trHeight w:val="472"/>
        </w:trPr>
        <w:tc>
          <w:tcPr>
            <w:tcW w:w="4940" w:type="dxa"/>
            <w:vAlign w:val="bottom"/>
          </w:tcPr>
          <w:p>
            <w:pPr>
              <w:ind w:left="20"/>
              <w:spacing w:after="0"/>
              <w:rPr>
                <w:sz w:val="20"/>
                <w:szCs w:val="20"/>
                <w:color w:val="auto"/>
              </w:rPr>
            </w:pPr>
            <w:r>
              <w:rPr>
                <w:rFonts w:ascii="Arial" w:cs="Arial" w:eastAsia="Arial" w:hAnsi="Arial"/>
                <w:sz w:val="18"/>
                <w:szCs w:val="18"/>
                <w:color w:val="auto"/>
              </w:rPr>
              <w:t>TEXAS LEHIGH CEMENT COMPANY LP</w:t>
            </w:r>
          </w:p>
        </w:tc>
        <w:tc>
          <w:tcPr>
            <w:tcW w:w="3140" w:type="dxa"/>
            <w:vAlign w:val="bottom"/>
          </w:tcPr>
          <w:p>
            <w:pPr>
              <w:jc w:val="right"/>
              <w:ind w:right="1070"/>
              <w:spacing w:after="0"/>
              <w:rPr>
                <w:sz w:val="20"/>
                <w:szCs w:val="20"/>
                <w:color w:val="auto"/>
              </w:rPr>
            </w:pPr>
            <w:r>
              <w:rPr>
                <w:rFonts w:ascii="Arial" w:cs="Arial" w:eastAsia="Arial" w:hAnsi="Arial"/>
                <w:sz w:val="18"/>
                <w:szCs w:val="18"/>
                <w:color w:val="auto"/>
              </w:rPr>
              <w:t>50%</w:t>
            </w:r>
          </w:p>
        </w:tc>
        <w:tc>
          <w:tcPr>
            <w:tcW w:w="3160" w:type="dxa"/>
            <w:vAlign w:val="bottom"/>
          </w:tcPr>
          <w:p>
            <w:pPr>
              <w:jc w:val="center"/>
              <w:ind w:right="110"/>
              <w:spacing w:after="0"/>
              <w:rPr>
                <w:sz w:val="20"/>
                <w:szCs w:val="20"/>
                <w:color w:val="auto"/>
              </w:rPr>
            </w:pPr>
            <w:r>
              <w:rPr>
                <w:rFonts w:ascii="Arial" w:cs="Arial" w:eastAsia="Arial" w:hAnsi="Arial"/>
                <w:sz w:val="18"/>
                <w:szCs w:val="18"/>
                <w:color w:val="auto"/>
                <w:w w:val="81"/>
              </w:rPr>
              <w:t>Texas</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d/b/a Texas Lehigh Cement</w:t>
            </w:r>
          </w:p>
        </w:tc>
        <w:tc>
          <w:tcPr>
            <w:tcW w:w="31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TLCC GP LLC</w:t>
            </w:r>
          </w:p>
        </w:tc>
        <w:tc>
          <w:tcPr>
            <w:tcW w:w="314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Arial" w:cs="Arial" w:eastAsia="Arial" w:hAnsi="Arial"/>
                <w:sz w:val="18"/>
                <w:szCs w:val="18"/>
                <w:color w:val="auto"/>
                <w:w w:val="89"/>
              </w:rPr>
              <w:t>Delaware</w:t>
            </w:r>
          </w:p>
        </w:tc>
      </w:tr>
      <w:tr>
        <w:trPr>
          <w:trHeight w:val="486"/>
        </w:trPr>
        <w:tc>
          <w:tcPr>
            <w:tcW w:w="4940" w:type="dxa"/>
            <w:vAlign w:val="bottom"/>
          </w:tcPr>
          <w:p>
            <w:pPr>
              <w:ind w:left="20"/>
              <w:spacing w:after="0"/>
              <w:rPr>
                <w:sz w:val="20"/>
                <w:szCs w:val="20"/>
                <w:color w:val="auto"/>
              </w:rPr>
            </w:pPr>
            <w:r>
              <w:rPr>
                <w:rFonts w:ascii="Arial" w:cs="Arial" w:eastAsia="Arial" w:hAnsi="Arial"/>
                <w:sz w:val="18"/>
                <w:szCs w:val="18"/>
                <w:color w:val="auto"/>
              </w:rPr>
              <w:t>TLCC LP LLC</w:t>
            </w:r>
          </w:p>
        </w:tc>
        <w:tc>
          <w:tcPr>
            <w:tcW w:w="314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Arial" w:cs="Arial" w:eastAsia="Arial" w:hAnsi="Arial"/>
                <w:sz w:val="18"/>
                <w:szCs w:val="18"/>
                <w:color w:val="auto"/>
                <w:w w:val="89"/>
              </w:rPr>
              <w:t>Delaware</w:t>
            </w:r>
          </w:p>
        </w:tc>
      </w:tr>
      <w:tr>
        <w:trPr>
          <w:trHeight w:val="472"/>
        </w:trPr>
        <w:tc>
          <w:tcPr>
            <w:tcW w:w="4940" w:type="dxa"/>
            <w:vAlign w:val="bottom"/>
          </w:tcPr>
          <w:p>
            <w:pPr>
              <w:ind w:left="20"/>
              <w:spacing w:after="0"/>
              <w:rPr>
                <w:sz w:val="20"/>
                <w:szCs w:val="20"/>
                <w:color w:val="auto"/>
              </w:rPr>
            </w:pPr>
            <w:r>
              <w:rPr>
                <w:rFonts w:ascii="Arial" w:cs="Arial" w:eastAsia="Arial" w:hAnsi="Arial"/>
                <w:sz w:val="18"/>
                <w:szCs w:val="18"/>
                <w:color w:val="auto"/>
              </w:rPr>
              <w:t>TULSA CEMEMT LLC</w:t>
            </w:r>
          </w:p>
        </w:tc>
        <w:tc>
          <w:tcPr>
            <w:tcW w:w="3140" w:type="dxa"/>
            <w:vAlign w:val="bottom"/>
          </w:tcPr>
          <w:p>
            <w:pPr>
              <w:spacing w:after="0"/>
              <w:rPr>
                <w:sz w:val="24"/>
                <w:szCs w:val="24"/>
                <w:color w:val="auto"/>
              </w:rPr>
            </w:pPr>
          </w:p>
        </w:tc>
        <w:tc>
          <w:tcPr>
            <w:tcW w:w="3160" w:type="dxa"/>
            <w:vAlign w:val="bottom"/>
          </w:tcPr>
          <w:p>
            <w:pPr>
              <w:jc w:val="center"/>
              <w:ind w:right="110"/>
              <w:spacing w:after="0"/>
              <w:rPr>
                <w:sz w:val="20"/>
                <w:szCs w:val="20"/>
                <w:color w:val="auto"/>
              </w:rPr>
            </w:pPr>
            <w:r>
              <w:rPr>
                <w:rFonts w:ascii="Arial" w:cs="Arial" w:eastAsia="Arial" w:hAnsi="Arial"/>
                <w:sz w:val="18"/>
                <w:szCs w:val="18"/>
                <w:color w:val="auto"/>
                <w:w w:val="89"/>
              </w:rPr>
              <w:t>Delaware</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d/b/a Central Plains Cement Company LLC</w:t>
            </w:r>
          </w:p>
        </w:tc>
        <w:tc>
          <w:tcPr>
            <w:tcW w:w="31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574"/>
        </w:trPr>
        <w:tc>
          <w:tcPr>
            <w:tcW w:w="49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33-82820) of Eagle Materials Inc.,</w:t>
      </w:r>
    </w:p>
    <w:p>
      <w:pPr>
        <w:spacing w:after="0" w:line="11" w:lineRule="exact"/>
        <w:rPr>
          <w:rFonts w:ascii="Arial" w:cs="Arial" w:eastAsia="Arial" w:hAnsi="Arial"/>
          <w:sz w:val="18"/>
          <w:szCs w:val="18"/>
          <w:color w:val="auto"/>
        </w:rPr>
      </w:pPr>
    </w:p>
    <w:p>
      <w:pPr>
        <w:ind w:left="360" w:hanging="352"/>
        <w:spacing w:after="0" w:line="234"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33-82928) of Eagle Materials Inc.,</w:t>
      </w:r>
    </w:p>
    <w:p>
      <w:pPr>
        <w:ind w:left="360" w:hanging="352"/>
        <w:spacing w:after="0" w:line="234"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33-84394) of Eagle Materials Inc.,</w:t>
      </w:r>
    </w:p>
    <w:p>
      <w:pPr>
        <w:ind w:left="360" w:hanging="352"/>
        <w:spacing w:after="0" w:line="234"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333-54102) of Eagle Materials Inc.,</w:t>
      </w:r>
    </w:p>
    <w:p>
      <w:pPr>
        <w:ind w:left="360" w:hanging="352"/>
        <w:spacing w:after="0" w:line="234"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333-163061) of Eagle Materials Inc.,</w:t>
      </w:r>
    </w:p>
    <w:p>
      <w:pPr>
        <w:ind w:left="360" w:hanging="352"/>
        <w:spacing w:after="0" w:line="234"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333-190487) of Eagle Materials Inc., and</w:t>
      </w: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S-3 No. 333-260836) of Eagle Materials Inc.;</w:t>
      </w:r>
    </w:p>
    <w:p>
      <w:pPr>
        <w:spacing w:after="0" w:line="182" w:lineRule="exact"/>
        <w:rPr>
          <w:sz w:val="20"/>
          <w:szCs w:val="20"/>
          <w:color w:val="auto"/>
        </w:rPr>
      </w:pPr>
    </w:p>
    <w:p>
      <w:pPr>
        <w:jc w:val="both"/>
        <w:ind w:right="280"/>
        <w:spacing w:after="0" w:line="324" w:lineRule="auto"/>
        <w:rPr>
          <w:sz w:val="20"/>
          <w:szCs w:val="20"/>
          <w:color w:val="auto"/>
        </w:rPr>
      </w:pPr>
      <w:r>
        <w:rPr>
          <w:rFonts w:ascii="Arial" w:cs="Arial" w:eastAsia="Arial" w:hAnsi="Arial"/>
          <w:sz w:val="16"/>
          <w:szCs w:val="16"/>
          <w:color w:val="auto"/>
        </w:rPr>
        <w:t>of our reports dated May 20, 2022, with respect to the consolidated financial statements of Eagle Materials Inc., and the effectiveness of internal control over financial reporting of Eagle Materials Inc., included in this Annual Report (Form 10-K) of Eagle Materials Inc. for the year ended March 31,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incorporation by reference in the following Registration Statements:</w:t>
      </w:r>
    </w:p>
    <w:p>
      <w:pPr>
        <w:spacing w:after="0" w:line="198"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33-82820) of Eagle Materials Inc.,</w:t>
      </w:r>
    </w:p>
    <w:p>
      <w:pPr>
        <w:spacing w:after="0" w:line="11" w:lineRule="exact"/>
        <w:rPr>
          <w:rFonts w:ascii="Arial" w:cs="Arial" w:eastAsia="Arial" w:hAnsi="Arial"/>
          <w:sz w:val="18"/>
          <w:szCs w:val="18"/>
          <w:color w:val="auto"/>
        </w:rPr>
      </w:pPr>
    </w:p>
    <w:p>
      <w:pPr>
        <w:ind w:left="360" w:hanging="352"/>
        <w:spacing w:after="0" w:line="234"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33-82928) of Eagle Materials Inc.,</w:t>
      </w:r>
    </w:p>
    <w:p>
      <w:pPr>
        <w:ind w:left="360" w:hanging="352"/>
        <w:spacing w:after="0" w:line="234"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33-84394) of Eagle Materials Inc.,</w:t>
      </w:r>
    </w:p>
    <w:p>
      <w:pPr>
        <w:ind w:left="360" w:hanging="352"/>
        <w:spacing w:after="0" w:line="234"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333-54102) of Eagle Materials Inc.,</w:t>
      </w:r>
    </w:p>
    <w:p>
      <w:pPr>
        <w:ind w:left="360" w:hanging="352"/>
        <w:spacing w:after="0" w:line="234"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333-163061) of Eagle Materials Inc.,</w:t>
      </w:r>
    </w:p>
    <w:p>
      <w:pPr>
        <w:ind w:left="360" w:hanging="352"/>
        <w:spacing w:after="0" w:line="234"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333-190487) of Eagle Materials Inc., and</w:t>
      </w: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S-3 No. 333-260836) of Eagle Materials Inc.;</w:t>
      </w:r>
    </w:p>
    <w:p>
      <w:pPr>
        <w:spacing w:after="0" w:line="182"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of our report dated May 11, 2022, with respect to the financial statements of Texas Lehigh Cement Company LP as of December 31, 2021 and 2020, and the three years ended December 31, 2021, appearing in this Annual Report (Form 10-K) of Eagle Materials Inc. for the year ended March 31, 2022.</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May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207"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Certification of Periodic Report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Michael R. Haack, certify that:</w:t>
      </w:r>
    </w:p>
    <w:p>
      <w:pPr>
        <w:spacing w:after="0" w:line="202"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 have reviewed this report on Form 10-K of Eagle Materials Inc.;</w:t>
      </w:r>
    </w:p>
    <w:p>
      <w:pPr>
        <w:spacing w:after="0" w:line="202" w:lineRule="exact"/>
        <w:rPr>
          <w:rFonts w:ascii="Arial" w:cs="Arial" w:eastAsia="Arial" w:hAnsi="Arial"/>
          <w:sz w:val="20"/>
          <w:szCs w:val="20"/>
          <w:color w:val="auto"/>
        </w:rPr>
      </w:pPr>
    </w:p>
    <w:p>
      <w:pPr>
        <w:jc w:val="both"/>
        <w:ind w:firstLine="8"/>
        <w:spacing w:after="0" w:line="237" w:lineRule="auto"/>
        <w:tabs>
          <w:tab w:leader="none" w:pos="396"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20"/>
          <w:szCs w:val="20"/>
          <w:color w:val="auto"/>
        </w:rPr>
      </w:pPr>
    </w:p>
    <w:p>
      <w:pPr>
        <w:ind w:right="20" w:firstLine="8"/>
        <w:spacing w:after="0" w:line="300" w:lineRule="auto"/>
        <w:tabs>
          <w:tab w:leader="none" w:pos="3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jc w:val="both"/>
        <w:ind w:right="20" w:firstLine="8"/>
        <w:spacing w:after="0" w:line="237" w:lineRule="auto"/>
        <w:tabs>
          <w:tab w:leader="none" w:pos="396"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jc w:val="both"/>
        <w:ind w:firstLine="8"/>
        <w:spacing w:after="0" w:line="237" w:lineRule="auto"/>
        <w:tabs>
          <w:tab w:leader="none" w:pos="396" w:val="left"/>
        </w:tabs>
        <w:numPr>
          <w:ilvl w:val="0"/>
          <w:numId w:val="4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20"/>
          <w:szCs w:val="20"/>
          <w:color w:val="auto"/>
        </w:rPr>
      </w:pPr>
    </w:p>
    <w:p>
      <w:pPr>
        <w:jc w:val="both"/>
        <w:ind w:firstLine="8"/>
        <w:spacing w:after="0" w:line="237" w:lineRule="auto"/>
        <w:tabs>
          <w:tab w:leader="none" w:pos="396" w:val="left"/>
        </w:tabs>
        <w:numPr>
          <w:ilvl w:val="0"/>
          <w:numId w:val="4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20"/>
          <w:szCs w:val="20"/>
          <w:color w:val="auto"/>
        </w:rPr>
      </w:pPr>
    </w:p>
    <w:p>
      <w:pPr>
        <w:ind w:right="20" w:firstLine="8"/>
        <w:spacing w:after="0" w:line="300" w:lineRule="auto"/>
        <w:tabs>
          <w:tab w:leader="none" w:pos="3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8"/>
          <w:szCs w:val="18"/>
          <w:color w:val="auto"/>
        </w:rPr>
      </w:pPr>
    </w:p>
    <w:p>
      <w:pPr>
        <w:jc w:val="both"/>
        <w:ind w:firstLine="8"/>
        <w:spacing w:after="0" w:line="237" w:lineRule="auto"/>
        <w:tabs>
          <w:tab w:leader="none" w:pos="396" w:val="left"/>
        </w:tabs>
        <w:numPr>
          <w:ilvl w:val="0"/>
          <w:numId w:val="4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jc w:val="both"/>
        <w:ind w:right="20" w:firstLine="8"/>
        <w:spacing w:after="0" w:line="237" w:lineRule="auto"/>
        <w:tabs>
          <w:tab w:leader="none" w:pos="396"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3" w:lineRule="exact"/>
        <w:rPr>
          <w:sz w:val="20"/>
          <w:szCs w:val="20"/>
          <w:color w:val="auto"/>
        </w:rPr>
      </w:pPr>
    </w:p>
    <w:p>
      <w:pPr>
        <w:ind w:right="20" w:firstLine="8"/>
        <w:spacing w:after="0" w:line="272" w:lineRule="auto"/>
        <w:tabs>
          <w:tab w:leader="none" w:pos="396" w:val="left"/>
        </w:tabs>
        <w:numPr>
          <w:ilvl w:val="0"/>
          <w:numId w:val="46"/>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9"/>
          <w:szCs w:val="19"/>
          <w:color w:val="auto"/>
        </w:rPr>
      </w:pPr>
    </w:p>
    <w:p>
      <w:pPr>
        <w:ind w:firstLine="8"/>
        <w:spacing w:after="0" w:line="246" w:lineRule="auto"/>
        <w:tabs>
          <w:tab w:leader="none" w:pos="396"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Dated:</w:t>
        <w:tab/>
        <w:t>May 20, 2022</w:t>
      </w:r>
    </w:p>
    <w:p>
      <w:pPr>
        <w:spacing w:after="0" w:line="229"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10160</wp:posOffset>
            </wp:positionV>
            <wp:extent cx="31546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20"/>
          <w:szCs w:val="20"/>
          <w:color w:val="auto"/>
        </w:rPr>
        <w:t>Michael R. Haack</w:t>
      </w:r>
    </w:p>
    <w:p>
      <w:pPr>
        <w:ind w:left="78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207"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Certification of Periodic Report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D. Craig Kesler, certify that:</w:t>
      </w:r>
    </w:p>
    <w:p>
      <w:pPr>
        <w:spacing w:after="0" w:line="202"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 have reviewed this report on Form 10-K of Eagle Materials Inc.;</w:t>
      </w:r>
    </w:p>
    <w:p>
      <w:pPr>
        <w:spacing w:after="0" w:line="202" w:lineRule="exact"/>
        <w:rPr>
          <w:rFonts w:ascii="Arial" w:cs="Arial" w:eastAsia="Arial" w:hAnsi="Arial"/>
          <w:sz w:val="20"/>
          <w:szCs w:val="20"/>
          <w:color w:val="auto"/>
        </w:rPr>
      </w:pPr>
    </w:p>
    <w:p>
      <w:pPr>
        <w:jc w:val="both"/>
        <w:ind w:firstLine="8"/>
        <w:spacing w:after="0" w:line="237" w:lineRule="auto"/>
        <w:tabs>
          <w:tab w:leader="none" w:pos="396"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20"/>
          <w:szCs w:val="20"/>
          <w:color w:val="auto"/>
        </w:rPr>
      </w:pPr>
    </w:p>
    <w:p>
      <w:pPr>
        <w:ind w:right="20" w:firstLine="8"/>
        <w:spacing w:after="0" w:line="300" w:lineRule="auto"/>
        <w:tabs>
          <w:tab w:leader="none" w:pos="3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jc w:val="both"/>
        <w:ind w:right="20" w:firstLine="8"/>
        <w:spacing w:after="0" w:line="237" w:lineRule="auto"/>
        <w:tabs>
          <w:tab w:leader="none" w:pos="396"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jc w:val="both"/>
        <w:ind w:firstLine="8"/>
        <w:spacing w:after="0" w:line="237" w:lineRule="auto"/>
        <w:tabs>
          <w:tab w:leader="none" w:pos="396" w:val="left"/>
        </w:tabs>
        <w:numPr>
          <w:ilvl w:val="0"/>
          <w:numId w:val="4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20"/>
          <w:szCs w:val="20"/>
          <w:color w:val="auto"/>
        </w:rPr>
      </w:pPr>
    </w:p>
    <w:p>
      <w:pPr>
        <w:jc w:val="both"/>
        <w:ind w:firstLine="8"/>
        <w:spacing w:after="0" w:line="237" w:lineRule="auto"/>
        <w:tabs>
          <w:tab w:leader="none" w:pos="396" w:val="left"/>
        </w:tabs>
        <w:numPr>
          <w:ilvl w:val="0"/>
          <w:numId w:val="4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20"/>
          <w:szCs w:val="20"/>
          <w:color w:val="auto"/>
        </w:rPr>
      </w:pPr>
    </w:p>
    <w:p>
      <w:pPr>
        <w:ind w:right="20" w:firstLine="8"/>
        <w:spacing w:after="0" w:line="300" w:lineRule="auto"/>
        <w:tabs>
          <w:tab w:leader="none" w:pos="3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8"/>
          <w:szCs w:val="18"/>
          <w:color w:val="auto"/>
        </w:rPr>
      </w:pPr>
    </w:p>
    <w:p>
      <w:pPr>
        <w:jc w:val="both"/>
        <w:ind w:firstLine="8"/>
        <w:spacing w:after="0" w:line="237" w:lineRule="auto"/>
        <w:tabs>
          <w:tab w:leader="none" w:pos="396" w:val="left"/>
        </w:tabs>
        <w:numPr>
          <w:ilvl w:val="0"/>
          <w:numId w:val="4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jc w:val="both"/>
        <w:ind w:right="20" w:firstLine="8"/>
        <w:spacing w:after="0" w:line="237" w:lineRule="auto"/>
        <w:tabs>
          <w:tab w:leader="none" w:pos="396"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3" w:lineRule="exact"/>
        <w:rPr>
          <w:sz w:val="20"/>
          <w:szCs w:val="20"/>
          <w:color w:val="auto"/>
        </w:rPr>
      </w:pPr>
    </w:p>
    <w:p>
      <w:pPr>
        <w:ind w:right="20" w:firstLine="8"/>
        <w:spacing w:after="0" w:line="272" w:lineRule="auto"/>
        <w:tabs>
          <w:tab w:leader="none" w:pos="39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9"/>
          <w:szCs w:val="19"/>
          <w:color w:val="auto"/>
        </w:rPr>
      </w:pPr>
    </w:p>
    <w:p>
      <w:pPr>
        <w:ind w:firstLine="8"/>
        <w:spacing w:after="0" w:line="246" w:lineRule="auto"/>
        <w:tabs>
          <w:tab w:leader="none" w:pos="396"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Dated:</w:t>
        <w:tab/>
        <w:t>May 20, 2022</w:t>
      </w:r>
    </w:p>
    <w:p>
      <w:pPr>
        <w:spacing w:after="0" w:line="229"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10160</wp:posOffset>
            </wp:positionV>
            <wp:extent cx="31546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20"/>
          <w:szCs w:val="20"/>
          <w:color w:val="auto"/>
        </w:rPr>
        <w:t>D. Craig Kesler</w:t>
      </w:r>
    </w:p>
    <w:p>
      <w:pPr>
        <w:ind w:left="780"/>
        <w:spacing w:after="0" w:line="211" w:lineRule="auto"/>
        <w:rPr>
          <w:sz w:val="20"/>
          <w:szCs w:val="20"/>
          <w:color w:val="auto"/>
        </w:rPr>
      </w:pPr>
      <w:r>
        <w:rPr>
          <w:rFonts w:ascii="Arial" w:cs="Arial" w:eastAsia="Arial" w:hAnsi="Arial"/>
          <w:sz w:val="20"/>
          <w:szCs w:val="20"/>
          <w:color w:val="auto"/>
        </w:rPr>
        <w:t>Chief Financial Officer</w:t>
      </w:r>
    </w:p>
    <w:p>
      <w:pPr>
        <w:ind w:left="78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Periodic Report Pursuant to Section 906 of the Sarbanes-Oxley Act of 2002</w:t>
      </w:r>
    </w:p>
    <w:p>
      <w:pPr>
        <w:spacing w:after="0" w:line="20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In connection with the Annual Report of Eagle Materials Inc. and subsidiaries (the "Company") on Form 10-K for the period ended March 31, 2022 as filed with the Securities and Exchange Commission on the date hereof (the "Report"), I, Michael R. Haack, Chief Executive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1500" w:hanging="743"/>
        <w:spacing w:after="0"/>
        <w:tabs>
          <w:tab w:leader="none" w:pos="1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right="20" w:hanging="743"/>
        <w:spacing w:after="0" w:line="246" w:lineRule="auto"/>
        <w:tabs>
          <w:tab w:leader="none" w:pos="15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May 20, 2022</w:t>
      </w:r>
    </w:p>
    <w:p>
      <w:pPr>
        <w:spacing w:after="0" w:line="229"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10160</wp:posOffset>
            </wp:positionV>
            <wp:extent cx="30346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3">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ind w:left="860"/>
        <w:spacing w:after="0"/>
        <w:rPr>
          <w:sz w:val="20"/>
          <w:szCs w:val="20"/>
          <w:color w:val="auto"/>
        </w:rPr>
      </w:pPr>
      <w:r>
        <w:rPr>
          <w:rFonts w:ascii="Arial" w:cs="Arial" w:eastAsia="Arial" w:hAnsi="Arial"/>
          <w:sz w:val="20"/>
          <w:szCs w:val="20"/>
          <w:color w:val="auto"/>
        </w:rPr>
        <w:t>Michael R. Haack</w:t>
      </w:r>
    </w:p>
    <w:p>
      <w:pPr>
        <w:ind w:left="86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Periodic Report Pursuant to Section 906 of the Sarbanes-Oxley Act of 2002</w:t>
      </w:r>
    </w:p>
    <w:p>
      <w:pPr>
        <w:spacing w:after="0" w:line="20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In connection with the Annual Report of Eagle Materials Inc. and subsidiaries (the "Company") on Form 10-K for the period ended March 31, 2022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1500" w:hanging="743"/>
        <w:spacing w:after="0"/>
        <w:tabs>
          <w:tab w:leader="none" w:pos="1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right="20" w:hanging="743"/>
        <w:spacing w:after="0" w:line="246" w:lineRule="auto"/>
        <w:tabs>
          <w:tab w:leader="none" w:pos="15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May 20, 2022</w:t>
      </w:r>
    </w:p>
    <w:p>
      <w:pPr>
        <w:spacing w:after="0" w:line="229"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10160</wp:posOffset>
            </wp:positionV>
            <wp:extent cx="303466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5">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ind w:left="860"/>
        <w:spacing w:after="0"/>
        <w:rPr>
          <w:sz w:val="20"/>
          <w:szCs w:val="20"/>
          <w:color w:val="auto"/>
        </w:rPr>
      </w:pPr>
      <w:r>
        <w:rPr>
          <w:rFonts w:ascii="Arial" w:cs="Arial" w:eastAsia="Arial" w:hAnsi="Arial"/>
          <w:sz w:val="20"/>
          <w:szCs w:val="20"/>
          <w:color w:val="auto"/>
        </w:rPr>
        <w:t>D. Craig Kesler</w:t>
      </w:r>
    </w:p>
    <w:p>
      <w:pPr>
        <w:ind w:left="860"/>
        <w:spacing w:after="0" w:line="211" w:lineRule="auto"/>
        <w:rPr>
          <w:sz w:val="20"/>
          <w:szCs w:val="20"/>
          <w:color w:val="auto"/>
        </w:rPr>
      </w:pPr>
      <w:r>
        <w:rPr>
          <w:rFonts w:ascii="Arial" w:cs="Arial" w:eastAsia="Arial" w:hAnsi="Arial"/>
          <w:sz w:val="20"/>
          <w:szCs w:val="20"/>
          <w:color w:val="auto"/>
        </w:rPr>
        <w:t>Chief Financial Officer</w:t>
      </w:r>
    </w:p>
    <w:p>
      <w:pPr>
        <w:ind w:left="86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-119380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-102235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-85090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-67945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-50800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-33655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-16510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17145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-121920</wp:posOffset>
            </wp:positionV>
            <wp:extent cx="889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-96520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-79375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-62230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-45085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-27940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-10795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5715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22860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40005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57150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74295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91440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28"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twelve month period ended March 31, 2022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-635635</wp:posOffset>
            </wp:positionV>
            <wp:extent cx="889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-610235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-593090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-575945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-558800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-541655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-524510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-507365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-490220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-473075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-455930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-438785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-421640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-404495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-387350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-370205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-353060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-335915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-318770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-301625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-284480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-267335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-250190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-233045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-215900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-198755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-181610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-164465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-147320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-130175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-113030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-95885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-78740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-61595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-44450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-27305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-10160</wp:posOffset>
            </wp:positionV>
            <wp:extent cx="889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-1270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020"/>
          </w:cols>
          <w:pgMar w:left="440" w:top="148" w:right="439" w:bottom="1440" w:gutter="0" w:footer="0" w:header="0"/>
        </w:sect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Section</w:t>
            </w:r>
          </w:p>
        </w:tc>
        <w:tc>
          <w:tcPr>
            <w:tcW w:w="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Section</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Total Dollar</w:t>
            </w:r>
          </w:p>
        </w:tc>
        <w:tc>
          <w:tcPr>
            <w:tcW w:w="700" w:type="dxa"/>
            <w:vAlign w:val="bottom"/>
          </w:tcPr>
          <w:p>
            <w:pPr>
              <w:jc w:val="center"/>
              <w:ind w:left="8"/>
              <w:spacing w:after="0"/>
              <w:rPr>
                <w:sz w:val="20"/>
                <w:szCs w:val="20"/>
                <w:color w:val="auto"/>
              </w:rPr>
            </w:pPr>
            <w:r>
              <w:rPr>
                <w:rFonts w:ascii="Arial" w:cs="Arial" w:eastAsia="Arial" w:hAnsi="Arial"/>
                <w:sz w:val="14"/>
                <w:szCs w:val="14"/>
                <w:color w:val="auto"/>
                <w:w w:val="96"/>
              </w:rPr>
              <w:t>Total</w:t>
            </w:r>
          </w:p>
        </w:tc>
      </w:tr>
      <w:tr>
        <w:trPr>
          <w:trHeight w:val="148"/>
        </w:trPr>
        <w:tc>
          <w:tcPr>
            <w:tcW w:w="20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4"/>
              </w:rPr>
              <w:t>104</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Value of</w:t>
            </w:r>
          </w:p>
        </w:tc>
        <w:tc>
          <w:tcPr>
            <w:tcW w:w="700" w:type="dxa"/>
            <w:vAlign w:val="bottom"/>
          </w:tcPr>
          <w:p>
            <w:pPr>
              <w:jc w:val="center"/>
              <w:ind w:left="8"/>
              <w:spacing w:after="0" w:line="149" w:lineRule="exact"/>
              <w:rPr>
                <w:sz w:val="20"/>
                <w:szCs w:val="20"/>
                <w:color w:val="auto"/>
              </w:rPr>
            </w:pPr>
            <w:r>
              <w:rPr>
                <w:rFonts w:ascii="Arial" w:cs="Arial" w:eastAsia="Arial" w:hAnsi="Arial"/>
                <w:sz w:val="14"/>
                <w:szCs w:val="14"/>
                <w:color w:val="auto"/>
                <w:w w:val="92"/>
              </w:rPr>
              <w:t>Number</w:t>
            </w:r>
          </w:p>
        </w:tc>
      </w:tr>
      <w:tr>
        <w:trPr>
          <w:trHeight w:val="149"/>
        </w:trPr>
        <w:tc>
          <w:tcPr>
            <w:tcW w:w="20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n</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auto"/>
              </w:rPr>
              <w:t>Citation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76"/>
              </w:rPr>
              <w:t>n</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MSHA</w:t>
            </w:r>
          </w:p>
        </w:tc>
        <w:tc>
          <w:tcPr>
            <w:tcW w:w="700" w:type="dxa"/>
            <w:vAlign w:val="bottom"/>
          </w:tcPr>
          <w:p>
            <w:pPr>
              <w:jc w:val="center"/>
              <w:ind w:left="48"/>
              <w:spacing w:after="0" w:line="149" w:lineRule="exact"/>
              <w:rPr>
                <w:sz w:val="20"/>
                <w:szCs w:val="20"/>
                <w:color w:val="auto"/>
              </w:rPr>
            </w:pPr>
            <w:r>
              <w:rPr>
                <w:rFonts w:ascii="Arial" w:cs="Arial" w:eastAsia="Arial" w:hAnsi="Arial"/>
                <w:sz w:val="14"/>
                <w:szCs w:val="14"/>
                <w:color w:val="auto"/>
              </w:rPr>
              <w:t>of Mining</w:t>
            </w:r>
          </w:p>
        </w:tc>
      </w:tr>
      <w:tr>
        <w:trPr>
          <w:trHeight w:val="148"/>
        </w:trPr>
        <w:tc>
          <w:tcPr>
            <w:tcW w:w="2020" w:type="dxa"/>
            <w:vAlign w:val="bottom"/>
          </w:tcPr>
          <w:p>
            <w:pPr>
              <w:spacing w:after="0" w:line="149" w:lineRule="exact"/>
              <w:rPr>
                <w:sz w:val="20"/>
                <w:szCs w:val="20"/>
                <w:color w:val="auto"/>
              </w:rPr>
            </w:pPr>
            <w:r>
              <w:rPr>
                <w:rFonts w:ascii="Arial" w:cs="Arial" w:eastAsia="Arial" w:hAnsi="Arial"/>
                <w:sz w:val="14"/>
                <w:szCs w:val="14"/>
                <w:color w:val="auto"/>
              </w:rPr>
              <w:t>Mine or Operating Name/MSHA</w:t>
            </w: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auto"/>
              </w:rPr>
              <w:t>Citation</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s and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Violation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Assessment</w:t>
            </w:r>
          </w:p>
        </w:tc>
        <w:tc>
          <w:tcPr>
            <w:tcW w:w="7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1"/>
              </w:rPr>
              <w:t>Related</w:t>
            </w:r>
          </w:p>
        </w:tc>
      </w:tr>
      <w:tr>
        <w:trPr>
          <w:trHeight w:val="182"/>
        </w:trPr>
        <w:tc>
          <w:tcPr>
            <w:tcW w:w="2020" w:type="dxa"/>
            <w:vAlign w:val="bottom"/>
          </w:tcPr>
          <w:p>
            <w:pPr>
              <w:spacing w:after="0"/>
              <w:rPr>
                <w:sz w:val="20"/>
                <w:szCs w:val="20"/>
                <w:color w:val="auto"/>
              </w:rPr>
            </w:pPr>
            <w:r>
              <w:rPr>
                <w:rFonts w:ascii="Arial" w:cs="Arial" w:eastAsia="Arial" w:hAnsi="Arial"/>
                <w:sz w:val="14"/>
                <w:szCs w:val="14"/>
                <w:color w:val="auto"/>
              </w:rPr>
              <w:t>Identification Number</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74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Orders</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s Proposed</w:t>
            </w:r>
          </w:p>
        </w:tc>
        <w:tc>
          <w:tcPr>
            <w:tcW w:w="700" w:type="dxa"/>
            <w:vAlign w:val="bottom"/>
          </w:tcPr>
          <w:p>
            <w:pPr>
              <w:jc w:val="center"/>
              <w:ind w:left="48"/>
              <w:spacing w:after="0"/>
              <w:rPr>
                <w:sz w:val="20"/>
                <w:szCs w:val="20"/>
                <w:color w:val="auto"/>
              </w:rPr>
            </w:pPr>
            <w:r>
              <w:rPr>
                <w:rFonts w:ascii="Arial" w:cs="Arial" w:eastAsia="Arial" w:hAnsi="Arial"/>
                <w:sz w:val="14"/>
                <w:szCs w:val="14"/>
                <w:color w:val="auto"/>
                <w:w w:val="96"/>
              </w:rPr>
              <w:t>Fatalities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-848995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-831850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-814705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-797560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-780415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-763270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-746125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-728980</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-711835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-694690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-677545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-660400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-643255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-626110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-608965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-591820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-574675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-557530</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-540385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-523240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-506095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-488950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-471805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-454660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-437515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-420370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-403225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-386080</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-368935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-351790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-334645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-317500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-300355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-283210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-266065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-248920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-231775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-214630</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-197485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-180340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-163195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-146050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-128905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-111760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-94615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-77470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-60325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-43180</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-26035</wp:posOffset>
            </wp:positionV>
            <wp:extent cx="7132320" cy="274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40" w:type="dxa"/>
            <w:vAlign w:val="bottom"/>
          </w:tcPr>
          <w:p>
            <w:pPr>
              <w:spacing w:after="0"/>
              <w:rPr>
                <w:sz w:val="12"/>
                <w:szCs w:val="12"/>
                <w:color w:val="auto"/>
              </w:rPr>
            </w:pPr>
          </w:p>
        </w:tc>
        <w:tc>
          <w:tcPr>
            <w:tcW w:w="820" w:type="dxa"/>
            <w:vAlign w:val="bottom"/>
          </w:tcPr>
          <w:p>
            <w:pPr>
              <w:jc w:val="center"/>
              <w:spacing w:after="0" w:line="140" w:lineRule="exact"/>
              <w:rPr>
                <w:sz w:val="20"/>
                <w:szCs w:val="20"/>
                <w:color w:val="auto"/>
              </w:rPr>
            </w:pPr>
            <w:r>
              <w:rPr>
                <w:rFonts w:ascii="Arial" w:cs="Arial" w:eastAsia="Arial" w:hAnsi="Arial"/>
                <w:sz w:val="14"/>
                <w:szCs w:val="14"/>
                <w:color w:val="auto"/>
                <w:w w:val="92"/>
              </w:rPr>
              <w:t>Received</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7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Received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8"/>
        </w:trPr>
        <w:tc>
          <w:tcPr>
            <w:tcW w:w="7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7"/>
              </w:rPr>
              <w:t>Notice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Potential</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8"/>
        </w:trPr>
        <w:tc>
          <w:tcPr>
            <w:tcW w:w="7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2"/>
              </w:rPr>
              <w:t>Pattern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to Have</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8"/>
        </w:trPr>
        <w:tc>
          <w:tcPr>
            <w:tcW w:w="74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5"/>
              </w:rPr>
              <w:t>Violations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9"/>
              </w:rPr>
              <w:t>Legal</w:t>
            </w:r>
          </w:p>
        </w:tc>
      </w:tr>
      <w:tr>
        <w:trPr>
          <w:trHeight w:val="148"/>
        </w:trPr>
        <w:tc>
          <w:tcPr>
            <w:tcW w:w="7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Under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80" w:type="dxa"/>
            <w:vAlign w:val="bottom"/>
          </w:tcPr>
          <w:p>
            <w:pPr>
              <w:jc w:val="center"/>
              <w:ind w:left="28"/>
              <w:spacing w:after="0" w:line="149" w:lineRule="exact"/>
              <w:rPr>
                <w:sz w:val="20"/>
                <w:szCs w:val="20"/>
                <w:color w:val="auto"/>
              </w:rPr>
            </w:pPr>
            <w:r>
              <w:rPr>
                <w:rFonts w:ascii="Arial" w:cs="Arial" w:eastAsia="Arial" w:hAnsi="Arial"/>
                <w:sz w:val="14"/>
                <w:szCs w:val="14"/>
                <w:color w:val="auto"/>
              </w:rPr>
              <w:t>Actions</w:t>
            </w:r>
          </w:p>
        </w:tc>
      </w:tr>
      <w:tr>
        <w:trPr>
          <w:trHeight w:val="149"/>
        </w:trPr>
        <w:tc>
          <w:tcPr>
            <w:tcW w:w="7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of Last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68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Resolved</w:t>
            </w:r>
          </w:p>
        </w:tc>
      </w:tr>
      <w:tr>
        <w:trPr>
          <w:trHeight w:val="148"/>
        </w:trPr>
        <w:tc>
          <w:tcPr>
            <w:tcW w:w="740" w:type="dxa"/>
            <w:vAlign w:val="bottom"/>
          </w:tcPr>
          <w:p>
            <w:pPr>
              <w:ind w:left="140"/>
              <w:spacing w:after="0" w:line="149" w:lineRule="exact"/>
              <w:rPr>
                <w:sz w:val="20"/>
                <w:szCs w:val="20"/>
                <w:color w:val="auto"/>
              </w:rPr>
            </w:pPr>
            <w:r>
              <w:rPr>
                <w:rFonts w:ascii="Arial" w:cs="Arial" w:eastAsia="Arial" w:hAnsi="Arial"/>
                <w:sz w:val="14"/>
                <w:szCs w:val="14"/>
                <w:color w:val="auto"/>
              </w:rPr>
              <w:t>104(e)</w:t>
            </w:r>
          </w:p>
        </w:tc>
        <w:tc>
          <w:tcPr>
            <w:tcW w:w="82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104(e)</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Day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680" w:type="dxa"/>
            <w:vAlign w:val="bottom"/>
          </w:tcPr>
          <w:p>
            <w:pPr>
              <w:jc w:val="center"/>
              <w:ind w:left="28"/>
              <w:spacing w:after="0" w:line="149" w:lineRule="exact"/>
              <w:rPr>
                <w:sz w:val="20"/>
                <w:szCs w:val="20"/>
                <w:color w:val="auto"/>
              </w:rPr>
            </w:pPr>
            <w:r>
              <w:rPr>
                <w:rFonts w:ascii="Arial" w:cs="Arial" w:eastAsia="Arial" w:hAnsi="Arial"/>
                <w:sz w:val="14"/>
                <w:szCs w:val="14"/>
                <w:color w:val="auto"/>
              </w:rPr>
              <w:t>During</w:t>
            </w:r>
          </w:p>
        </w:tc>
      </w:tr>
      <w:tr>
        <w:trPr>
          <w:trHeight w:val="182"/>
        </w:trPr>
        <w:tc>
          <w:tcPr>
            <w:tcW w:w="740" w:type="dxa"/>
            <w:vAlign w:val="bottom"/>
          </w:tcPr>
          <w:p>
            <w:pPr>
              <w:jc w:val="center"/>
              <w:ind w:right="68"/>
              <w:spacing w:after="0"/>
              <w:rPr>
                <w:sz w:val="20"/>
                <w:szCs w:val="20"/>
                <w:color w:val="auto"/>
              </w:rPr>
            </w:pPr>
            <w:r>
              <w:rPr>
                <w:rFonts w:ascii="Arial" w:cs="Arial" w:eastAsia="Arial" w:hAnsi="Arial"/>
                <w:sz w:val="14"/>
                <w:szCs w:val="14"/>
                <w:color w:val="auto"/>
                <w:w w:val="94"/>
              </w:rPr>
              <w:t>(yes/no)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0"/>
              </w:rPr>
              <w:t>(yes/no)</w:t>
            </w:r>
          </w:p>
        </w:tc>
        <w:tc>
          <w:tcPr>
            <w:tcW w:w="880" w:type="dxa"/>
            <w:vAlign w:val="bottom"/>
          </w:tcPr>
          <w:p>
            <w:pPr>
              <w:ind w:left="260"/>
              <w:spacing w:after="0"/>
              <w:rPr>
                <w:sz w:val="20"/>
                <w:szCs w:val="20"/>
                <w:color w:val="auto"/>
              </w:rPr>
            </w:pPr>
            <w:r>
              <w:rPr>
                <w:rFonts w:ascii="Arial" w:cs="Arial" w:eastAsia="Arial" w:hAnsi="Arial"/>
                <w:sz w:val="14"/>
                <w:szCs w:val="14"/>
                <w:color w:val="auto"/>
              </w:rPr>
              <w:t>Period</w:t>
            </w:r>
          </w:p>
        </w:tc>
        <w:tc>
          <w:tcPr>
            <w:tcW w:w="700" w:type="dxa"/>
            <w:vAlign w:val="bottom"/>
          </w:tcPr>
          <w:p>
            <w:pPr>
              <w:ind w:left="180"/>
              <w:spacing w:after="0"/>
              <w:rPr>
                <w:sz w:val="20"/>
                <w:szCs w:val="20"/>
                <w:color w:val="auto"/>
              </w:rPr>
            </w:pPr>
            <w:r>
              <w:rPr>
                <w:rFonts w:ascii="Arial" w:cs="Arial" w:eastAsia="Arial" w:hAnsi="Arial"/>
                <w:sz w:val="14"/>
                <w:szCs w:val="14"/>
                <w:color w:val="auto"/>
              </w:rPr>
              <w:t>Period</w:t>
            </w:r>
          </w:p>
        </w:tc>
        <w:tc>
          <w:tcPr>
            <w:tcW w:w="680" w:type="dxa"/>
            <w:vAlign w:val="bottom"/>
          </w:tcPr>
          <w:p>
            <w:pPr>
              <w:ind w:left="220"/>
              <w:spacing w:after="0"/>
              <w:rPr>
                <w:sz w:val="20"/>
                <w:szCs w:val="20"/>
                <w:color w:val="auto"/>
              </w:rPr>
            </w:pPr>
            <w:r>
              <w:rPr>
                <w:rFonts w:ascii="Arial" w:cs="Arial" w:eastAsia="Arial" w:hAnsi="Arial"/>
                <w:sz w:val="14"/>
                <w:szCs w:val="14"/>
                <w:color w:val="auto"/>
              </w:rPr>
              <w:t>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-848995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-831850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-814705</wp:posOffset>
            </wp:positionV>
            <wp:extent cx="82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-797560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-780415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-763270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-746125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-728980</wp:posOffset>
            </wp:positionV>
            <wp:extent cx="82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-711835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-694690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-677545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-660400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-643255</wp:posOffset>
            </wp:positionV>
            <wp:extent cx="82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-626110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-608965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-591820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-574675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-557530</wp:posOffset>
            </wp:positionV>
            <wp:extent cx="82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-540385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-523240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-506095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-488950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-471805</wp:posOffset>
            </wp:positionV>
            <wp:extent cx="82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-454660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-437515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-420370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-403225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-386080</wp:posOffset>
            </wp:positionV>
            <wp:extent cx="825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-368935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-351790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-334645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-317500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-300355</wp:posOffset>
            </wp:positionV>
            <wp:extent cx="825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-283210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-266065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-248920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-231775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-214630</wp:posOffset>
            </wp:positionV>
            <wp:extent cx="825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-197485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-180340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-163195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-146050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-128905</wp:posOffset>
            </wp:positionV>
            <wp:extent cx="825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-111760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-94615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-77470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-60325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-43180</wp:posOffset>
            </wp:positionV>
            <wp:extent cx="825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-26035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-8890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960" w:space="240"/>
            <w:col w:w="3820"/>
          </w:cols>
          <w:pgMar w:left="440" w:top="148" w:right="439" w:bottom="1440" w:gutter="0" w:footer="0" w:header="0"/>
          <w:type w:val="continuous"/>
        </w:sectPr>
      </w:pPr>
    </w:p>
    <w:p>
      <w:pPr>
        <w:ind w:right="620"/>
        <w:spacing w:after="0" w:line="290" w:lineRule="auto"/>
        <w:rPr>
          <w:sz w:val="20"/>
          <w:szCs w:val="20"/>
          <w:color w:val="auto"/>
        </w:rPr>
      </w:pPr>
      <w:r>
        <w:rPr>
          <w:rFonts w:ascii="Arial" w:cs="Arial" w:eastAsia="Arial" w:hAnsi="Arial"/>
          <w:sz w:val="13"/>
          <w:szCs w:val="13"/>
          <w:color w:val="auto"/>
        </w:rPr>
        <w:t>3D Concrete LLC Lander, NV (2602434)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 w:lineRule="exact"/>
        <w:rPr>
          <w:sz w:val="20"/>
          <w:szCs w:val="20"/>
          <w:color w:val="auto"/>
        </w:rPr>
      </w:pPr>
    </w:p>
    <w:p>
      <w:pPr>
        <w:ind w:right="500"/>
        <w:spacing w:after="0" w:line="290" w:lineRule="auto"/>
        <w:rPr>
          <w:sz w:val="20"/>
          <w:szCs w:val="20"/>
          <w:color w:val="auto"/>
        </w:rPr>
      </w:pPr>
      <w:r>
        <w:rPr>
          <w:rFonts w:ascii="Arial" w:cs="Arial" w:eastAsia="Arial" w:hAnsi="Arial"/>
          <w:sz w:val="13"/>
          <w:szCs w:val="13"/>
          <w:color w:val="auto"/>
        </w:rPr>
        <w:t>3D Concrete LLC Lyon, Nevada (2602412)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-225425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-208280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-191135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-173990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-156845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-139700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-122555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-105410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-88265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-71120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-53975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-36830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-19685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-2540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American Gypsum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-97790</wp:posOffset>
            </wp:positionV>
            <wp:extent cx="1371600" cy="3003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2">
                      <a:extLst>
                        <a:ext uri="{28A0092B-C50C-407E-A947-70E740481C1C}"/>
                      </a:extLst>
                    </a:blip>
                    <a:srcRect/>
                    <a:stretch>
                      <a:fillRect/>
                    </a:stretch>
                  </pic:blipFill>
                  <pic:spPr bwMode="auto">
                    <a:xfrm>
                      <a:off x="0" y="0"/>
                      <a:ext cx="1371600" cy="30035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LLC</w:t>
      </w:r>
    </w:p>
    <w:p>
      <w:pPr>
        <w:spacing w:after="0"/>
        <w:rPr>
          <w:sz w:val="20"/>
          <w:szCs w:val="20"/>
          <w:color w:val="auto"/>
        </w:rPr>
      </w:pPr>
      <w:r>
        <w:rPr>
          <w:rFonts w:ascii="Arial" w:cs="Arial" w:eastAsia="Arial" w:hAnsi="Arial"/>
          <w:sz w:val="14"/>
          <w:szCs w:val="14"/>
          <w:color w:val="auto"/>
        </w:rPr>
        <w:t>Albuquerque, NM (2900181)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American Gypsum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-80645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-63500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-46355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-29210</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-12065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-89535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-72390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-55245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-38100</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-20955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-3810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Duke, OK (3400256)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-88900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-71755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-54610</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-37465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-20320</wp:posOffset>
            </wp:positionV>
            <wp:extent cx="1371600" cy="3257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9">
                      <a:extLst>
                        <a:ext uri="{28A0092B-C50C-407E-A947-70E740481C1C}"/>
                      </a:extLst>
                    </a:blip>
                    <a:srcRect/>
                    <a:stretch>
                      <a:fillRect/>
                    </a:stretch>
                  </pic:blipFill>
                  <pic:spPr bwMode="auto">
                    <a:xfrm>
                      <a:off x="0" y="0"/>
                      <a:ext cx="1371600" cy="3257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American Gypsum Company</w:t>
      </w:r>
    </w:p>
    <w:p>
      <w:pPr>
        <w:spacing w:after="0" w:line="221" w:lineRule="auto"/>
        <w:rPr>
          <w:sz w:val="20"/>
          <w:szCs w:val="20"/>
          <w:color w:val="auto"/>
        </w:rPr>
      </w:pPr>
      <w:r>
        <w:rPr>
          <w:rFonts w:ascii="Arial" w:cs="Arial" w:eastAsia="Arial" w:hAnsi="Arial"/>
          <w:sz w:val="14"/>
          <w:szCs w:val="14"/>
          <w:color w:val="auto"/>
        </w:rPr>
        <w:t>LLC</w:t>
      </w:r>
    </w:p>
    <w:p>
      <w:pPr>
        <w:spacing w:after="0"/>
        <w:rPr>
          <w:sz w:val="20"/>
          <w:szCs w:val="20"/>
          <w:color w:val="auto"/>
        </w:rPr>
      </w:pPr>
      <w:r>
        <w:rPr>
          <w:rFonts w:ascii="Arial" w:cs="Arial" w:eastAsia="Arial" w:hAnsi="Arial"/>
          <w:sz w:val="14"/>
          <w:szCs w:val="14"/>
          <w:color w:val="auto"/>
        </w:rPr>
        <w:t>Eagle, CO (0503997)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 w:lineRule="exact"/>
        <w:rPr>
          <w:sz w:val="20"/>
          <w:szCs w:val="20"/>
          <w:color w:val="auto"/>
        </w:rPr>
      </w:pPr>
    </w:p>
    <w:p>
      <w:pPr>
        <w:ind w:right="660"/>
        <w:spacing w:after="0" w:line="290" w:lineRule="auto"/>
        <w:rPr>
          <w:sz w:val="20"/>
          <w:szCs w:val="20"/>
          <w:color w:val="auto"/>
        </w:rPr>
      </w:pPr>
      <w:r>
        <w:rPr>
          <w:rFonts w:ascii="Arial" w:cs="Arial" w:eastAsia="Arial" w:hAnsi="Arial"/>
          <w:sz w:val="13"/>
          <w:szCs w:val="13"/>
          <w:color w:val="auto"/>
        </w:rPr>
        <w:t>Centex Materials LLC Buda, TX (4102241)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-225425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-208280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-191135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-173990</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-156845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-139700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-122555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-105410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-88265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-71120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-53975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-36830</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-19685</wp:posOffset>
            </wp:positionV>
            <wp:extent cx="1371600" cy="2743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3">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10" w:lineRule="exact"/>
        <w:rPr>
          <w:sz w:val="20"/>
          <w:szCs w:val="20"/>
          <w:color w:val="auto"/>
        </w:rPr>
      </w:pPr>
    </w:p>
    <w:p>
      <w:pPr>
        <w:ind w:right="60"/>
        <w:spacing w:after="0" w:line="335" w:lineRule="auto"/>
        <w:rPr>
          <w:sz w:val="20"/>
          <w:szCs w:val="20"/>
          <w:color w:val="auto"/>
        </w:rPr>
      </w:pPr>
      <w:r>
        <w:rPr>
          <w:rFonts w:ascii="Arial" w:cs="Arial" w:eastAsia="Arial" w:hAnsi="Arial"/>
          <w:sz w:val="12"/>
          <w:szCs w:val="12"/>
          <w:color w:val="auto"/>
        </w:rPr>
        <w:t>Central Plains Cement Company Sugar Creek, MO (2302171)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-8890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right="60"/>
        <w:spacing w:after="0" w:line="290" w:lineRule="auto"/>
        <w:rPr>
          <w:sz w:val="20"/>
          <w:szCs w:val="20"/>
          <w:color w:val="auto"/>
        </w:rPr>
      </w:pPr>
      <w:r>
        <w:rPr>
          <w:rFonts w:ascii="Arial" w:cs="Arial" w:eastAsia="Arial" w:hAnsi="Arial"/>
          <w:sz w:val="13"/>
          <w:szCs w:val="13"/>
          <w:color w:val="auto"/>
        </w:rPr>
        <w:t>Central Plains Cement Company Tulsa, OK (3400026)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-225425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-208280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-191135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-173990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-156845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-139700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-122555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-105410</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-88265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-71120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-53975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-36830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-19685</wp:posOffset>
            </wp:positionV>
            <wp:extent cx="1371600" cy="274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7">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10"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Fairborn Cement Company LLC Greene County, OH (3300161)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 w:lineRule="exact"/>
        <w:rPr>
          <w:sz w:val="20"/>
          <w:szCs w:val="20"/>
          <w:color w:val="auto"/>
        </w:rPr>
      </w:pPr>
    </w:p>
    <w:p>
      <w:pPr>
        <w:ind w:right="460"/>
        <w:spacing w:after="0" w:line="290" w:lineRule="auto"/>
        <w:rPr>
          <w:sz w:val="20"/>
          <w:szCs w:val="20"/>
          <w:color w:val="auto"/>
        </w:rPr>
      </w:pPr>
      <w:r>
        <w:rPr>
          <w:rFonts w:ascii="Arial" w:cs="Arial" w:eastAsia="Arial" w:hAnsi="Arial"/>
          <w:sz w:val="13"/>
          <w:szCs w:val="13"/>
          <w:color w:val="auto"/>
        </w:rPr>
        <w:t>Illinois Cement Company LaSalle, IL (1100003)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-225425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-208280</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-191135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-173990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-156845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-139700</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-122555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-105410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-88265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-71120</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-53975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-36830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-19685</wp:posOffset>
            </wp:positionV>
            <wp:extent cx="1371600" cy="2743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1">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10"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Kosmos Cement Company LLC Jefferson, KY (1504469)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19050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Mountain Cement Company LLC Laramie, WY (4800007)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-211455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-194310</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-177165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-160020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-142875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-125730</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-108585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-91440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-74295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-57150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-40005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-22860</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-5715</wp:posOffset>
            </wp:positionV>
            <wp:extent cx="1371600" cy="2743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15">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spacing w:after="0" w:line="32"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Nevada Cement Company LLC Fernley, NV (2600015)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jc w:val="center"/>
              <w:ind w:right="20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ind w:left="160"/>
              <w:spacing w:after="0"/>
              <w:rPr>
                <w:sz w:val="20"/>
                <w:szCs w:val="20"/>
                <w:color w:val="auto"/>
              </w:rPr>
            </w:pPr>
            <w:r>
              <w:rPr>
                <w:rFonts w:ascii="Arial" w:cs="Arial" w:eastAsia="Arial" w:hAnsi="Arial"/>
                <w:sz w:val="14"/>
                <w:szCs w:val="14"/>
                <w:color w:val="auto"/>
              </w:rPr>
              <w:t>0</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92"/>
        </w:trPr>
        <w:tc>
          <w:tcPr>
            <w:tcW w:w="420" w:type="dxa"/>
            <w:vAlign w:val="bottom"/>
          </w:tcPr>
          <w:p>
            <w:pPr>
              <w:jc w:val="center"/>
              <w:ind w:right="20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ind w:left="160"/>
              <w:spacing w:after="0"/>
              <w:rPr>
                <w:sz w:val="20"/>
                <w:szCs w:val="20"/>
                <w:color w:val="auto"/>
              </w:rPr>
            </w:pPr>
            <w:r>
              <w:rPr>
                <w:rFonts w:ascii="Arial" w:cs="Arial" w:eastAsia="Arial" w:hAnsi="Arial"/>
                <w:sz w:val="14"/>
                <w:szCs w:val="14"/>
                <w:color w:val="auto"/>
              </w:rPr>
              <w:t>250</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432"/>
        </w:trPr>
        <w:tc>
          <w:tcPr>
            <w:tcW w:w="420" w:type="dxa"/>
            <w:vAlign w:val="bottom"/>
          </w:tcPr>
          <w:p>
            <w:pPr>
              <w:jc w:val="center"/>
              <w:ind w:right="20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ind w:left="160"/>
              <w:spacing w:after="0"/>
              <w:rPr>
                <w:sz w:val="20"/>
                <w:szCs w:val="20"/>
                <w:color w:val="auto"/>
              </w:rPr>
            </w:pPr>
            <w:r>
              <w:rPr>
                <w:rFonts w:ascii="Arial" w:cs="Arial" w:eastAsia="Arial" w:hAnsi="Arial"/>
                <w:sz w:val="14"/>
                <w:szCs w:val="14"/>
                <w:color w:val="auto"/>
              </w:rPr>
              <w:t>0</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473"/>
        </w:trPr>
        <w:tc>
          <w:tcPr>
            <w:tcW w:w="420" w:type="dxa"/>
            <w:vAlign w:val="bottom"/>
          </w:tcPr>
          <w:p>
            <w:pPr>
              <w:jc w:val="center"/>
              <w:ind w:right="20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48"/>
              <w:spacing w:after="0"/>
              <w:rPr>
                <w:sz w:val="20"/>
                <w:szCs w:val="20"/>
                <w:color w:val="auto"/>
              </w:rPr>
            </w:pPr>
            <w:r>
              <w:rPr>
                <w:rFonts w:ascii="Arial" w:cs="Arial" w:eastAsia="Arial" w:hAnsi="Arial"/>
                <w:sz w:val="14"/>
                <w:szCs w:val="14"/>
                <w:color w:val="auto"/>
              </w:rPr>
              <w:t>125</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473"/>
        </w:trPr>
        <w:tc>
          <w:tcPr>
            <w:tcW w:w="420" w:type="dxa"/>
            <w:vAlign w:val="bottom"/>
          </w:tcPr>
          <w:p>
            <w:pPr>
              <w:jc w:val="center"/>
              <w:ind w:right="20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48"/>
              <w:spacing w:after="0"/>
              <w:rPr>
                <w:sz w:val="20"/>
                <w:szCs w:val="20"/>
                <w:color w:val="auto"/>
              </w:rPr>
            </w:pPr>
            <w:r>
              <w:rPr>
                <w:rFonts w:ascii="Arial" w:cs="Arial" w:eastAsia="Arial" w:hAnsi="Arial"/>
                <w:sz w:val="14"/>
                <w:szCs w:val="14"/>
                <w:color w:val="auto"/>
              </w:rPr>
              <w:t>250</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432"/>
        </w:trPr>
        <w:tc>
          <w:tcPr>
            <w:tcW w:w="420" w:type="dxa"/>
            <w:vAlign w:val="bottom"/>
          </w:tcPr>
          <w:p>
            <w:pPr>
              <w:jc w:val="center"/>
              <w:ind w:right="20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ind w:left="160"/>
              <w:spacing w:after="0"/>
              <w:rPr>
                <w:sz w:val="20"/>
                <w:szCs w:val="20"/>
                <w:color w:val="auto"/>
              </w:rPr>
            </w:pPr>
            <w:r>
              <w:rPr>
                <w:rFonts w:ascii="Arial" w:cs="Arial" w:eastAsia="Arial" w:hAnsi="Arial"/>
                <w:sz w:val="14"/>
                <w:szCs w:val="14"/>
                <w:color w:val="auto"/>
              </w:rPr>
              <w:t>500</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92"/>
        </w:trPr>
        <w:tc>
          <w:tcPr>
            <w:tcW w:w="420" w:type="dxa"/>
            <w:vAlign w:val="bottom"/>
          </w:tcPr>
          <w:p>
            <w:pPr>
              <w:jc w:val="center"/>
              <w:ind w:right="208"/>
              <w:spacing w:after="0"/>
              <w:rPr>
                <w:sz w:val="20"/>
                <w:szCs w:val="20"/>
                <w:color w:val="auto"/>
              </w:rPr>
            </w:pPr>
            <w:r>
              <w:rPr>
                <w:rFonts w:ascii="Arial" w:cs="Arial" w:eastAsia="Arial" w:hAnsi="Arial"/>
                <w:sz w:val="14"/>
                <w:szCs w:val="14"/>
                <w:color w:val="auto"/>
                <w:w w:val="89"/>
              </w:rPr>
              <w:t>11</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48"/>
              <w:spacing w:after="0"/>
              <w:rPr>
                <w:sz w:val="20"/>
                <w:szCs w:val="20"/>
                <w:color w:val="auto"/>
              </w:rPr>
            </w:pPr>
            <w:r>
              <w:rPr>
                <w:rFonts w:ascii="Arial" w:cs="Arial" w:eastAsia="Arial" w:hAnsi="Arial"/>
                <w:sz w:val="14"/>
                <w:szCs w:val="14"/>
                <w:color w:val="auto"/>
                <w:w w:val="93"/>
              </w:rPr>
              <w:t>36,954</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92"/>
        </w:trPr>
        <w:tc>
          <w:tcPr>
            <w:tcW w:w="420" w:type="dxa"/>
            <w:vAlign w:val="bottom"/>
          </w:tcPr>
          <w:p>
            <w:pPr>
              <w:jc w:val="center"/>
              <w:ind w:right="208"/>
              <w:spacing w:after="0"/>
              <w:rPr>
                <w:sz w:val="20"/>
                <w:szCs w:val="20"/>
                <w:color w:val="auto"/>
              </w:rPr>
            </w:pPr>
            <w:r>
              <w:rPr>
                <w:rFonts w:ascii="Arial" w:cs="Arial" w:eastAsia="Arial" w:hAnsi="Arial"/>
                <w:sz w:val="14"/>
                <w:szCs w:val="14"/>
                <w:color w:val="auto"/>
                <w:w w:val="89"/>
              </w:rPr>
              <w:t>10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ind w:left="160"/>
              <w:spacing w:after="0"/>
              <w:rPr>
                <w:sz w:val="20"/>
                <w:szCs w:val="20"/>
                <w:color w:val="auto"/>
              </w:rPr>
            </w:pPr>
            <w:r>
              <w:rPr>
                <w:rFonts w:ascii="Arial" w:cs="Arial" w:eastAsia="Arial" w:hAnsi="Arial"/>
                <w:sz w:val="14"/>
                <w:szCs w:val="14"/>
                <w:color w:val="auto"/>
              </w:rPr>
              <w:t>0</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92"/>
        </w:trPr>
        <w:tc>
          <w:tcPr>
            <w:tcW w:w="420" w:type="dxa"/>
            <w:vAlign w:val="bottom"/>
          </w:tcPr>
          <w:p>
            <w:pPr>
              <w:jc w:val="right"/>
              <w:ind w:right="208"/>
              <w:spacing w:after="0"/>
              <w:rPr>
                <w:sz w:val="20"/>
                <w:szCs w:val="20"/>
                <w:color w:val="auto"/>
              </w:rPr>
            </w:pPr>
            <w:r>
              <w:rPr>
                <w:rFonts w:ascii="Arial" w:cs="Arial" w:eastAsia="Arial" w:hAnsi="Arial"/>
                <w:sz w:val="14"/>
                <w:szCs w:val="14"/>
                <w:color w:val="auto"/>
              </w:rPr>
              <w:t>2</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8"/>
              <w:spacing w:after="0"/>
              <w:rPr>
                <w:sz w:val="20"/>
                <w:szCs w:val="20"/>
                <w:color w:val="auto"/>
              </w:rPr>
            </w:pPr>
            <w:r>
              <w:rPr>
                <w:rFonts w:ascii="Arial" w:cs="Arial" w:eastAsia="Arial" w:hAnsi="Arial"/>
                <w:sz w:val="14"/>
                <w:szCs w:val="14"/>
                <w:color w:val="auto"/>
              </w:rPr>
              <w:t>0</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92"/>
        </w:trPr>
        <w:tc>
          <w:tcPr>
            <w:tcW w:w="420" w:type="dxa"/>
            <w:vAlign w:val="bottom"/>
          </w:tcPr>
          <w:p>
            <w:pPr>
              <w:jc w:val="right"/>
              <w:ind w:right="208"/>
              <w:spacing w:after="0"/>
              <w:rPr>
                <w:sz w:val="20"/>
                <w:szCs w:val="20"/>
                <w:color w:val="auto"/>
              </w:rPr>
            </w:pPr>
            <w:r>
              <w:rPr>
                <w:rFonts w:ascii="Arial" w:cs="Arial" w:eastAsia="Arial" w:hAnsi="Arial"/>
                <w:sz w:val="14"/>
                <w:szCs w:val="14"/>
                <w:color w:val="auto"/>
              </w:rPr>
              <w:t>2</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3,086</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91"/>
        </w:trPr>
        <w:tc>
          <w:tcPr>
            <w:tcW w:w="420" w:type="dxa"/>
            <w:vAlign w:val="bottom"/>
          </w:tcPr>
          <w:p>
            <w:pPr>
              <w:jc w:val="right"/>
              <w:ind w:right="208"/>
              <w:spacing w:after="0"/>
              <w:rPr>
                <w:sz w:val="20"/>
                <w:szCs w:val="20"/>
                <w:color w:val="auto"/>
              </w:rPr>
            </w:pPr>
            <w:r>
              <w:rPr>
                <w:rFonts w:ascii="Arial" w:cs="Arial" w:eastAsia="Arial" w:hAnsi="Arial"/>
                <w:sz w:val="14"/>
                <w:szCs w:val="14"/>
                <w:color w:val="auto"/>
              </w:rPr>
              <w:t>4</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6,236</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92"/>
        </w:trPr>
        <w:tc>
          <w:tcPr>
            <w:tcW w:w="420" w:type="dxa"/>
            <w:vAlign w:val="bottom"/>
          </w:tcPr>
          <w:p>
            <w:pPr>
              <w:jc w:val="right"/>
              <w:ind w:right="208"/>
              <w:spacing w:after="0"/>
              <w:rPr>
                <w:sz w:val="20"/>
                <w:szCs w:val="20"/>
                <w:color w:val="auto"/>
              </w:rPr>
            </w:pPr>
            <w:r>
              <w:rPr>
                <w:rFonts w:ascii="Arial" w:cs="Arial" w:eastAsia="Arial" w:hAnsi="Arial"/>
                <w:sz w:val="14"/>
                <w:szCs w:val="14"/>
                <w:color w:val="auto"/>
              </w:rPr>
              <w:t>8</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1</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$18,419</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91"/>
        </w:trPr>
        <w:tc>
          <w:tcPr>
            <w:tcW w:w="420" w:type="dxa"/>
            <w:vAlign w:val="bottom"/>
          </w:tcPr>
          <w:p>
            <w:pPr>
              <w:jc w:val="center"/>
              <w:ind w:right="208"/>
              <w:spacing w:after="0"/>
              <w:rPr>
                <w:sz w:val="20"/>
                <w:szCs w:val="20"/>
                <w:color w:val="auto"/>
              </w:rPr>
            </w:pPr>
            <w:r>
              <w:rPr>
                <w:rFonts w:ascii="Arial" w:cs="Arial" w:eastAsia="Arial" w:hAnsi="Arial"/>
                <w:sz w:val="14"/>
                <w:szCs w:val="14"/>
                <w:color w:val="auto"/>
                <w:w w:val="76"/>
              </w:rPr>
              <w:t>0</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66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0</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ind w:left="160"/>
              <w:spacing w:after="0"/>
              <w:rPr>
                <w:sz w:val="20"/>
                <w:szCs w:val="20"/>
                <w:color w:val="auto"/>
              </w:rPr>
            </w:pPr>
            <w:r>
              <w:rPr>
                <w:rFonts w:ascii="Arial" w:cs="Arial" w:eastAsia="Arial" w:hAnsi="Arial"/>
                <w:sz w:val="14"/>
                <w:szCs w:val="14"/>
                <w:color w:val="auto"/>
              </w:rPr>
              <w:t>375</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-2820670</wp:posOffset>
            </wp:positionV>
            <wp:extent cx="5760720" cy="3003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6">
                      <a:extLst>
                        <a:ext uri="{28A0092B-C50C-407E-A947-70E740481C1C}"/>
                      </a:extLst>
                    </a:blip>
                    <a:srcRect/>
                    <a:stretch>
                      <a:fillRect/>
                    </a:stretch>
                  </pic:blipFill>
                  <pic:spPr bwMode="auto">
                    <a:xfrm>
                      <a:off x="0" y="0"/>
                      <a:ext cx="5760720" cy="3003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-2220595</wp:posOffset>
            </wp:positionV>
            <wp:extent cx="5760720" cy="3003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7">
                      <a:extLst>
                        <a:ext uri="{28A0092B-C50C-407E-A947-70E740481C1C}"/>
                      </a:extLst>
                    </a:blip>
                    <a:srcRect/>
                    <a:stretch>
                      <a:fillRect/>
                    </a:stretch>
                  </pic:blipFill>
                  <pic:spPr bwMode="auto">
                    <a:xfrm>
                      <a:off x="0" y="0"/>
                      <a:ext cx="5760720" cy="3003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-1671955</wp:posOffset>
            </wp:positionV>
            <wp:extent cx="5760720" cy="2489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8">
                      <a:extLst>
                        <a:ext uri="{28A0092B-C50C-407E-A947-70E740481C1C}"/>
                      </a:extLst>
                    </a:blip>
                    <a:srcRect/>
                    <a:stretch>
                      <a:fillRect/>
                    </a:stretch>
                  </pic:blipFill>
                  <pic:spPr bwMode="auto">
                    <a:xfrm>
                      <a:off x="0" y="0"/>
                      <a:ext cx="5760720" cy="24892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-1174750</wp:posOffset>
            </wp:positionV>
            <wp:extent cx="5760720" cy="2489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9">
                      <a:extLst>
                        <a:ext uri="{28A0092B-C50C-407E-A947-70E740481C1C}"/>
                      </a:extLst>
                    </a:blip>
                    <a:srcRect/>
                    <a:stretch>
                      <a:fillRect/>
                    </a:stretch>
                  </pic:blipFill>
                  <pic:spPr bwMode="auto">
                    <a:xfrm>
                      <a:off x="0" y="0"/>
                      <a:ext cx="5760720" cy="24892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-677545</wp:posOffset>
            </wp:positionV>
            <wp:extent cx="5760720" cy="2489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0">
                      <a:extLst>
                        <a:ext uri="{28A0092B-C50C-407E-A947-70E740481C1C}"/>
                      </a:extLst>
                    </a:blip>
                    <a:srcRect/>
                    <a:stretch>
                      <a:fillRect/>
                    </a:stretch>
                  </pic:blipFill>
                  <pic:spPr bwMode="auto">
                    <a:xfrm>
                      <a:off x="0" y="0"/>
                      <a:ext cx="5760720" cy="24892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-180340</wp:posOffset>
            </wp:positionV>
            <wp:extent cx="5760720" cy="2489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21">
                      <a:extLst>
                        <a:ext uri="{28A0092B-C50C-407E-A947-70E740481C1C}"/>
                      </a:extLst>
                    </a:blip>
                    <a:srcRect/>
                    <a:stretch>
                      <a:fillRect/>
                    </a:stretch>
                  </pic:blipFill>
                  <pic:spPr bwMode="auto">
                    <a:xfrm>
                      <a:off x="0" y="0"/>
                      <a:ext cx="5760720" cy="24892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252095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392"/>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432"/>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473"/>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473"/>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432"/>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392"/>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1(1)</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w w:val="96"/>
              </w:rPr>
              <w:t>1(1)</w:t>
            </w:r>
          </w:p>
        </w:tc>
      </w:tr>
      <w:tr>
        <w:trPr>
          <w:trHeight w:val="392"/>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392"/>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392"/>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391"/>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r>
        <w:trPr>
          <w:trHeight w:val="392"/>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3(1)</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w w:val="96"/>
              </w:rPr>
              <w:t>3(1)</w:t>
            </w:r>
          </w:p>
        </w:tc>
      </w:tr>
      <w:tr>
        <w:trPr>
          <w:trHeight w:val="391"/>
        </w:trPr>
        <w:tc>
          <w:tcPr>
            <w:tcW w:w="500" w:type="dxa"/>
            <w:vAlign w:val="bottom"/>
          </w:tcPr>
          <w:p>
            <w:pPr>
              <w:spacing w:after="0"/>
              <w:rPr>
                <w:sz w:val="20"/>
                <w:szCs w:val="20"/>
                <w:color w:val="auto"/>
              </w:rPr>
            </w:pPr>
            <w:r>
              <w:rPr>
                <w:rFonts w:ascii="Arial" w:cs="Arial" w:eastAsia="Arial" w:hAnsi="Arial"/>
                <w:sz w:val="14"/>
                <w:szCs w:val="14"/>
                <w:color w:val="auto"/>
              </w:rPr>
              <w:t>no</w:t>
            </w:r>
          </w:p>
        </w:tc>
        <w:tc>
          <w:tcPr>
            <w:tcW w:w="820" w:type="dxa"/>
            <w:vAlign w:val="bottom"/>
          </w:tcPr>
          <w:p>
            <w:pPr>
              <w:ind w:left="360"/>
              <w:spacing w:after="0"/>
              <w:rPr>
                <w:sz w:val="20"/>
                <w:szCs w:val="20"/>
                <w:color w:val="auto"/>
              </w:rPr>
            </w:pPr>
            <w:r>
              <w:rPr>
                <w:rFonts w:ascii="Arial" w:cs="Arial" w:eastAsia="Arial" w:hAnsi="Arial"/>
                <w:sz w:val="14"/>
                <w:szCs w:val="14"/>
                <w:color w:val="auto"/>
              </w:rPr>
              <w:t>no</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480" w:type="dxa"/>
            <w:vAlign w:val="bottom"/>
          </w:tcPr>
          <w:p>
            <w:pPr>
              <w:jc w:val="center"/>
              <w:ind w:left="168"/>
              <w:spacing w:after="0"/>
              <w:rPr>
                <w:sz w:val="20"/>
                <w:szCs w:val="20"/>
                <w:color w:val="auto"/>
              </w:rPr>
            </w:pPr>
            <w:r>
              <w:rPr>
                <w:rFonts w:ascii="Arial" w:cs="Arial" w:eastAsia="Arial" w:hAnsi="Arial"/>
                <w:sz w:val="14"/>
                <w:szCs w:val="14"/>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-3068955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-3052445</wp:posOffset>
            </wp:positionV>
            <wp:extent cx="825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-3034665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-3017520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-3000375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-2983230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-2966720</wp:posOffset>
            </wp:positionV>
            <wp:extent cx="825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-2948940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-2931795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-2914650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-2897505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-2880995</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-2863215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-2846070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-2828925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-2520315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-2503170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-2486025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-2468880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-2452370</wp:posOffset>
            </wp:positionV>
            <wp:extent cx="825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-2434590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-2417445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-2400300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-2383155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-2366645</wp:posOffset>
            </wp:positionV>
            <wp:extent cx="825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-2348865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-2331720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-2314575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-2297430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-2280920</wp:posOffset>
            </wp:positionV>
            <wp:extent cx="825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-2263140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-2245995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-2228850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-1920240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-1903095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-1885950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-1868805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-1852295</wp:posOffset>
            </wp:positionV>
            <wp:extent cx="825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-1834515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-1817370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-1800860</wp:posOffset>
            </wp:positionV>
            <wp:extent cx="825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-1783080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-1766570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-1748790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-1731645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-1715135</wp:posOffset>
            </wp:positionV>
            <wp:extent cx="8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-1697355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-1680845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-1423035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-1405890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-1388745</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-1372235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-1354455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-1337945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-1320165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-1303020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-1286510</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-1268730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-1252220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-1234440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-1217295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-1200785</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-1183005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-925830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-909320</wp:posOffset>
            </wp:positionV>
            <wp:extent cx="825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-891540</wp:posOffset>
            </wp:positionV>
            <wp:extent cx="825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-874395</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-857250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-840105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-823595</wp:posOffset>
            </wp:positionV>
            <wp:extent cx="825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-805815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-788670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-771525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-755015</wp:posOffset>
            </wp:positionV>
            <wp:extent cx="82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-737870</wp:posOffset>
            </wp:positionV>
            <wp:extent cx="825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-720090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-702945</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-685800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-428625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-412115</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-394970</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-377190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-360045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-342900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-326390</wp:posOffset>
            </wp:positionV>
            <wp:extent cx="82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-309245</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-291465</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-274320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-257175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-240665</wp:posOffset>
            </wp:positionV>
            <wp:extent cx="825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-223520</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-205740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-188595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3">
            <w:col w:w="1940" w:space="380"/>
            <w:col w:w="4420" w:space="720"/>
            <w:col w:w="3560"/>
          </w:cols>
          <w:pgMar w:left="440" w:top="148" w:right="439" w:bottom="1440" w:gutter="0" w:footer="0" w:header="0"/>
          <w:type w:val="continuous"/>
        </w:sectPr>
      </w:pPr>
    </w:p>
    <w:bookmarkStart w:id="141" w:name="page142"/>
    <w:bookmarkEnd w:id="141"/>
    <w:p>
      <w:pPr>
        <w:ind w:left="648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-98425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-81280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-64135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-46990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-29845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-12700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3810</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-98425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-81280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-64135</wp:posOffset>
            </wp:positionV>
            <wp:extent cx="825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-46990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-29845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-12700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3810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4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480"/>
        <w:spacing w:after="0"/>
        <w:rPr>
          <w:sz w:val="20"/>
          <w:szCs w:val="20"/>
          <w:color w:val="auto"/>
        </w:rPr>
      </w:pPr>
      <w:r>
        <w:rPr>
          <w:rFonts w:ascii="Arial" w:cs="Arial" w:eastAsia="Arial" w:hAnsi="Arial"/>
          <w:sz w:val="14"/>
          <w:szCs w:val="14"/>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0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3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9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9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1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1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5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11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49">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23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245">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-71755</wp:posOffset>
            </wp:positionV>
            <wp:extent cx="8255"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-54610</wp:posOffset>
            </wp:positionV>
            <wp:extent cx="8255"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-37465</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-20320</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-3175</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7132320" cy="11176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7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41" w:lineRule="exact"/>
        <w:rPr>
          <w:sz w:val="20"/>
          <w:szCs w:val="20"/>
          <w:color w:val="auto"/>
        </w:rPr>
      </w:pPr>
    </w:p>
    <w:p>
      <w:pPr>
        <w:ind w:left="1980" w:hanging="752"/>
        <w:spacing w:after="0"/>
        <w:tabs>
          <w:tab w:leader="none" w:pos="1980" w:val="left"/>
        </w:tabs>
        <w:numPr>
          <w:ilvl w:val="0"/>
          <w:numId w:val="53"/>
        </w:numPr>
        <w:rPr>
          <w:rFonts w:ascii="Arial" w:cs="Arial" w:eastAsia="Arial" w:hAnsi="Arial"/>
          <w:sz w:val="14"/>
          <w:szCs w:val="14"/>
          <w:color w:val="auto"/>
        </w:rPr>
      </w:pPr>
      <w:r>
        <w:rPr>
          <w:rFonts w:ascii="Arial" w:cs="Arial" w:eastAsia="Arial" w:hAnsi="Arial"/>
          <w:sz w:val="18"/>
          <w:szCs w:val="18"/>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96520</wp:posOffset>
            </wp:positionV>
            <wp:extent cx="7157720" cy="4254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214"/>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3"/>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upperLetter"/>
      <w:start w:val="1"/>
    </w:lvl>
  </w:abstractNum>
  <w:abstractNum w:abstractNumId="18">
    <w:nsid w:val="5072367"/>
    <w:multiLevelType w:val="hybridMultilevel"/>
    <w:lvl w:ilvl="0">
      <w:lvlJc w:val="left"/>
      <w:lvlText w:val="(%1)"/>
      <w:numFmt w:val="upperLetter"/>
      <w:start w:val="2"/>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upperLetter"/>
      <w:start w:val="3"/>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0"/>
    </w:lvl>
  </w:abstractNum>
  <w:abstractNum w:abstractNumId="26">
    <w:nsid w:val="2D517796"/>
    <w:multiLevelType w:val="hybridMultilevel"/>
    <w:lvl w:ilvl="0">
      <w:lvlJc w:val="left"/>
      <w:lvlText w:val="%1"/>
      <w:numFmt w:val="decimal"/>
      <w:start w:val="10"/>
    </w:lvl>
  </w:abstractNum>
  <w:abstractNum w:abstractNumId="27">
    <w:nsid w:val="580BD78F"/>
    <w:multiLevelType w:val="hybridMultilevel"/>
    <w:lvl w:ilvl="0">
      <w:lvlJc w:val="left"/>
      <w:lvlText w:val="%1"/>
      <w:numFmt w:val="decimal"/>
      <w:start w:val="10"/>
    </w:lvl>
  </w:abstractNum>
  <w:abstractNum w:abstractNumId="28">
    <w:nsid w:val="153EA438"/>
    <w:multiLevelType w:val="hybridMultilevel"/>
    <w:lvl w:ilvl="0">
      <w:lvlJc w:val="left"/>
      <w:lvlText w:val="%1"/>
      <w:numFmt w:val="decimal"/>
      <w:start w:val="10"/>
    </w:lvl>
  </w:abstractNum>
  <w:abstractNum w:abstractNumId="29">
    <w:nsid w:val="3855585C"/>
    <w:multiLevelType w:val="hybridMultilevel"/>
    <w:lvl w:ilvl="0">
      <w:lvlJc w:val="left"/>
      <w:lvlText w:val="%1"/>
      <w:numFmt w:val="decimal"/>
      <w:start w:val="11"/>
    </w:lvl>
  </w:abstractNum>
  <w:abstractNum w:abstractNumId="30">
    <w:nsid w:val="70A64E2A"/>
    <w:multiLevelType w:val="hybridMultilevel"/>
    <w:lvl w:ilvl="0">
      <w:lvlJc w:val="left"/>
      <w:lvlText w:val="%1"/>
      <w:numFmt w:val="decimal"/>
      <w:start w:val="11"/>
    </w:lvl>
  </w:abstractNum>
  <w:abstractNum w:abstractNumId="31">
    <w:nsid w:val="6A2342EC"/>
    <w:multiLevelType w:val="hybridMultilevel"/>
    <w:lvl w:ilvl="0">
      <w:lvlJc w:val="left"/>
      <w:lvlText w:val="%1"/>
      <w:numFmt w:val="decimal"/>
      <w:start w:val="13"/>
    </w:lvl>
  </w:abstractNum>
  <w:abstractNum w:abstractNumId="32">
    <w:nsid w:val="2A487CB0"/>
    <w:multiLevelType w:val="hybridMultilevel"/>
    <w:lvl w:ilvl="0">
      <w:lvlJc w:val="left"/>
      <w:lvlText w:val="%1."/>
      <w:numFmt w:val="upperLetter"/>
      <w:start w:val="1"/>
    </w:lvl>
    <w:lvl w:ilvl="1">
      <w:lvlJc w:val="left"/>
      <w:lvlText w:val="%2."/>
      <w:numFmt w:val="decimal"/>
      <w:start w:val="1"/>
    </w:lvl>
  </w:abstractNum>
  <w:abstractNum w:abstractNumId="33">
    <w:nsid w:val="1D4ED43B"/>
    <w:multiLevelType w:val="hybridMultilevel"/>
    <w:lvl w:ilvl="0">
      <w:lvlJc w:val="left"/>
      <w:lvlText w:val="*"/>
      <w:numFmt w:val="bullet"/>
      <w:start w:val="1"/>
    </w:lvl>
    <w:lvl w:ilvl="1">
      <w:lvlJc w:val="left"/>
      <w:lvlText w:val="%2"/>
      <w:numFmt w:val="decimal"/>
      <w:start w:val="104"/>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lowerRoman"/>
      <w:start w:val="1"/>
    </w:lvl>
  </w:abstractNum>
  <w:abstractNum w:abstractNumId="36">
    <w:nsid w:val="57E4CCAF"/>
    <w:multiLevelType w:val="hybridMultilevel"/>
    <w:lvl w:ilvl="0">
      <w:lvlJc w:val="left"/>
      <w:lvlText w:val="(%1)"/>
      <w:numFmt w:val="lowerRoman"/>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decimal"/>
      <w:start w:val="5"/>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decimal"/>
      <w:start w:val="5"/>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Roman"/>
      <w:start w:val="1"/>
    </w:lvl>
  </w:abstractNum>
  <w:abstractNum w:abstractNumId="51">
    <w:nsid w:val="12E685FB"/>
    <w:multiLevelType w:val="hybridMultilevel"/>
    <w:lvl w:ilvl="0">
      <w:lvlJc w:val="left"/>
      <w:lvlText w:val="(%1)"/>
      <w:numFmt w:val="lowerRoman"/>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30"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96" Type="http://schemas.openxmlformats.org/officeDocument/2006/relationships/image" Target="media/image238.png"/><Relationship Id="rId297" Type="http://schemas.openxmlformats.org/officeDocument/2006/relationships/image" Target="media/image239.png"/><Relationship Id="rId298" Type="http://schemas.openxmlformats.org/officeDocument/2006/relationships/image" Target="media/image240.png"/><Relationship Id="rId299" Type="http://schemas.openxmlformats.org/officeDocument/2006/relationships/image" Target="media/image241.png"/><Relationship Id="rId300" Type="http://schemas.openxmlformats.org/officeDocument/2006/relationships/image" Target="media/image242.png"/><Relationship Id="rId301" Type="http://schemas.openxmlformats.org/officeDocument/2006/relationships/image" Target="media/image243.png"/><Relationship Id="rId302" Type="http://schemas.openxmlformats.org/officeDocument/2006/relationships/image" Target="media/image244.png"/><Relationship Id="rId303" Type="http://schemas.openxmlformats.org/officeDocument/2006/relationships/image" Target="media/image245.png"/><Relationship Id="rId304" Type="http://schemas.openxmlformats.org/officeDocument/2006/relationships/image" Target="media/image246.png"/><Relationship Id="rId305" Type="http://schemas.openxmlformats.org/officeDocument/2006/relationships/image" Target="media/image247.png"/><Relationship Id="rId306" Type="http://schemas.openxmlformats.org/officeDocument/2006/relationships/image" Target="media/image248.png"/><Relationship Id="rId307" Type="http://schemas.openxmlformats.org/officeDocument/2006/relationships/image" Target="media/image249.png"/><Relationship Id="rId308" Type="http://schemas.openxmlformats.org/officeDocument/2006/relationships/image" Target="media/image250.png"/><Relationship Id="rId321" Type="http://schemas.openxmlformats.org/officeDocument/2006/relationships/image" Target="media/image251.png"/><Relationship Id="rId322" Type="http://schemas.openxmlformats.org/officeDocument/2006/relationships/image" Target="media/image252.png"/><Relationship Id="rId323" Type="http://schemas.openxmlformats.org/officeDocument/2006/relationships/image" Target="media/image253.png"/><Relationship Id="rId324" Type="http://schemas.openxmlformats.org/officeDocument/2006/relationships/image" Target="media/image254.png"/><Relationship Id="rId325" Type="http://schemas.openxmlformats.org/officeDocument/2006/relationships/image" Target="media/image255.png"/><Relationship Id="rId326" Type="http://schemas.openxmlformats.org/officeDocument/2006/relationships/image" Target="media/image256.png"/><Relationship Id="rId327" Type="http://schemas.openxmlformats.org/officeDocument/2006/relationships/image" Target="media/image257.png"/><Relationship Id="rId328" Type="http://schemas.openxmlformats.org/officeDocument/2006/relationships/image" Target="media/image258.png"/><Relationship Id="rId329" Type="http://schemas.openxmlformats.org/officeDocument/2006/relationships/image" Target="media/image259.png"/><Relationship Id="rId330" Type="http://schemas.openxmlformats.org/officeDocument/2006/relationships/image" Target="media/image260.png"/><Relationship Id="rId331" Type="http://schemas.openxmlformats.org/officeDocument/2006/relationships/image" Target="media/image261.png"/><Relationship Id="rId332" Type="http://schemas.openxmlformats.org/officeDocument/2006/relationships/image" Target="media/image262.png"/><Relationship Id="rId333" Type="http://schemas.openxmlformats.org/officeDocument/2006/relationships/image" Target="media/image263.png"/><Relationship Id="rId334" Type="http://schemas.openxmlformats.org/officeDocument/2006/relationships/image" Target="media/image264.png"/><Relationship Id="rId335" Type="http://schemas.openxmlformats.org/officeDocument/2006/relationships/image" Target="media/image265.png"/><Relationship Id="rId336" Type="http://schemas.openxmlformats.org/officeDocument/2006/relationships/image" Target="media/image266.png"/><Relationship Id="rId337" Type="http://schemas.openxmlformats.org/officeDocument/2006/relationships/image" Target="media/image267.png"/><Relationship Id="rId338" Type="http://schemas.openxmlformats.org/officeDocument/2006/relationships/image" Target="media/image268.png"/><Relationship Id="rId339" Type="http://schemas.openxmlformats.org/officeDocument/2006/relationships/image" Target="media/image269.png"/><Relationship Id="rId340" Type="http://schemas.openxmlformats.org/officeDocument/2006/relationships/image" Target="media/image270.png"/><Relationship Id="rId341" Type="http://schemas.openxmlformats.org/officeDocument/2006/relationships/image" Target="media/image271.png"/><Relationship Id="rId342" Type="http://schemas.openxmlformats.org/officeDocument/2006/relationships/image" Target="media/image272.png"/><Relationship Id="rId343" Type="http://schemas.openxmlformats.org/officeDocument/2006/relationships/image" Target="media/image273.png"/><Relationship Id="rId344" Type="http://schemas.openxmlformats.org/officeDocument/2006/relationships/image" Target="media/image274.png"/><Relationship Id="rId345" Type="http://schemas.openxmlformats.org/officeDocument/2006/relationships/image" Target="media/image275.png"/><Relationship Id="rId346" Type="http://schemas.openxmlformats.org/officeDocument/2006/relationships/image" Target="media/image276.png"/><Relationship Id="rId347" Type="http://schemas.openxmlformats.org/officeDocument/2006/relationships/image" Target="media/image277.png"/><Relationship Id="rId348" Type="http://schemas.openxmlformats.org/officeDocument/2006/relationships/image" Target="media/image278.png"/><Relationship Id="rId349" Type="http://schemas.openxmlformats.org/officeDocument/2006/relationships/image" Target="media/image279.png"/><Relationship Id="rId350" Type="http://schemas.openxmlformats.org/officeDocument/2006/relationships/image" Target="media/image280.png"/><Relationship Id="rId351" Type="http://schemas.openxmlformats.org/officeDocument/2006/relationships/image" Target="media/image281.png"/><Relationship Id="rId352" Type="http://schemas.openxmlformats.org/officeDocument/2006/relationships/image" Target="media/image282.png"/><Relationship Id="rId353" Type="http://schemas.openxmlformats.org/officeDocument/2006/relationships/image" Target="media/image283.png"/><Relationship Id="rId354" Type="http://schemas.openxmlformats.org/officeDocument/2006/relationships/image" Target="media/image284.png"/><Relationship Id="rId355" Type="http://schemas.openxmlformats.org/officeDocument/2006/relationships/image" Target="media/image285.png"/><Relationship Id="rId356" Type="http://schemas.openxmlformats.org/officeDocument/2006/relationships/image" Target="media/image286.png"/><Relationship Id="rId357" Type="http://schemas.openxmlformats.org/officeDocument/2006/relationships/image" Target="media/image287.png"/><Relationship Id="rId358" Type="http://schemas.openxmlformats.org/officeDocument/2006/relationships/image" Target="media/image288.png"/><Relationship Id="rId359" Type="http://schemas.openxmlformats.org/officeDocument/2006/relationships/image" Target="media/image289.png"/><Relationship Id="rId360" Type="http://schemas.openxmlformats.org/officeDocument/2006/relationships/image" Target="media/image290.png"/><Relationship Id="rId361" Type="http://schemas.openxmlformats.org/officeDocument/2006/relationships/image" Target="media/image291.png"/><Relationship Id="rId362" Type="http://schemas.openxmlformats.org/officeDocument/2006/relationships/image" Target="media/image292.png"/><Relationship Id="rId363" Type="http://schemas.openxmlformats.org/officeDocument/2006/relationships/image" Target="media/image293.png"/><Relationship Id="rId364" Type="http://schemas.openxmlformats.org/officeDocument/2006/relationships/image" Target="media/image294.png"/><Relationship Id="rId365" Type="http://schemas.openxmlformats.org/officeDocument/2006/relationships/image" Target="media/image295.png"/><Relationship Id="rId366" Type="http://schemas.openxmlformats.org/officeDocument/2006/relationships/image" Target="media/image296.png"/><Relationship Id="rId367" Type="http://schemas.openxmlformats.org/officeDocument/2006/relationships/image" Target="media/image297.png"/><Relationship Id="rId368" Type="http://schemas.openxmlformats.org/officeDocument/2006/relationships/image" Target="media/image298.png"/><Relationship Id="rId369" Type="http://schemas.openxmlformats.org/officeDocument/2006/relationships/image" Target="media/image299.png"/><Relationship Id="rId370" Type="http://schemas.openxmlformats.org/officeDocument/2006/relationships/image" Target="media/image300.png"/><Relationship Id="rId371" Type="http://schemas.openxmlformats.org/officeDocument/2006/relationships/image" Target="media/image301.png"/><Relationship Id="rId372" Type="http://schemas.openxmlformats.org/officeDocument/2006/relationships/image" Target="media/image302.png"/><Relationship Id="rId373" Type="http://schemas.openxmlformats.org/officeDocument/2006/relationships/image" Target="media/image303.png"/><Relationship Id="rId374" Type="http://schemas.openxmlformats.org/officeDocument/2006/relationships/image" Target="media/image304.png"/><Relationship Id="rId375" Type="http://schemas.openxmlformats.org/officeDocument/2006/relationships/image" Target="media/image305.png"/><Relationship Id="rId376" Type="http://schemas.openxmlformats.org/officeDocument/2006/relationships/image" Target="media/image306.png"/><Relationship Id="rId377" Type="http://schemas.openxmlformats.org/officeDocument/2006/relationships/image" Target="media/image307.png"/><Relationship Id="rId378" Type="http://schemas.openxmlformats.org/officeDocument/2006/relationships/image" Target="media/image308.png"/><Relationship Id="rId379" Type="http://schemas.openxmlformats.org/officeDocument/2006/relationships/image" Target="media/image309.png"/><Relationship Id="rId380" Type="http://schemas.openxmlformats.org/officeDocument/2006/relationships/image" Target="media/image310.png"/><Relationship Id="rId381" Type="http://schemas.openxmlformats.org/officeDocument/2006/relationships/image" Target="media/image311.png"/><Relationship Id="rId382" Type="http://schemas.openxmlformats.org/officeDocument/2006/relationships/image" Target="media/image312.png"/><Relationship Id="rId383" Type="http://schemas.openxmlformats.org/officeDocument/2006/relationships/image" Target="media/image313.png"/><Relationship Id="rId384" Type="http://schemas.openxmlformats.org/officeDocument/2006/relationships/image" Target="media/image314.png"/><Relationship Id="rId385" Type="http://schemas.openxmlformats.org/officeDocument/2006/relationships/image" Target="media/image315.png"/><Relationship Id="rId386" Type="http://schemas.openxmlformats.org/officeDocument/2006/relationships/image" Target="media/image316.png"/><Relationship Id="rId387" Type="http://schemas.openxmlformats.org/officeDocument/2006/relationships/image" Target="media/image317.png"/><Relationship Id="rId388" Type="http://schemas.openxmlformats.org/officeDocument/2006/relationships/image" Target="media/image318.png"/><Relationship Id="rId389" Type="http://schemas.openxmlformats.org/officeDocument/2006/relationships/image" Target="media/image319.png"/><Relationship Id="rId390" Type="http://schemas.openxmlformats.org/officeDocument/2006/relationships/image" Target="media/image320.png"/><Relationship Id="rId391" Type="http://schemas.openxmlformats.org/officeDocument/2006/relationships/image" Target="media/image321.png"/><Relationship Id="rId392" Type="http://schemas.openxmlformats.org/officeDocument/2006/relationships/image" Target="media/image322.png"/><Relationship Id="rId393" Type="http://schemas.openxmlformats.org/officeDocument/2006/relationships/image" Target="media/image323.png"/><Relationship Id="rId394" Type="http://schemas.openxmlformats.org/officeDocument/2006/relationships/image" Target="media/image324.png"/><Relationship Id="rId395" Type="http://schemas.openxmlformats.org/officeDocument/2006/relationships/image" Target="media/image325.png"/><Relationship Id="rId396" Type="http://schemas.openxmlformats.org/officeDocument/2006/relationships/image" Target="media/image326.png"/><Relationship Id="rId397" Type="http://schemas.openxmlformats.org/officeDocument/2006/relationships/image" Target="media/image327.png"/><Relationship Id="rId398" Type="http://schemas.openxmlformats.org/officeDocument/2006/relationships/image" Target="media/image328.png"/><Relationship Id="rId399" Type="http://schemas.openxmlformats.org/officeDocument/2006/relationships/image" Target="media/image329.png"/><Relationship Id="rId400" Type="http://schemas.openxmlformats.org/officeDocument/2006/relationships/image" Target="media/image330.png"/><Relationship Id="rId401" Type="http://schemas.openxmlformats.org/officeDocument/2006/relationships/image" Target="media/image331.png"/><Relationship Id="rId402" Type="http://schemas.openxmlformats.org/officeDocument/2006/relationships/image" Target="media/image332.png"/><Relationship Id="rId403" Type="http://schemas.openxmlformats.org/officeDocument/2006/relationships/image" Target="media/image333.png"/><Relationship Id="rId404" Type="http://schemas.openxmlformats.org/officeDocument/2006/relationships/image" Target="media/image334.png"/><Relationship Id="rId405" Type="http://schemas.openxmlformats.org/officeDocument/2006/relationships/image" Target="media/image335.png"/><Relationship Id="rId406" Type="http://schemas.openxmlformats.org/officeDocument/2006/relationships/image" Target="media/image336.png"/><Relationship Id="rId407" Type="http://schemas.openxmlformats.org/officeDocument/2006/relationships/image" Target="media/image337.png"/><Relationship Id="rId408" Type="http://schemas.openxmlformats.org/officeDocument/2006/relationships/image" Target="media/image338.png"/><Relationship Id="rId409" Type="http://schemas.openxmlformats.org/officeDocument/2006/relationships/image" Target="media/image339.png"/><Relationship Id="rId410" Type="http://schemas.openxmlformats.org/officeDocument/2006/relationships/image" Target="media/image340.png"/><Relationship Id="rId411" Type="http://schemas.openxmlformats.org/officeDocument/2006/relationships/image" Target="media/image341.png"/><Relationship Id="rId412" Type="http://schemas.openxmlformats.org/officeDocument/2006/relationships/image" Target="media/image342.png"/><Relationship Id="rId413" Type="http://schemas.openxmlformats.org/officeDocument/2006/relationships/image" Target="media/image343.png"/><Relationship Id="rId414" Type="http://schemas.openxmlformats.org/officeDocument/2006/relationships/image" Target="media/image344.png"/><Relationship Id="rId415" Type="http://schemas.openxmlformats.org/officeDocument/2006/relationships/image" Target="media/image345.png"/><Relationship Id="rId416" Type="http://schemas.openxmlformats.org/officeDocument/2006/relationships/image" Target="media/image346.png"/><Relationship Id="rId417" Type="http://schemas.openxmlformats.org/officeDocument/2006/relationships/image" Target="media/image347.png"/><Relationship Id="rId418" Type="http://schemas.openxmlformats.org/officeDocument/2006/relationships/image" Target="media/image348.png"/><Relationship Id="rId419" Type="http://schemas.openxmlformats.org/officeDocument/2006/relationships/image" Target="media/image349.png"/><Relationship Id="rId420" Type="http://schemas.openxmlformats.org/officeDocument/2006/relationships/image" Target="media/image350.png"/><Relationship Id="rId421" Type="http://schemas.openxmlformats.org/officeDocument/2006/relationships/image" Target="media/image351.png"/><Relationship Id="rId422" Type="http://schemas.openxmlformats.org/officeDocument/2006/relationships/image" Target="media/image352.png"/><Relationship Id="rId423" Type="http://schemas.openxmlformats.org/officeDocument/2006/relationships/image" Target="media/image353.png"/><Relationship Id="rId424" Type="http://schemas.openxmlformats.org/officeDocument/2006/relationships/image" Target="media/image354.png"/><Relationship Id="rId425" Type="http://schemas.openxmlformats.org/officeDocument/2006/relationships/image" Target="media/image355.png"/><Relationship Id="rId426" Type="http://schemas.openxmlformats.org/officeDocument/2006/relationships/image" Target="media/image356.png"/><Relationship Id="rId427" Type="http://schemas.openxmlformats.org/officeDocument/2006/relationships/image" Target="media/image357.png"/><Relationship Id="rId428" Type="http://schemas.openxmlformats.org/officeDocument/2006/relationships/image" Target="media/image358.png"/><Relationship Id="rId429" Type="http://schemas.openxmlformats.org/officeDocument/2006/relationships/image" Target="media/image359.png"/><Relationship Id="rId430" Type="http://schemas.openxmlformats.org/officeDocument/2006/relationships/image" Target="media/image360.png"/><Relationship Id="rId431" Type="http://schemas.openxmlformats.org/officeDocument/2006/relationships/image" Target="media/image361.png"/><Relationship Id="rId432" Type="http://schemas.openxmlformats.org/officeDocument/2006/relationships/image" Target="media/image362.png"/><Relationship Id="rId433" Type="http://schemas.openxmlformats.org/officeDocument/2006/relationships/image" Target="media/image363.png"/><Relationship Id="rId434" Type="http://schemas.openxmlformats.org/officeDocument/2006/relationships/image" Target="media/image364.png"/><Relationship Id="rId435" Type="http://schemas.openxmlformats.org/officeDocument/2006/relationships/image" Target="media/image365.png"/><Relationship Id="rId436" Type="http://schemas.openxmlformats.org/officeDocument/2006/relationships/image" Target="media/image366.png"/><Relationship Id="rId437" Type="http://schemas.openxmlformats.org/officeDocument/2006/relationships/image" Target="media/image367.png"/><Relationship Id="rId438" Type="http://schemas.openxmlformats.org/officeDocument/2006/relationships/image" Target="media/image368.png"/><Relationship Id="rId439" Type="http://schemas.openxmlformats.org/officeDocument/2006/relationships/image" Target="media/image369.png"/><Relationship Id="rId440" Type="http://schemas.openxmlformats.org/officeDocument/2006/relationships/image" Target="media/image370.png"/><Relationship Id="rId441" Type="http://schemas.openxmlformats.org/officeDocument/2006/relationships/image" Target="media/image371.png"/><Relationship Id="rId442" Type="http://schemas.openxmlformats.org/officeDocument/2006/relationships/image" Target="media/image372.png"/><Relationship Id="rId443" Type="http://schemas.openxmlformats.org/officeDocument/2006/relationships/image" Target="media/image373.png"/><Relationship Id="rId444" Type="http://schemas.openxmlformats.org/officeDocument/2006/relationships/image" Target="media/image374.png"/><Relationship Id="rId445" Type="http://schemas.openxmlformats.org/officeDocument/2006/relationships/image" Target="media/image375.png"/><Relationship Id="rId446" Type="http://schemas.openxmlformats.org/officeDocument/2006/relationships/image" Target="media/image376.png"/><Relationship Id="rId447" Type="http://schemas.openxmlformats.org/officeDocument/2006/relationships/image" Target="media/image377.png"/><Relationship Id="rId448" Type="http://schemas.openxmlformats.org/officeDocument/2006/relationships/image" Target="media/image378.png"/><Relationship Id="rId449" Type="http://schemas.openxmlformats.org/officeDocument/2006/relationships/image" Target="media/image379.png"/><Relationship Id="rId450" Type="http://schemas.openxmlformats.org/officeDocument/2006/relationships/image" Target="media/image380.png"/><Relationship Id="rId451" Type="http://schemas.openxmlformats.org/officeDocument/2006/relationships/image" Target="media/image381.png"/><Relationship Id="rId452" Type="http://schemas.openxmlformats.org/officeDocument/2006/relationships/image" Target="media/image382.png"/><Relationship Id="rId453" Type="http://schemas.openxmlformats.org/officeDocument/2006/relationships/image" Target="media/image383.png"/><Relationship Id="rId454" Type="http://schemas.openxmlformats.org/officeDocument/2006/relationships/image" Target="media/image384.png"/><Relationship Id="rId455" Type="http://schemas.openxmlformats.org/officeDocument/2006/relationships/image" Target="media/image385.png"/><Relationship Id="rId456" Type="http://schemas.openxmlformats.org/officeDocument/2006/relationships/image" Target="media/image386.png"/><Relationship Id="rId457" Type="http://schemas.openxmlformats.org/officeDocument/2006/relationships/image" Target="media/image387.png"/><Relationship Id="rId458" Type="http://schemas.openxmlformats.org/officeDocument/2006/relationships/image" Target="media/image388.png"/><Relationship Id="rId459" Type="http://schemas.openxmlformats.org/officeDocument/2006/relationships/image" Target="media/image389.png"/><Relationship Id="rId460" Type="http://schemas.openxmlformats.org/officeDocument/2006/relationships/image" Target="media/image390.png"/><Relationship Id="rId461" Type="http://schemas.openxmlformats.org/officeDocument/2006/relationships/image" Target="media/image391.png"/><Relationship Id="rId462" Type="http://schemas.openxmlformats.org/officeDocument/2006/relationships/image" Target="media/image392.png"/><Relationship Id="rId463" Type="http://schemas.openxmlformats.org/officeDocument/2006/relationships/image" Target="media/image393.png"/><Relationship Id="rId464" Type="http://schemas.openxmlformats.org/officeDocument/2006/relationships/image" Target="media/image394.png"/><Relationship Id="rId465" Type="http://schemas.openxmlformats.org/officeDocument/2006/relationships/image" Target="media/image395.png"/><Relationship Id="rId466" Type="http://schemas.openxmlformats.org/officeDocument/2006/relationships/image" Target="media/image396.png"/><Relationship Id="rId467" Type="http://schemas.openxmlformats.org/officeDocument/2006/relationships/image" Target="media/image397.png"/><Relationship Id="rId468" Type="http://schemas.openxmlformats.org/officeDocument/2006/relationships/image" Target="media/image398.png"/><Relationship Id="rId469" Type="http://schemas.openxmlformats.org/officeDocument/2006/relationships/image" Target="media/image399.png"/><Relationship Id="rId470" Type="http://schemas.openxmlformats.org/officeDocument/2006/relationships/image" Target="media/image400.png"/><Relationship Id="rId471" Type="http://schemas.openxmlformats.org/officeDocument/2006/relationships/image" Target="media/image401.png"/><Relationship Id="rId472" Type="http://schemas.openxmlformats.org/officeDocument/2006/relationships/image" Target="media/image402.png"/><Relationship Id="rId473" Type="http://schemas.openxmlformats.org/officeDocument/2006/relationships/image" Target="media/image403.png"/><Relationship Id="rId474" Type="http://schemas.openxmlformats.org/officeDocument/2006/relationships/image" Target="media/image404.png"/><Relationship Id="rId475" Type="http://schemas.openxmlformats.org/officeDocument/2006/relationships/image" Target="media/image405.png"/><Relationship Id="rId476" Type="http://schemas.openxmlformats.org/officeDocument/2006/relationships/image" Target="media/image406.png"/><Relationship Id="rId477" Type="http://schemas.openxmlformats.org/officeDocument/2006/relationships/image" Target="media/image407.png"/><Relationship Id="rId478" Type="http://schemas.openxmlformats.org/officeDocument/2006/relationships/image" Target="media/image408.png"/><Relationship Id="rId479" Type="http://schemas.openxmlformats.org/officeDocument/2006/relationships/image" Target="media/image409.png"/><Relationship Id="rId480" Type="http://schemas.openxmlformats.org/officeDocument/2006/relationships/image" Target="media/image410.png"/><Relationship Id="rId481" Type="http://schemas.openxmlformats.org/officeDocument/2006/relationships/image" Target="media/image411.png"/><Relationship Id="rId482" Type="http://schemas.openxmlformats.org/officeDocument/2006/relationships/image" Target="media/image412.png"/><Relationship Id="rId483" Type="http://schemas.openxmlformats.org/officeDocument/2006/relationships/image" Target="media/image413.png"/><Relationship Id="rId484" Type="http://schemas.openxmlformats.org/officeDocument/2006/relationships/image" Target="media/image414.png"/><Relationship Id="rId485" Type="http://schemas.openxmlformats.org/officeDocument/2006/relationships/image" Target="media/image415.png"/><Relationship Id="rId486" Type="http://schemas.openxmlformats.org/officeDocument/2006/relationships/image" Target="media/image416.png"/><Relationship Id="rId487" Type="http://schemas.openxmlformats.org/officeDocument/2006/relationships/image" Target="media/image417.png"/><Relationship Id="rId488" Type="http://schemas.openxmlformats.org/officeDocument/2006/relationships/image" Target="media/image418.png"/><Relationship Id="rId489" Type="http://schemas.openxmlformats.org/officeDocument/2006/relationships/image" Target="media/image419.png"/><Relationship Id="rId490" Type="http://schemas.openxmlformats.org/officeDocument/2006/relationships/image" Target="media/image420.png"/><Relationship Id="rId491" Type="http://schemas.openxmlformats.org/officeDocument/2006/relationships/image" Target="media/image421.png"/><Relationship Id="rId492" Type="http://schemas.openxmlformats.org/officeDocument/2006/relationships/image" Target="media/image422.png"/><Relationship Id="rId493" Type="http://schemas.openxmlformats.org/officeDocument/2006/relationships/image" Target="media/image423.png"/><Relationship Id="rId494" Type="http://schemas.openxmlformats.org/officeDocument/2006/relationships/image" Target="media/image424.png"/><Relationship Id="rId495" Type="http://schemas.openxmlformats.org/officeDocument/2006/relationships/image" Target="media/image425.png"/><Relationship Id="rId496" Type="http://schemas.openxmlformats.org/officeDocument/2006/relationships/image" Target="media/image426.png"/><Relationship Id="rId497" Type="http://schemas.openxmlformats.org/officeDocument/2006/relationships/image" Target="media/image427.png"/><Relationship Id="rId498" Type="http://schemas.openxmlformats.org/officeDocument/2006/relationships/image" Target="media/image428.png"/><Relationship Id="rId499" Type="http://schemas.openxmlformats.org/officeDocument/2006/relationships/image" Target="media/image429.png"/><Relationship Id="rId500" Type="http://schemas.openxmlformats.org/officeDocument/2006/relationships/image" Target="media/image430.png"/><Relationship Id="rId501" Type="http://schemas.openxmlformats.org/officeDocument/2006/relationships/image" Target="media/image431.png"/><Relationship Id="rId502" Type="http://schemas.openxmlformats.org/officeDocument/2006/relationships/image" Target="media/image432.png"/><Relationship Id="rId503" Type="http://schemas.openxmlformats.org/officeDocument/2006/relationships/image" Target="media/image433.png"/><Relationship Id="rId504" Type="http://schemas.openxmlformats.org/officeDocument/2006/relationships/image" Target="media/image434.png"/><Relationship Id="rId505" Type="http://schemas.openxmlformats.org/officeDocument/2006/relationships/image" Target="media/image435.png"/><Relationship Id="rId506" Type="http://schemas.openxmlformats.org/officeDocument/2006/relationships/image" Target="media/image436.png"/><Relationship Id="rId507" Type="http://schemas.openxmlformats.org/officeDocument/2006/relationships/image" Target="media/image437.png"/><Relationship Id="rId508" Type="http://schemas.openxmlformats.org/officeDocument/2006/relationships/image" Target="media/image438.png"/><Relationship Id="rId509" Type="http://schemas.openxmlformats.org/officeDocument/2006/relationships/image" Target="media/image439.png"/><Relationship Id="rId510" Type="http://schemas.openxmlformats.org/officeDocument/2006/relationships/image" Target="media/image440.png"/><Relationship Id="rId511" Type="http://schemas.openxmlformats.org/officeDocument/2006/relationships/image" Target="media/image441.png"/><Relationship Id="rId512" Type="http://schemas.openxmlformats.org/officeDocument/2006/relationships/image" Target="media/image442.png"/><Relationship Id="rId513" Type="http://schemas.openxmlformats.org/officeDocument/2006/relationships/image" Target="media/image443.png"/><Relationship Id="rId514" Type="http://schemas.openxmlformats.org/officeDocument/2006/relationships/image" Target="media/image444.png"/><Relationship Id="rId515" Type="http://schemas.openxmlformats.org/officeDocument/2006/relationships/image" Target="media/image445.png"/><Relationship Id="rId516" Type="http://schemas.openxmlformats.org/officeDocument/2006/relationships/image" Target="media/image446.png"/><Relationship Id="rId517" Type="http://schemas.openxmlformats.org/officeDocument/2006/relationships/image" Target="media/image447.png"/><Relationship Id="rId518" Type="http://schemas.openxmlformats.org/officeDocument/2006/relationships/image" Target="media/image448.png"/><Relationship Id="rId519" Type="http://schemas.openxmlformats.org/officeDocument/2006/relationships/image" Target="media/image449.png"/><Relationship Id="rId520" Type="http://schemas.openxmlformats.org/officeDocument/2006/relationships/image" Target="media/image450.png"/><Relationship Id="rId521" Type="http://schemas.openxmlformats.org/officeDocument/2006/relationships/image" Target="media/image451.png"/><Relationship Id="rId522" Type="http://schemas.openxmlformats.org/officeDocument/2006/relationships/image" Target="media/image452.png"/><Relationship Id="rId523" Type="http://schemas.openxmlformats.org/officeDocument/2006/relationships/image" Target="media/image453.png"/><Relationship Id="rId524" Type="http://schemas.openxmlformats.org/officeDocument/2006/relationships/image" Target="media/image454.png"/><Relationship Id="rId525" Type="http://schemas.openxmlformats.org/officeDocument/2006/relationships/image" Target="media/image455.png"/><Relationship Id="rId526" Type="http://schemas.openxmlformats.org/officeDocument/2006/relationships/image" Target="media/image456.png"/><Relationship Id="rId527" Type="http://schemas.openxmlformats.org/officeDocument/2006/relationships/image" Target="media/image457.png"/><Relationship Id="rId528" Type="http://schemas.openxmlformats.org/officeDocument/2006/relationships/image" Target="media/image458.png"/><Relationship Id="rId529" Type="http://schemas.openxmlformats.org/officeDocument/2006/relationships/image" Target="media/image459.png"/><Relationship Id="rId530" Type="http://schemas.openxmlformats.org/officeDocument/2006/relationships/image" Target="media/image460.png"/><Relationship Id="rId531" Type="http://schemas.openxmlformats.org/officeDocument/2006/relationships/image" Target="media/image461.png"/><Relationship Id="rId532" Type="http://schemas.openxmlformats.org/officeDocument/2006/relationships/image" Target="media/image462.png"/><Relationship Id="rId533" Type="http://schemas.openxmlformats.org/officeDocument/2006/relationships/image" Target="media/image463.png"/><Relationship Id="rId534" Type="http://schemas.openxmlformats.org/officeDocument/2006/relationships/image" Target="media/image464.png"/><Relationship Id="rId535" Type="http://schemas.openxmlformats.org/officeDocument/2006/relationships/image" Target="media/image465.png"/><Relationship Id="rId536" Type="http://schemas.openxmlformats.org/officeDocument/2006/relationships/image" Target="media/image466.png"/><Relationship Id="rId537" Type="http://schemas.openxmlformats.org/officeDocument/2006/relationships/image" Target="media/image467.png"/><Relationship Id="rId538" Type="http://schemas.openxmlformats.org/officeDocument/2006/relationships/image" Target="media/image468.png"/><Relationship Id="rId539" Type="http://schemas.openxmlformats.org/officeDocument/2006/relationships/image" Target="media/image469.png"/><Relationship Id="rId540" Type="http://schemas.openxmlformats.org/officeDocument/2006/relationships/image" Target="media/image470.png"/><Relationship Id="rId541" Type="http://schemas.openxmlformats.org/officeDocument/2006/relationships/image" Target="media/image471.png"/><Relationship Id="rId542" Type="http://schemas.openxmlformats.org/officeDocument/2006/relationships/image" Target="media/image472.png"/><Relationship Id="rId543" Type="http://schemas.openxmlformats.org/officeDocument/2006/relationships/image" Target="media/image473.png"/><Relationship Id="rId544" Type="http://schemas.openxmlformats.org/officeDocument/2006/relationships/image" Target="media/image474.png"/><Relationship Id="rId545" Type="http://schemas.openxmlformats.org/officeDocument/2006/relationships/image" Target="media/image475.png"/><Relationship Id="rId546" Type="http://schemas.openxmlformats.org/officeDocument/2006/relationships/image" Target="media/image476.png"/><Relationship Id="rId547" Type="http://schemas.openxmlformats.org/officeDocument/2006/relationships/image" Target="media/image477.png"/><Relationship Id="rId548" Type="http://schemas.openxmlformats.org/officeDocument/2006/relationships/image" Target="media/image478.png"/><Relationship Id="rId549" Type="http://schemas.openxmlformats.org/officeDocument/2006/relationships/image" Target="media/image479.png"/><Relationship Id="rId550" Type="http://schemas.openxmlformats.org/officeDocument/2006/relationships/image" Target="media/image480.png"/><Relationship Id="rId551" Type="http://schemas.openxmlformats.org/officeDocument/2006/relationships/image" Target="media/image481.png"/><Relationship Id="rId552" Type="http://schemas.openxmlformats.org/officeDocument/2006/relationships/image" Target="media/image482.png"/><Relationship Id="rId553" Type="http://schemas.openxmlformats.org/officeDocument/2006/relationships/image" Target="media/image483.png"/><Relationship Id="rId554" Type="http://schemas.openxmlformats.org/officeDocument/2006/relationships/image" Target="media/image484.png"/><Relationship Id="rId555" Type="http://schemas.openxmlformats.org/officeDocument/2006/relationships/image" Target="media/image485.png"/><Relationship Id="rId556" Type="http://schemas.openxmlformats.org/officeDocument/2006/relationships/image" Target="media/image486.png"/><Relationship Id="rId557" Type="http://schemas.openxmlformats.org/officeDocument/2006/relationships/image" Target="media/image487.png"/><Relationship Id="rId558" Type="http://schemas.openxmlformats.org/officeDocument/2006/relationships/image" Target="media/image488.png"/><Relationship Id="rId559" Type="http://schemas.openxmlformats.org/officeDocument/2006/relationships/image" Target="media/image489.png"/><Relationship Id="rId560" Type="http://schemas.openxmlformats.org/officeDocument/2006/relationships/image" Target="media/image490.png"/><Relationship Id="rId561" Type="http://schemas.openxmlformats.org/officeDocument/2006/relationships/image" Target="media/image491.png"/><Relationship Id="rId562" Type="http://schemas.openxmlformats.org/officeDocument/2006/relationships/image" Target="media/image492.png"/><Relationship Id="rId563" Type="http://schemas.openxmlformats.org/officeDocument/2006/relationships/image" Target="media/image493.png"/><Relationship Id="rId564" Type="http://schemas.openxmlformats.org/officeDocument/2006/relationships/image" Target="media/image494.png"/><Relationship Id="rId565" Type="http://schemas.openxmlformats.org/officeDocument/2006/relationships/image" Target="media/image495.png"/><Relationship Id="rId566" Type="http://schemas.openxmlformats.org/officeDocument/2006/relationships/image" Target="media/image496.png"/><Relationship Id="rId567" Type="http://schemas.openxmlformats.org/officeDocument/2006/relationships/image" Target="media/image497.png"/><Relationship Id="rId568" Type="http://schemas.openxmlformats.org/officeDocument/2006/relationships/image" Target="media/image498.png"/><Relationship Id="rId569" Type="http://schemas.openxmlformats.org/officeDocument/2006/relationships/image" Target="media/image499.png"/><Relationship Id="rId570" Type="http://schemas.openxmlformats.org/officeDocument/2006/relationships/image" Target="media/image500.png"/><Relationship Id="rId571" Type="http://schemas.openxmlformats.org/officeDocument/2006/relationships/image" Target="media/image501.png"/><Relationship Id="rId572" Type="http://schemas.openxmlformats.org/officeDocument/2006/relationships/image" Target="media/image502.png"/><Relationship Id="rId573" Type="http://schemas.openxmlformats.org/officeDocument/2006/relationships/image" Target="media/image503.png"/><Relationship Id="rId574" Type="http://schemas.openxmlformats.org/officeDocument/2006/relationships/image" Target="media/image504.png"/><Relationship Id="rId575" Type="http://schemas.openxmlformats.org/officeDocument/2006/relationships/image" Target="media/image505.png"/><Relationship Id="rId576" Type="http://schemas.openxmlformats.org/officeDocument/2006/relationships/image" Target="media/image506.png"/><Relationship Id="rId577" Type="http://schemas.openxmlformats.org/officeDocument/2006/relationships/image" Target="media/image507.png"/><Relationship Id="rId578" Type="http://schemas.openxmlformats.org/officeDocument/2006/relationships/image" Target="media/image508.png"/><Relationship Id="rId579" Type="http://schemas.openxmlformats.org/officeDocument/2006/relationships/image" Target="media/image509.png"/><Relationship Id="rId580" Type="http://schemas.openxmlformats.org/officeDocument/2006/relationships/image" Target="media/image510.png"/><Relationship Id="rId581" Type="http://schemas.openxmlformats.org/officeDocument/2006/relationships/image" Target="media/image511.png"/><Relationship Id="rId582" Type="http://schemas.openxmlformats.org/officeDocument/2006/relationships/image" Target="media/image512.png"/><Relationship Id="rId583" Type="http://schemas.openxmlformats.org/officeDocument/2006/relationships/image" Target="media/image513.png"/><Relationship Id="rId584" Type="http://schemas.openxmlformats.org/officeDocument/2006/relationships/image" Target="media/image514.png"/><Relationship Id="rId585" Type="http://schemas.openxmlformats.org/officeDocument/2006/relationships/image" Target="media/image515.png"/><Relationship Id="rId586" Type="http://schemas.openxmlformats.org/officeDocument/2006/relationships/image" Target="media/image516.png"/><Relationship Id="rId587" Type="http://schemas.openxmlformats.org/officeDocument/2006/relationships/image" Target="media/image517.png"/><Relationship Id="rId588" Type="http://schemas.openxmlformats.org/officeDocument/2006/relationships/image" Target="media/image518.png"/><Relationship Id="rId589" Type="http://schemas.openxmlformats.org/officeDocument/2006/relationships/image" Target="media/image519.png"/><Relationship Id="rId590" Type="http://schemas.openxmlformats.org/officeDocument/2006/relationships/image" Target="media/image520.png"/><Relationship Id="rId591" Type="http://schemas.openxmlformats.org/officeDocument/2006/relationships/image" Target="media/image521.png"/><Relationship Id="rId592" Type="http://schemas.openxmlformats.org/officeDocument/2006/relationships/image" Target="media/image522.png"/><Relationship Id="rId593" Type="http://schemas.openxmlformats.org/officeDocument/2006/relationships/image" Target="media/image523.png"/><Relationship Id="rId594" Type="http://schemas.openxmlformats.org/officeDocument/2006/relationships/image" Target="media/image524.png"/><Relationship Id="rId595" Type="http://schemas.openxmlformats.org/officeDocument/2006/relationships/image" Target="media/image525.png"/><Relationship Id="rId596" Type="http://schemas.openxmlformats.org/officeDocument/2006/relationships/image" Target="media/image526.png"/><Relationship Id="rId597" Type="http://schemas.openxmlformats.org/officeDocument/2006/relationships/image" Target="media/image527.png"/><Relationship Id="rId598" Type="http://schemas.openxmlformats.org/officeDocument/2006/relationships/image" Target="media/image528.png"/><Relationship Id="rId599" Type="http://schemas.openxmlformats.org/officeDocument/2006/relationships/image" Target="media/image529.png"/><Relationship Id="rId600" Type="http://schemas.openxmlformats.org/officeDocument/2006/relationships/image" Target="media/image530.png"/><Relationship Id="rId601" Type="http://schemas.openxmlformats.org/officeDocument/2006/relationships/image" Target="media/image531.png"/><Relationship Id="rId602" Type="http://schemas.openxmlformats.org/officeDocument/2006/relationships/image" Target="media/image532.png"/><Relationship Id="rId603" Type="http://schemas.openxmlformats.org/officeDocument/2006/relationships/image" Target="media/image533.png"/><Relationship Id="rId604" Type="http://schemas.openxmlformats.org/officeDocument/2006/relationships/image" Target="media/image534.png"/><Relationship Id="rId605" Type="http://schemas.openxmlformats.org/officeDocument/2006/relationships/image" Target="media/image535.png"/><Relationship Id="rId606" Type="http://schemas.openxmlformats.org/officeDocument/2006/relationships/image" Target="media/image536.png"/><Relationship Id="rId607" Type="http://schemas.openxmlformats.org/officeDocument/2006/relationships/image" Target="media/image537.png"/><Relationship Id="rId608" Type="http://schemas.openxmlformats.org/officeDocument/2006/relationships/image" Target="media/image538.png"/><Relationship Id="rId609" Type="http://schemas.openxmlformats.org/officeDocument/2006/relationships/image" Target="media/image539.png"/><Relationship Id="rId610" Type="http://schemas.openxmlformats.org/officeDocument/2006/relationships/image" Target="media/image540.png"/><Relationship Id="rId611" Type="http://schemas.openxmlformats.org/officeDocument/2006/relationships/image" Target="media/image541.png"/><Relationship Id="rId612" Type="http://schemas.openxmlformats.org/officeDocument/2006/relationships/image" Target="media/image542.png"/><Relationship Id="rId613" Type="http://schemas.openxmlformats.org/officeDocument/2006/relationships/image" Target="media/image543.png"/><Relationship Id="rId614" Type="http://schemas.openxmlformats.org/officeDocument/2006/relationships/image" Target="media/image544.png"/><Relationship Id="rId615" Type="http://schemas.openxmlformats.org/officeDocument/2006/relationships/image" Target="media/image545.png"/><Relationship Id="rId616" Type="http://schemas.openxmlformats.org/officeDocument/2006/relationships/image" Target="media/image546.png"/><Relationship Id="rId617" Type="http://schemas.openxmlformats.org/officeDocument/2006/relationships/image" Target="media/image547.png"/><Relationship Id="rId618" Type="http://schemas.openxmlformats.org/officeDocument/2006/relationships/image" Target="media/image548.png"/><Relationship Id="rId619" Type="http://schemas.openxmlformats.org/officeDocument/2006/relationships/image" Target="media/image549.png"/><Relationship Id="rId620" Type="http://schemas.openxmlformats.org/officeDocument/2006/relationships/image" Target="media/image550.png"/><Relationship Id="rId621" Type="http://schemas.openxmlformats.org/officeDocument/2006/relationships/image" Target="media/image551.png"/><Relationship Id="rId622" Type="http://schemas.openxmlformats.org/officeDocument/2006/relationships/image" Target="media/image552.png"/><Relationship Id="rId623" Type="http://schemas.openxmlformats.org/officeDocument/2006/relationships/image" Target="media/image553.png"/><Relationship Id="rId624" Type="http://schemas.openxmlformats.org/officeDocument/2006/relationships/image" Target="media/image554.png"/><Relationship Id="rId625" Type="http://schemas.openxmlformats.org/officeDocument/2006/relationships/image" Target="media/image555.png"/><Relationship Id="rId626" Type="http://schemas.openxmlformats.org/officeDocument/2006/relationships/image" Target="media/image556.png"/><Relationship Id="rId627" Type="http://schemas.openxmlformats.org/officeDocument/2006/relationships/image" Target="media/image557.png"/><Relationship Id="rId628" Type="http://schemas.openxmlformats.org/officeDocument/2006/relationships/image" Target="media/image558.png"/><Relationship Id="rId629" Type="http://schemas.openxmlformats.org/officeDocument/2006/relationships/image" Target="media/image559.png"/><Relationship Id="rId630" Type="http://schemas.openxmlformats.org/officeDocument/2006/relationships/image" Target="media/image560.png"/><Relationship Id="rId631" Type="http://schemas.openxmlformats.org/officeDocument/2006/relationships/image" Target="media/image561.png"/><Relationship Id="rId632" Type="http://schemas.openxmlformats.org/officeDocument/2006/relationships/image" Target="media/image562.png"/><Relationship Id="rId633" Type="http://schemas.openxmlformats.org/officeDocument/2006/relationships/image" Target="media/image563.png"/><Relationship Id="rId634" Type="http://schemas.openxmlformats.org/officeDocument/2006/relationships/image" Target="media/image564.png"/><Relationship Id="rId635" Type="http://schemas.openxmlformats.org/officeDocument/2006/relationships/image" Target="media/image565.png"/><Relationship Id="rId636" Type="http://schemas.openxmlformats.org/officeDocument/2006/relationships/image" Target="media/image566.png"/><Relationship Id="rId637" Type="http://schemas.openxmlformats.org/officeDocument/2006/relationships/image" Target="media/image567.png"/><Relationship Id="rId638" Type="http://schemas.openxmlformats.org/officeDocument/2006/relationships/image" Target="media/image568.png"/><Relationship Id="rId639" Type="http://schemas.openxmlformats.org/officeDocument/2006/relationships/image" Target="media/image569.png"/><Relationship Id="rId640" Type="http://schemas.openxmlformats.org/officeDocument/2006/relationships/image" Target="media/image570.png"/><Relationship Id="rId641" Type="http://schemas.openxmlformats.org/officeDocument/2006/relationships/image" Target="media/image571.png"/><Relationship Id="rId642" Type="http://schemas.openxmlformats.org/officeDocument/2006/relationships/image" Target="media/image572.png"/><Relationship Id="rId643" Type="http://schemas.openxmlformats.org/officeDocument/2006/relationships/image" Target="media/image573.png"/><Relationship Id="rId644" Type="http://schemas.openxmlformats.org/officeDocument/2006/relationships/image" Target="media/image574.png"/><Relationship Id="rId645" Type="http://schemas.openxmlformats.org/officeDocument/2006/relationships/image" Target="media/image575.png"/><Relationship Id="rId646" Type="http://schemas.openxmlformats.org/officeDocument/2006/relationships/image" Target="media/image576.png"/><Relationship Id="rId647" Type="http://schemas.openxmlformats.org/officeDocument/2006/relationships/image" Target="media/image577.png"/><Relationship Id="rId648" Type="http://schemas.openxmlformats.org/officeDocument/2006/relationships/image" Target="media/image578.png"/><Relationship Id="rId649" Type="http://schemas.openxmlformats.org/officeDocument/2006/relationships/image" Target="media/image579.png"/><Relationship Id="rId650" Type="http://schemas.openxmlformats.org/officeDocument/2006/relationships/image" Target="media/image580.png"/><Relationship Id="rId651" Type="http://schemas.openxmlformats.org/officeDocument/2006/relationships/image" Target="media/image581.png"/><Relationship Id="rId652" Type="http://schemas.openxmlformats.org/officeDocument/2006/relationships/image" Target="media/image582.png"/><Relationship Id="rId653" Type="http://schemas.openxmlformats.org/officeDocument/2006/relationships/image" Target="media/image583.png"/><Relationship Id="rId654" Type="http://schemas.openxmlformats.org/officeDocument/2006/relationships/image" Target="media/image584.png"/><Relationship Id="rId655" Type="http://schemas.openxmlformats.org/officeDocument/2006/relationships/image" Target="media/image585.png"/><Relationship Id="rId656" Type="http://schemas.openxmlformats.org/officeDocument/2006/relationships/image" Target="media/image586.png"/><Relationship Id="rId657" Type="http://schemas.openxmlformats.org/officeDocument/2006/relationships/image" Target="media/image587.png"/><Relationship Id="rId658" Type="http://schemas.openxmlformats.org/officeDocument/2006/relationships/image" Target="media/image588.png"/><Relationship Id="rId659" Type="http://schemas.openxmlformats.org/officeDocument/2006/relationships/image" Target="media/image589.png"/><Relationship Id="rId660" Type="http://schemas.openxmlformats.org/officeDocument/2006/relationships/image" Target="media/image590.png"/><Relationship Id="rId661" Type="http://schemas.openxmlformats.org/officeDocument/2006/relationships/image" Target="media/image591.png"/><Relationship Id="rId662" Type="http://schemas.openxmlformats.org/officeDocument/2006/relationships/image" Target="media/image592.png"/><Relationship Id="rId663" Type="http://schemas.openxmlformats.org/officeDocument/2006/relationships/image" Target="media/image593.png"/><Relationship Id="rId664" Type="http://schemas.openxmlformats.org/officeDocument/2006/relationships/image" Target="media/image594.png"/><Relationship Id="rId665" Type="http://schemas.openxmlformats.org/officeDocument/2006/relationships/image" Target="media/image595.png"/><Relationship Id="rId666" Type="http://schemas.openxmlformats.org/officeDocument/2006/relationships/image" Target="media/image596.png"/><Relationship Id="rId667" Type="http://schemas.openxmlformats.org/officeDocument/2006/relationships/image" Target="media/image597.png"/><Relationship Id="rId668" Type="http://schemas.openxmlformats.org/officeDocument/2006/relationships/image" Target="media/image598.png"/><Relationship Id="rId669" Type="http://schemas.openxmlformats.org/officeDocument/2006/relationships/image" Target="media/image599.png"/><Relationship Id="rId670" Type="http://schemas.openxmlformats.org/officeDocument/2006/relationships/image" Target="media/image600.png"/><Relationship Id="rId671" Type="http://schemas.openxmlformats.org/officeDocument/2006/relationships/image" Target="media/image601.png"/><Relationship Id="rId672" Type="http://schemas.openxmlformats.org/officeDocument/2006/relationships/image" Target="media/image602.png"/><Relationship Id="rId673" Type="http://schemas.openxmlformats.org/officeDocument/2006/relationships/image" Target="media/image603.png"/><Relationship Id="rId674" Type="http://schemas.openxmlformats.org/officeDocument/2006/relationships/image" Target="media/image604.png"/><Relationship Id="rId675" Type="http://schemas.openxmlformats.org/officeDocument/2006/relationships/image" Target="media/image605.png"/><Relationship Id="rId676" Type="http://schemas.openxmlformats.org/officeDocument/2006/relationships/image" Target="media/image606.png"/><Relationship Id="rId677" Type="http://schemas.openxmlformats.org/officeDocument/2006/relationships/image" Target="media/image607.png"/><Relationship Id="rId678" Type="http://schemas.openxmlformats.org/officeDocument/2006/relationships/image" Target="media/image608.png"/><Relationship Id="rId679" Type="http://schemas.openxmlformats.org/officeDocument/2006/relationships/image" Target="media/image609.png"/><Relationship Id="rId680" Type="http://schemas.openxmlformats.org/officeDocument/2006/relationships/image" Target="media/image610.png"/><Relationship Id="rId681" Type="http://schemas.openxmlformats.org/officeDocument/2006/relationships/image" Target="media/image611.png"/><Relationship Id="rId682" Type="http://schemas.openxmlformats.org/officeDocument/2006/relationships/image" Target="media/image612.png"/><Relationship Id="rId683" Type="http://schemas.openxmlformats.org/officeDocument/2006/relationships/image" Target="media/image613.png"/><Relationship Id="rId684" Type="http://schemas.openxmlformats.org/officeDocument/2006/relationships/image" Target="media/image614.png"/><Relationship Id="rId685" Type="http://schemas.openxmlformats.org/officeDocument/2006/relationships/image" Target="media/image615.png"/><Relationship Id="rId686" Type="http://schemas.openxmlformats.org/officeDocument/2006/relationships/image" Target="media/image616.png"/><Relationship Id="rId687" Type="http://schemas.openxmlformats.org/officeDocument/2006/relationships/image" Target="media/image617.png"/><Relationship Id="rId688" Type="http://schemas.openxmlformats.org/officeDocument/2006/relationships/image" Target="media/image618.png"/><Relationship Id="rId689" Type="http://schemas.openxmlformats.org/officeDocument/2006/relationships/image" Target="media/image619.png"/><Relationship Id="rId690" Type="http://schemas.openxmlformats.org/officeDocument/2006/relationships/image" Target="media/image620.png"/><Relationship Id="rId691" Type="http://schemas.openxmlformats.org/officeDocument/2006/relationships/image" Target="media/image621.png"/><Relationship Id="rId692" Type="http://schemas.openxmlformats.org/officeDocument/2006/relationships/image" Target="media/image622.png"/><Relationship Id="rId693" Type="http://schemas.openxmlformats.org/officeDocument/2006/relationships/image" Target="media/image623.png"/><Relationship Id="rId694" Type="http://schemas.openxmlformats.org/officeDocument/2006/relationships/image" Target="media/image624.png"/><Relationship Id="rId695" Type="http://schemas.openxmlformats.org/officeDocument/2006/relationships/image" Target="media/image625.png"/><Relationship Id="rId696" Type="http://schemas.openxmlformats.org/officeDocument/2006/relationships/image" Target="media/image626.png"/><Relationship Id="rId697" Type="http://schemas.openxmlformats.org/officeDocument/2006/relationships/image" Target="media/image627.png"/><Relationship Id="rId698" Type="http://schemas.openxmlformats.org/officeDocument/2006/relationships/image" Target="media/image628.png"/><Relationship Id="rId699" Type="http://schemas.openxmlformats.org/officeDocument/2006/relationships/image" Target="media/image629.png"/><Relationship Id="rId700" Type="http://schemas.openxmlformats.org/officeDocument/2006/relationships/image" Target="media/image630.png"/><Relationship Id="rId701" Type="http://schemas.openxmlformats.org/officeDocument/2006/relationships/image" Target="media/image631.png"/><Relationship Id="rId702" Type="http://schemas.openxmlformats.org/officeDocument/2006/relationships/image" Target="media/image632.png"/><Relationship Id="rId703" Type="http://schemas.openxmlformats.org/officeDocument/2006/relationships/image" Target="media/image633.png"/><Relationship Id="rId704" Type="http://schemas.openxmlformats.org/officeDocument/2006/relationships/image" Target="media/image634.png"/><Relationship Id="rId705" Type="http://schemas.openxmlformats.org/officeDocument/2006/relationships/image" Target="media/image635.png"/><Relationship Id="rId706" Type="http://schemas.openxmlformats.org/officeDocument/2006/relationships/image" Target="media/image636.png"/><Relationship Id="rId707" Type="http://schemas.openxmlformats.org/officeDocument/2006/relationships/image" Target="media/image637.png"/><Relationship Id="rId708" Type="http://schemas.openxmlformats.org/officeDocument/2006/relationships/image" Target="media/image638.png"/><Relationship Id="rId709" Type="http://schemas.openxmlformats.org/officeDocument/2006/relationships/image" Target="media/image639.png"/><Relationship Id="rId710" Type="http://schemas.openxmlformats.org/officeDocument/2006/relationships/image" Target="media/image640.png"/><Relationship Id="rId711" Type="http://schemas.openxmlformats.org/officeDocument/2006/relationships/image" Target="media/image641.png"/><Relationship Id="rId712" Type="http://schemas.openxmlformats.org/officeDocument/2006/relationships/image" Target="media/image642.png"/><Relationship Id="rId713" Type="http://schemas.openxmlformats.org/officeDocument/2006/relationships/image" Target="media/image643.png"/><Relationship Id="rId714" Type="http://schemas.openxmlformats.org/officeDocument/2006/relationships/image" Target="media/image644.png"/><Relationship Id="rId715" Type="http://schemas.openxmlformats.org/officeDocument/2006/relationships/image" Target="media/image645.png"/><Relationship Id="rId716" Type="http://schemas.openxmlformats.org/officeDocument/2006/relationships/image" Target="media/image646.png"/><Relationship Id="rId717" Type="http://schemas.openxmlformats.org/officeDocument/2006/relationships/image" Target="media/image647.png"/><Relationship Id="rId718" Type="http://schemas.openxmlformats.org/officeDocument/2006/relationships/image" Target="media/image648.png"/><Relationship Id="rId719" Type="http://schemas.openxmlformats.org/officeDocument/2006/relationships/image" Target="media/image649.png"/><Relationship Id="rId720" Type="http://schemas.openxmlformats.org/officeDocument/2006/relationships/image" Target="media/image650.png"/><Relationship Id="rId721" Type="http://schemas.openxmlformats.org/officeDocument/2006/relationships/image" Target="media/image651.png"/><Relationship Id="rId722" Type="http://schemas.openxmlformats.org/officeDocument/2006/relationships/image" Target="media/image652.png"/><Relationship Id="rId723" Type="http://schemas.openxmlformats.org/officeDocument/2006/relationships/image" Target="media/image653.png"/><Relationship Id="rId724" Type="http://schemas.openxmlformats.org/officeDocument/2006/relationships/image" Target="media/image654.png"/><Relationship Id="rId725" Type="http://schemas.openxmlformats.org/officeDocument/2006/relationships/image" Target="media/image655.png"/><Relationship Id="rId726" Type="http://schemas.openxmlformats.org/officeDocument/2006/relationships/image" Target="media/image656.png"/><Relationship Id="rId727" Type="http://schemas.openxmlformats.org/officeDocument/2006/relationships/image" Target="media/image657.png"/><Relationship Id="rId728" Type="http://schemas.openxmlformats.org/officeDocument/2006/relationships/image" Target="media/image658.png"/><Relationship Id="rId729" Type="http://schemas.openxmlformats.org/officeDocument/2006/relationships/image" Target="media/image659.png"/><Relationship Id="rId730" Type="http://schemas.openxmlformats.org/officeDocument/2006/relationships/image" Target="media/image660.png"/><Relationship Id="rId731" Type="http://schemas.openxmlformats.org/officeDocument/2006/relationships/image" Target="media/image661.png"/><Relationship Id="rId732" Type="http://schemas.openxmlformats.org/officeDocument/2006/relationships/image" Target="media/image662.png"/><Relationship Id="rId733" Type="http://schemas.openxmlformats.org/officeDocument/2006/relationships/image" Target="media/image663.png"/><Relationship Id="rId734" Type="http://schemas.openxmlformats.org/officeDocument/2006/relationships/image" Target="media/image664.png"/><Relationship Id="rId735" Type="http://schemas.openxmlformats.org/officeDocument/2006/relationships/image" Target="media/image665.png"/><Relationship Id="rId736" Type="http://schemas.openxmlformats.org/officeDocument/2006/relationships/image" Target="media/image666.png"/><Relationship Id="rId737" Type="http://schemas.openxmlformats.org/officeDocument/2006/relationships/image" Target="media/image667.png"/><Relationship Id="rId738" Type="http://schemas.openxmlformats.org/officeDocument/2006/relationships/image" Target="media/image668.png"/><Relationship Id="rId739" Type="http://schemas.openxmlformats.org/officeDocument/2006/relationships/image" Target="media/image669.png"/><Relationship Id="rId740" Type="http://schemas.openxmlformats.org/officeDocument/2006/relationships/image" Target="media/image670.png"/><Relationship Id="rId741" Type="http://schemas.openxmlformats.org/officeDocument/2006/relationships/image" Target="media/image671.png"/><Relationship Id="rId742" Type="http://schemas.openxmlformats.org/officeDocument/2006/relationships/image" Target="media/image672.png"/><Relationship Id="rId743" Type="http://schemas.openxmlformats.org/officeDocument/2006/relationships/image" Target="media/image673.png"/><Relationship Id="rId744" Type="http://schemas.openxmlformats.org/officeDocument/2006/relationships/image" Target="media/image674.png"/><Relationship Id="rId745" Type="http://schemas.openxmlformats.org/officeDocument/2006/relationships/image" Target="media/image675.png"/><Relationship Id="rId746" Type="http://schemas.openxmlformats.org/officeDocument/2006/relationships/image" Target="media/image676.png"/><Relationship Id="rId747" Type="http://schemas.openxmlformats.org/officeDocument/2006/relationships/image" Target="media/image677.png"/><Relationship Id="rId748" Type="http://schemas.openxmlformats.org/officeDocument/2006/relationships/image" Target="media/image678.png"/><Relationship Id="rId749" Type="http://schemas.openxmlformats.org/officeDocument/2006/relationships/image" Target="media/image679.png"/><Relationship Id="rId750" Type="http://schemas.openxmlformats.org/officeDocument/2006/relationships/image" Target="media/image680.png"/><Relationship Id="rId751" Type="http://schemas.openxmlformats.org/officeDocument/2006/relationships/image" Target="media/image681.png"/><Relationship Id="rId752" Type="http://schemas.openxmlformats.org/officeDocument/2006/relationships/image" Target="media/image682.png"/><Relationship Id="rId753" Type="http://schemas.openxmlformats.org/officeDocument/2006/relationships/image" Target="media/image683.png"/><Relationship Id="rId754" Type="http://schemas.openxmlformats.org/officeDocument/2006/relationships/image" Target="media/image684.png"/><Relationship Id="rId755" Type="http://schemas.openxmlformats.org/officeDocument/2006/relationships/image" Target="media/image685.png"/><Relationship Id="rId756" Type="http://schemas.openxmlformats.org/officeDocument/2006/relationships/image" Target="media/image686.png"/><Relationship Id="rId757" Type="http://schemas.openxmlformats.org/officeDocument/2006/relationships/image" Target="media/image687.png"/><Relationship Id="rId758" Type="http://schemas.openxmlformats.org/officeDocument/2006/relationships/image" Target="media/image688.png"/><Relationship Id="rId759" Type="http://schemas.openxmlformats.org/officeDocument/2006/relationships/image" Target="media/image689.png"/><Relationship Id="rId760" Type="http://schemas.openxmlformats.org/officeDocument/2006/relationships/image" Target="media/image690.png"/><Relationship Id="rId761" Type="http://schemas.openxmlformats.org/officeDocument/2006/relationships/image" Target="media/image691.png"/><Relationship Id="rId762" Type="http://schemas.openxmlformats.org/officeDocument/2006/relationships/image" Target="media/image692.png"/><Relationship Id="rId763" Type="http://schemas.openxmlformats.org/officeDocument/2006/relationships/image" Target="media/image693.png"/><Relationship Id="rId764" Type="http://schemas.openxmlformats.org/officeDocument/2006/relationships/image" Target="media/image694.png"/><Relationship Id="rId765" Type="http://schemas.openxmlformats.org/officeDocument/2006/relationships/image" Target="media/image695.png"/><Relationship Id="rId766" Type="http://schemas.openxmlformats.org/officeDocument/2006/relationships/image" Target="media/image696.png"/><Relationship Id="rId767" Type="http://schemas.openxmlformats.org/officeDocument/2006/relationships/image" Target="media/image697.png"/><Relationship Id="rId768" Type="http://schemas.openxmlformats.org/officeDocument/2006/relationships/image" Target="media/image698.png"/><Relationship Id="rId769" Type="http://schemas.openxmlformats.org/officeDocument/2006/relationships/image" Target="media/image699.png"/><Relationship Id="rId770" Type="http://schemas.openxmlformats.org/officeDocument/2006/relationships/image" Target="media/image700.png"/><Relationship Id="rId771" Type="http://schemas.openxmlformats.org/officeDocument/2006/relationships/image" Target="media/image701.png"/><Relationship Id="rId772" Type="http://schemas.openxmlformats.org/officeDocument/2006/relationships/image" Target="media/image702.png"/><Relationship Id="rId773" Type="http://schemas.openxmlformats.org/officeDocument/2006/relationships/image" Target="media/image703.png"/><Relationship Id="rId774" Type="http://schemas.openxmlformats.org/officeDocument/2006/relationships/image" Target="media/image704.png"/><Relationship Id="rId775" Type="http://schemas.openxmlformats.org/officeDocument/2006/relationships/image" Target="media/image705.png"/><Relationship Id="rId776" Type="http://schemas.openxmlformats.org/officeDocument/2006/relationships/image" Target="media/image706.png"/><Relationship Id="rId777" Type="http://schemas.openxmlformats.org/officeDocument/2006/relationships/image" Target="media/image707.png"/><Relationship Id="rId778" Type="http://schemas.openxmlformats.org/officeDocument/2006/relationships/image" Target="media/image708.png"/><Relationship Id="rId779" Type="http://schemas.openxmlformats.org/officeDocument/2006/relationships/image" Target="media/image709.png"/><Relationship Id="rId780" Type="http://schemas.openxmlformats.org/officeDocument/2006/relationships/image" Target="media/image710.png"/><Relationship Id="rId781" Type="http://schemas.openxmlformats.org/officeDocument/2006/relationships/image" Target="media/image711.png"/><Relationship Id="rId782" Type="http://schemas.openxmlformats.org/officeDocument/2006/relationships/image" Target="media/image712.png"/><Relationship Id="rId783" Type="http://schemas.openxmlformats.org/officeDocument/2006/relationships/image" Target="media/image713.png"/><Relationship Id="rId784" Type="http://schemas.openxmlformats.org/officeDocument/2006/relationships/image" Target="media/image714.png"/><Relationship Id="rId785" Type="http://schemas.openxmlformats.org/officeDocument/2006/relationships/image" Target="media/image715.png"/><Relationship Id="rId786" Type="http://schemas.openxmlformats.org/officeDocument/2006/relationships/image" Target="media/image716.png"/><Relationship Id="rId787" Type="http://schemas.openxmlformats.org/officeDocument/2006/relationships/image" Target="media/image717.png"/><Relationship Id="rId788" Type="http://schemas.openxmlformats.org/officeDocument/2006/relationships/image" Target="media/image718.png"/><Relationship Id="rId789" Type="http://schemas.openxmlformats.org/officeDocument/2006/relationships/image" Target="media/image719.png"/><Relationship Id="rId790" Type="http://schemas.openxmlformats.org/officeDocument/2006/relationships/image" Target="media/image720.png"/><Relationship Id="rId791" Type="http://schemas.openxmlformats.org/officeDocument/2006/relationships/image" Target="media/image721.png"/><Relationship Id="rId792" Type="http://schemas.openxmlformats.org/officeDocument/2006/relationships/image" Target="media/image722.png"/><Relationship Id="rId793" Type="http://schemas.openxmlformats.org/officeDocument/2006/relationships/image" Target="media/image723.png"/><Relationship Id="rId794" Type="http://schemas.openxmlformats.org/officeDocument/2006/relationships/image" Target="media/image724.png"/><Relationship Id="rId795" Type="http://schemas.openxmlformats.org/officeDocument/2006/relationships/image" Target="media/image725.png"/><Relationship Id="rId796" Type="http://schemas.openxmlformats.org/officeDocument/2006/relationships/image" Target="media/image726.png"/><Relationship Id="rId797" Type="http://schemas.openxmlformats.org/officeDocument/2006/relationships/image" Target="media/image727.png"/><Relationship Id="rId798" Type="http://schemas.openxmlformats.org/officeDocument/2006/relationships/image" Target="media/image728.png"/><Relationship Id="rId799" Type="http://schemas.openxmlformats.org/officeDocument/2006/relationships/image" Target="media/image729.png"/><Relationship Id="rId800" Type="http://schemas.openxmlformats.org/officeDocument/2006/relationships/image" Target="media/image730.png"/><Relationship Id="rId801" Type="http://schemas.openxmlformats.org/officeDocument/2006/relationships/image" Target="media/image731.png"/><Relationship Id="rId802" Type="http://schemas.openxmlformats.org/officeDocument/2006/relationships/image" Target="media/image732.png"/><Relationship Id="rId803" Type="http://schemas.openxmlformats.org/officeDocument/2006/relationships/image" Target="media/image733.png"/><Relationship Id="rId804" Type="http://schemas.openxmlformats.org/officeDocument/2006/relationships/image" Target="media/image734.png"/><Relationship Id="rId805" Type="http://schemas.openxmlformats.org/officeDocument/2006/relationships/image" Target="media/image735.png"/><Relationship Id="rId806" Type="http://schemas.openxmlformats.org/officeDocument/2006/relationships/image" Target="media/image736.png"/><Relationship Id="rId807" Type="http://schemas.openxmlformats.org/officeDocument/2006/relationships/image" Target="media/image737.png"/><Relationship Id="rId808" Type="http://schemas.openxmlformats.org/officeDocument/2006/relationships/image" Target="media/image738.png"/><Relationship Id="rId809" Type="http://schemas.openxmlformats.org/officeDocument/2006/relationships/image" Target="media/image739.png"/><Relationship Id="rId810" Type="http://schemas.openxmlformats.org/officeDocument/2006/relationships/image" Target="media/image740.png"/><Relationship Id="rId811" Type="http://schemas.openxmlformats.org/officeDocument/2006/relationships/image" Target="media/image741.png"/><Relationship Id="rId812" Type="http://schemas.openxmlformats.org/officeDocument/2006/relationships/image" Target="media/image742.png"/><Relationship Id="rId813" Type="http://schemas.openxmlformats.org/officeDocument/2006/relationships/image" Target="media/image743.png"/><Relationship Id="rId814" Type="http://schemas.openxmlformats.org/officeDocument/2006/relationships/image" Target="media/image744.png"/><Relationship Id="rId815" Type="http://schemas.openxmlformats.org/officeDocument/2006/relationships/image" Target="media/image745.png"/><Relationship Id="rId816" Type="http://schemas.openxmlformats.org/officeDocument/2006/relationships/image" Target="media/image746.png"/><Relationship Id="rId817" Type="http://schemas.openxmlformats.org/officeDocument/2006/relationships/image" Target="media/image747.png"/><Relationship Id="rId818" Type="http://schemas.openxmlformats.org/officeDocument/2006/relationships/image" Target="media/image748.png"/><Relationship Id="rId819" Type="http://schemas.openxmlformats.org/officeDocument/2006/relationships/image" Target="media/image749.png"/><Relationship Id="rId820" Type="http://schemas.openxmlformats.org/officeDocument/2006/relationships/image" Target="media/image750.png"/><Relationship Id="rId821" Type="http://schemas.openxmlformats.org/officeDocument/2006/relationships/image" Target="media/image751.png"/><Relationship Id="rId822" Type="http://schemas.openxmlformats.org/officeDocument/2006/relationships/image" Target="media/image752.png"/><Relationship Id="rId823" Type="http://schemas.openxmlformats.org/officeDocument/2006/relationships/image" Target="media/image753.png"/><Relationship Id="rId824" Type="http://schemas.openxmlformats.org/officeDocument/2006/relationships/image" Target="media/image754.png"/><Relationship Id="rId825" Type="http://schemas.openxmlformats.org/officeDocument/2006/relationships/image" Target="media/image755.png"/><Relationship Id="rId826" Type="http://schemas.openxmlformats.org/officeDocument/2006/relationships/image" Target="media/image756.png"/><Relationship Id="rId827" Type="http://schemas.openxmlformats.org/officeDocument/2006/relationships/image" Target="media/image757.png"/><Relationship Id="rId828" Type="http://schemas.openxmlformats.org/officeDocument/2006/relationships/image" Target="media/image758.png"/><Relationship Id="rId829" Type="http://schemas.openxmlformats.org/officeDocument/2006/relationships/image" Target="media/image759.png"/><Relationship Id="rId830" Type="http://schemas.openxmlformats.org/officeDocument/2006/relationships/image" Target="media/image760.png"/><Relationship Id="rId831" Type="http://schemas.openxmlformats.org/officeDocument/2006/relationships/image" Target="media/image761.png"/><Relationship Id="rId832" Type="http://schemas.openxmlformats.org/officeDocument/2006/relationships/image" Target="media/image762.png"/><Relationship Id="rId833" Type="http://schemas.openxmlformats.org/officeDocument/2006/relationships/image" Target="media/image763.png"/><Relationship Id="rId834" Type="http://schemas.openxmlformats.org/officeDocument/2006/relationships/image" Target="media/image764.png"/><Relationship Id="rId835" Type="http://schemas.openxmlformats.org/officeDocument/2006/relationships/image" Target="media/image765.png"/><Relationship Id="rId836" Type="http://schemas.openxmlformats.org/officeDocument/2006/relationships/image" Target="media/image766.png"/><Relationship Id="rId837" Type="http://schemas.openxmlformats.org/officeDocument/2006/relationships/image" Target="media/image767.png"/><Relationship Id="rId838" Type="http://schemas.openxmlformats.org/officeDocument/2006/relationships/image" Target="media/image768.png"/><Relationship Id="rId839" Type="http://schemas.openxmlformats.org/officeDocument/2006/relationships/image" Target="media/image769.png"/><Relationship Id="rId840" Type="http://schemas.openxmlformats.org/officeDocument/2006/relationships/image" Target="media/image770.png"/><Relationship Id="rId841" Type="http://schemas.openxmlformats.org/officeDocument/2006/relationships/image" Target="media/image771.png"/><Relationship Id="rId842" Type="http://schemas.openxmlformats.org/officeDocument/2006/relationships/image" Target="media/image772.png"/><Relationship Id="rId843" Type="http://schemas.openxmlformats.org/officeDocument/2006/relationships/image" Target="media/image773.png"/><Relationship Id="rId844" Type="http://schemas.openxmlformats.org/officeDocument/2006/relationships/image" Target="media/image774.png"/><Relationship Id="rId845" Type="http://schemas.openxmlformats.org/officeDocument/2006/relationships/image" Target="media/image775.png"/><Relationship Id="rId846" Type="http://schemas.openxmlformats.org/officeDocument/2006/relationships/image" Target="media/image776.png"/><Relationship Id="rId847" Type="http://schemas.openxmlformats.org/officeDocument/2006/relationships/image" Target="media/image777.png"/><Relationship Id="rId848" Type="http://schemas.openxmlformats.org/officeDocument/2006/relationships/image" Target="media/image778.png"/><Relationship Id="rId849" Type="http://schemas.openxmlformats.org/officeDocument/2006/relationships/image" Target="media/image779.png"/><Relationship Id="rId850" Type="http://schemas.openxmlformats.org/officeDocument/2006/relationships/image" Target="media/image780.png"/><Relationship Id="rId851" Type="http://schemas.openxmlformats.org/officeDocument/2006/relationships/image" Target="media/image781.png"/><Relationship Id="rId852" Type="http://schemas.openxmlformats.org/officeDocument/2006/relationships/image" Target="media/image782.png"/><Relationship Id="rId853" Type="http://schemas.openxmlformats.org/officeDocument/2006/relationships/image" Target="media/image783.png"/><Relationship Id="rId854" Type="http://schemas.openxmlformats.org/officeDocument/2006/relationships/image" Target="media/image784.png"/><Relationship Id="rId855" Type="http://schemas.openxmlformats.org/officeDocument/2006/relationships/image" Target="media/image785.png"/><Relationship Id="rId856" Type="http://schemas.openxmlformats.org/officeDocument/2006/relationships/image" Target="media/image786.png"/><Relationship Id="rId857" Type="http://schemas.openxmlformats.org/officeDocument/2006/relationships/image" Target="media/image787.png"/><Relationship Id="rId858" Type="http://schemas.openxmlformats.org/officeDocument/2006/relationships/image" Target="media/image788.png"/><Relationship Id="rId859" Type="http://schemas.openxmlformats.org/officeDocument/2006/relationships/image" Target="media/image789.png"/><Relationship Id="rId860" Type="http://schemas.openxmlformats.org/officeDocument/2006/relationships/image" Target="media/image790.png"/><Relationship Id="rId861" Type="http://schemas.openxmlformats.org/officeDocument/2006/relationships/image" Target="media/image791.png"/><Relationship Id="rId862" Type="http://schemas.openxmlformats.org/officeDocument/2006/relationships/image" Target="media/image792.png"/><Relationship Id="rId863" Type="http://schemas.openxmlformats.org/officeDocument/2006/relationships/image" Target="media/image793.png"/><Relationship Id="rId864" Type="http://schemas.openxmlformats.org/officeDocument/2006/relationships/image" Target="media/image794.png"/><Relationship Id="rId865" Type="http://schemas.openxmlformats.org/officeDocument/2006/relationships/image" Target="media/image795.png"/><Relationship Id="rId866" Type="http://schemas.openxmlformats.org/officeDocument/2006/relationships/image" Target="media/image796.png"/><Relationship Id="rId867" Type="http://schemas.openxmlformats.org/officeDocument/2006/relationships/image" Target="media/image797.png"/><Relationship Id="rId868" Type="http://schemas.openxmlformats.org/officeDocument/2006/relationships/image" Target="media/image798.png"/><Relationship Id="rId869" Type="http://schemas.openxmlformats.org/officeDocument/2006/relationships/image" Target="media/image799.png"/><Relationship Id="rId870" Type="http://schemas.openxmlformats.org/officeDocument/2006/relationships/image" Target="media/image800.png"/><Relationship Id="rId871" Type="http://schemas.openxmlformats.org/officeDocument/2006/relationships/image" Target="media/image801.png"/><Relationship Id="rId872" Type="http://schemas.openxmlformats.org/officeDocument/2006/relationships/image" Target="media/image802.png"/><Relationship Id="rId873" Type="http://schemas.openxmlformats.org/officeDocument/2006/relationships/image" Target="media/image803.png"/><Relationship Id="rId874" Type="http://schemas.openxmlformats.org/officeDocument/2006/relationships/image" Target="media/image804.png"/><Relationship Id="rId875" Type="http://schemas.openxmlformats.org/officeDocument/2006/relationships/image" Target="media/image805.png"/><Relationship Id="rId876" Type="http://schemas.openxmlformats.org/officeDocument/2006/relationships/image" Target="media/image806.png"/><Relationship Id="rId877" Type="http://schemas.openxmlformats.org/officeDocument/2006/relationships/image" Target="media/image807.png"/><Relationship Id="rId878" Type="http://schemas.openxmlformats.org/officeDocument/2006/relationships/image" Target="media/image808.png"/><Relationship Id="rId879" Type="http://schemas.openxmlformats.org/officeDocument/2006/relationships/image" Target="media/image809.png"/><Relationship Id="rId880" Type="http://schemas.openxmlformats.org/officeDocument/2006/relationships/image" Target="media/image810.png"/><Relationship Id="rId881" Type="http://schemas.openxmlformats.org/officeDocument/2006/relationships/image" Target="media/image811.png"/><Relationship Id="rId882" Type="http://schemas.openxmlformats.org/officeDocument/2006/relationships/image" Target="media/image812.png"/><Relationship Id="rId883" Type="http://schemas.openxmlformats.org/officeDocument/2006/relationships/image" Target="media/image813.png"/><Relationship Id="rId884" Type="http://schemas.openxmlformats.org/officeDocument/2006/relationships/image" Target="media/image814.png"/><Relationship Id="rId885" Type="http://schemas.openxmlformats.org/officeDocument/2006/relationships/image" Target="media/image815.png"/><Relationship Id="rId886" Type="http://schemas.openxmlformats.org/officeDocument/2006/relationships/image" Target="media/image816.png"/><Relationship Id="rId887" Type="http://schemas.openxmlformats.org/officeDocument/2006/relationships/image" Target="media/image817.png"/><Relationship Id="rId888" Type="http://schemas.openxmlformats.org/officeDocument/2006/relationships/image" Target="media/image818.png"/><Relationship Id="rId889" Type="http://schemas.openxmlformats.org/officeDocument/2006/relationships/image" Target="media/image819.png"/><Relationship Id="rId890" Type="http://schemas.openxmlformats.org/officeDocument/2006/relationships/image" Target="media/image820.png"/><Relationship Id="rId891" Type="http://schemas.openxmlformats.org/officeDocument/2006/relationships/image" Target="media/image821.png"/><Relationship Id="rId892" Type="http://schemas.openxmlformats.org/officeDocument/2006/relationships/image" Target="media/image822.png"/><Relationship Id="rId893" Type="http://schemas.openxmlformats.org/officeDocument/2006/relationships/image" Target="media/image823.png"/><Relationship Id="rId894" Type="http://schemas.openxmlformats.org/officeDocument/2006/relationships/image" Target="media/image824.png"/><Relationship Id="rId895" Type="http://schemas.openxmlformats.org/officeDocument/2006/relationships/image" Target="media/image825.png"/><Relationship Id="rId896" Type="http://schemas.openxmlformats.org/officeDocument/2006/relationships/image" Target="media/image826.png"/><Relationship Id="rId897" Type="http://schemas.openxmlformats.org/officeDocument/2006/relationships/image" Target="media/image827.png"/><Relationship Id="rId898" Type="http://schemas.openxmlformats.org/officeDocument/2006/relationships/image" Target="media/image828.png"/><Relationship Id="rId899" Type="http://schemas.openxmlformats.org/officeDocument/2006/relationships/image" Target="media/image829.png"/><Relationship Id="rId900" Type="http://schemas.openxmlformats.org/officeDocument/2006/relationships/image" Target="media/image830.png"/><Relationship Id="rId901" Type="http://schemas.openxmlformats.org/officeDocument/2006/relationships/image" Target="media/image831.png"/><Relationship Id="rId902" Type="http://schemas.openxmlformats.org/officeDocument/2006/relationships/image" Target="media/image832.png"/><Relationship Id="rId903" Type="http://schemas.openxmlformats.org/officeDocument/2006/relationships/image" Target="media/image833.png"/><Relationship Id="rId904" Type="http://schemas.openxmlformats.org/officeDocument/2006/relationships/image" Target="media/image834.png"/><Relationship Id="rId905" Type="http://schemas.openxmlformats.org/officeDocument/2006/relationships/image" Target="media/image835.png"/><Relationship Id="rId906" Type="http://schemas.openxmlformats.org/officeDocument/2006/relationships/image" Target="media/image836.png"/><Relationship Id="rId907" Type="http://schemas.openxmlformats.org/officeDocument/2006/relationships/image" Target="media/image837.png"/><Relationship Id="rId908" Type="http://schemas.openxmlformats.org/officeDocument/2006/relationships/image" Target="media/image838.png"/><Relationship Id="rId909" Type="http://schemas.openxmlformats.org/officeDocument/2006/relationships/image" Target="media/image839.png"/><Relationship Id="rId910" Type="http://schemas.openxmlformats.org/officeDocument/2006/relationships/image" Target="media/image840.png"/><Relationship Id="rId911" Type="http://schemas.openxmlformats.org/officeDocument/2006/relationships/image" Target="media/image841.png"/><Relationship Id="rId912" Type="http://schemas.openxmlformats.org/officeDocument/2006/relationships/image" Target="media/image842.png"/><Relationship Id="rId913" Type="http://schemas.openxmlformats.org/officeDocument/2006/relationships/image" Target="media/image843.png"/><Relationship Id="rId914" Type="http://schemas.openxmlformats.org/officeDocument/2006/relationships/image" Target="media/image844.png"/><Relationship Id="rId915" Type="http://schemas.openxmlformats.org/officeDocument/2006/relationships/image" Target="media/image845.png"/><Relationship Id="rId916" Type="http://schemas.openxmlformats.org/officeDocument/2006/relationships/image" Target="media/image846.png"/><Relationship Id="rId917" Type="http://schemas.openxmlformats.org/officeDocument/2006/relationships/image" Target="media/image847.png"/><Relationship Id="rId918" Type="http://schemas.openxmlformats.org/officeDocument/2006/relationships/image" Target="media/image848.png"/><Relationship Id="rId919" Type="http://schemas.openxmlformats.org/officeDocument/2006/relationships/image" Target="media/image849.png"/><Relationship Id="rId920" Type="http://schemas.openxmlformats.org/officeDocument/2006/relationships/image" Target="media/image850.png"/><Relationship Id="rId921" Type="http://schemas.openxmlformats.org/officeDocument/2006/relationships/image" Target="media/image851.png"/><Relationship Id="rId922" Type="http://schemas.openxmlformats.org/officeDocument/2006/relationships/image" Target="media/image852.png"/><Relationship Id="rId923" Type="http://schemas.openxmlformats.org/officeDocument/2006/relationships/image" Target="media/image853.png"/><Relationship Id="rId924" Type="http://schemas.openxmlformats.org/officeDocument/2006/relationships/image" Target="media/image854.png"/><Relationship Id="rId925" Type="http://schemas.openxmlformats.org/officeDocument/2006/relationships/image" Target="media/image855.png"/><Relationship Id="rId926" Type="http://schemas.openxmlformats.org/officeDocument/2006/relationships/image" Target="media/image856.png"/><Relationship Id="rId927" Type="http://schemas.openxmlformats.org/officeDocument/2006/relationships/image" Target="media/image857.png"/><Relationship Id="rId928" Type="http://schemas.openxmlformats.org/officeDocument/2006/relationships/image" Target="media/image858.png"/><Relationship Id="rId929" Type="http://schemas.openxmlformats.org/officeDocument/2006/relationships/image" Target="media/image859.png"/><Relationship Id="rId930" Type="http://schemas.openxmlformats.org/officeDocument/2006/relationships/image" Target="media/image860.png"/><Relationship Id="rId931" Type="http://schemas.openxmlformats.org/officeDocument/2006/relationships/image" Target="media/image861.png"/><Relationship Id="rId932" Type="http://schemas.openxmlformats.org/officeDocument/2006/relationships/image" Target="media/image862.png"/><Relationship Id="rId933" Type="http://schemas.openxmlformats.org/officeDocument/2006/relationships/image" Target="media/image863.png"/><Relationship Id="rId934" Type="http://schemas.openxmlformats.org/officeDocument/2006/relationships/image" Target="media/image864.png"/><Relationship Id="rId935" Type="http://schemas.openxmlformats.org/officeDocument/2006/relationships/image" Target="media/image865.png"/><Relationship Id="rId936" Type="http://schemas.openxmlformats.org/officeDocument/2006/relationships/image" Target="media/image866.png"/><Relationship Id="rId937" Type="http://schemas.openxmlformats.org/officeDocument/2006/relationships/image" Target="media/image867.png"/><Relationship Id="rId938" Type="http://schemas.openxmlformats.org/officeDocument/2006/relationships/image" Target="media/image868.png"/><Relationship Id="rId939" Type="http://schemas.openxmlformats.org/officeDocument/2006/relationships/image" Target="media/image869.png"/><Relationship Id="rId940" Type="http://schemas.openxmlformats.org/officeDocument/2006/relationships/image" Target="media/image870.png"/><Relationship Id="rId941" Type="http://schemas.openxmlformats.org/officeDocument/2006/relationships/image" Target="media/image871.png"/><Relationship Id="rId942" Type="http://schemas.openxmlformats.org/officeDocument/2006/relationships/image" Target="media/image872.png"/><Relationship Id="rId943" Type="http://schemas.openxmlformats.org/officeDocument/2006/relationships/image" Target="media/image873.png"/><Relationship Id="rId944" Type="http://schemas.openxmlformats.org/officeDocument/2006/relationships/image" Target="media/image874.png"/><Relationship Id="rId945" Type="http://schemas.openxmlformats.org/officeDocument/2006/relationships/image" Target="media/image875.png"/><Relationship Id="rId946" Type="http://schemas.openxmlformats.org/officeDocument/2006/relationships/image" Target="media/image876.png"/><Relationship Id="rId947" Type="http://schemas.openxmlformats.org/officeDocument/2006/relationships/image" Target="media/image877.png"/><Relationship Id="rId948" Type="http://schemas.openxmlformats.org/officeDocument/2006/relationships/image" Target="media/image878.png"/><Relationship Id="rId949" Type="http://schemas.openxmlformats.org/officeDocument/2006/relationships/image" Target="media/image879.png"/><Relationship Id="rId950" Type="http://schemas.openxmlformats.org/officeDocument/2006/relationships/image" Target="media/image880.png"/><Relationship Id="rId951" Type="http://schemas.openxmlformats.org/officeDocument/2006/relationships/image" Target="media/image881.png"/><Relationship Id="rId952" Type="http://schemas.openxmlformats.org/officeDocument/2006/relationships/image" Target="media/image882.png"/><Relationship Id="rId953" Type="http://schemas.openxmlformats.org/officeDocument/2006/relationships/image" Target="media/image883.png"/><Relationship Id="rId954" Type="http://schemas.openxmlformats.org/officeDocument/2006/relationships/image" Target="media/image884.png"/><Relationship Id="rId955" Type="http://schemas.openxmlformats.org/officeDocument/2006/relationships/image" Target="media/image885.png"/><Relationship Id="rId956" Type="http://schemas.openxmlformats.org/officeDocument/2006/relationships/image" Target="media/image886.png"/><Relationship Id="rId957" Type="http://schemas.openxmlformats.org/officeDocument/2006/relationships/image" Target="media/image887.png"/><Relationship Id="rId958" Type="http://schemas.openxmlformats.org/officeDocument/2006/relationships/image" Target="media/image888.png"/><Relationship Id="rId959" Type="http://schemas.openxmlformats.org/officeDocument/2006/relationships/image" Target="media/image889.png"/><Relationship Id="rId960" Type="http://schemas.openxmlformats.org/officeDocument/2006/relationships/image" Target="media/image890.png"/><Relationship Id="rId961" Type="http://schemas.openxmlformats.org/officeDocument/2006/relationships/image" Target="media/image891.png"/><Relationship Id="rId962" Type="http://schemas.openxmlformats.org/officeDocument/2006/relationships/image" Target="media/image892.png"/><Relationship Id="rId963" Type="http://schemas.openxmlformats.org/officeDocument/2006/relationships/image" Target="media/image893.png"/><Relationship Id="rId964" Type="http://schemas.openxmlformats.org/officeDocument/2006/relationships/image" Target="media/image894.png"/><Relationship Id="rId965" Type="http://schemas.openxmlformats.org/officeDocument/2006/relationships/image" Target="media/image895.png"/><Relationship Id="rId966" Type="http://schemas.openxmlformats.org/officeDocument/2006/relationships/image" Target="media/image896.png"/><Relationship Id="rId967" Type="http://schemas.openxmlformats.org/officeDocument/2006/relationships/image" Target="media/image897.png"/><Relationship Id="rId968" Type="http://schemas.openxmlformats.org/officeDocument/2006/relationships/image" Target="media/image898.png"/><Relationship Id="rId969" Type="http://schemas.openxmlformats.org/officeDocument/2006/relationships/image" Target="media/image899.png"/><Relationship Id="rId970" Type="http://schemas.openxmlformats.org/officeDocument/2006/relationships/image" Target="media/image900.png"/><Relationship Id="rId971" Type="http://schemas.openxmlformats.org/officeDocument/2006/relationships/image" Target="media/image901.png"/><Relationship Id="rId972" Type="http://schemas.openxmlformats.org/officeDocument/2006/relationships/image" Target="media/image902.png"/><Relationship Id="rId973" Type="http://schemas.openxmlformats.org/officeDocument/2006/relationships/image" Target="media/image903.png"/><Relationship Id="rId974" Type="http://schemas.openxmlformats.org/officeDocument/2006/relationships/image" Target="media/image904.png"/><Relationship Id="rId975" Type="http://schemas.openxmlformats.org/officeDocument/2006/relationships/image" Target="media/image905.png"/><Relationship Id="rId976" Type="http://schemas.openxmlformats.org/officeDocument/2006/relationships/image" Target="media/image906.png"/><Relationship Id="rId977" Type="http://schemas.openxmlformats.org/officeDocument/2006/relationships/image" Target="media/image907.png"/><Relationship Id="rId978" Type="http://schemas.openxmlformats.org/officeDocument/2006/relationships/image" Target="media/image908.png"/><Relationship Id="rId979" Type="http://schemas.openxmlformats.org/officeDocument/2006/relationships/image" Target="media/image909.png"/><Relationship Id="rId980" Type="http://schemas.openxmlformats.org/officeDocument/2006/relationships/image" Target="media/image910.png"/><Relationship Id="rId981" Type="http://schemas.openxmlformats.org/officeDocument/2006/relationships/image" Target="media/image911.png"/><Relationship Id="rId982" Type="http://schemas.openxmlformats.org/officeDocument/2006/relationships/image" Target="media/image912.png"/><Relationship Id="rId983" Type="http://schemas.openxmlformats.org/officeDocument/2006/relationships/image" Target="media/image913.png"/><Relationship Id="rId984" Type="http://schemas.openxmlformats.org/officeDocument/2006/relationships/image" Target="media/image914.png"/><Relationship Id="rId985" Type="http://schemas.openxmlformats.org/officeDocument/2006/relationships/image" Target="media/image915.png"/><Relationship Id="rId986" Type="http://schemas.openxmlformats.org/officeDocument/2006/relationships/image" Target="media/image916.png"/><Relationship Id="rId987" Type="http://schemas.openxmlformats.org/officeDocument/2006/relationships/image" Target="media/image917.png"/><Relationship Id="rId988" Type="http://schemas.openxmlformats.org/officeDocument/2006/relationships/image" Target="media/image918.png"/><Relationship Id="rId989" Type="http://schemas.openxmlformats.org/officeDocument/2006/relationships/image" Target="media/image919.png"/><Relationship Id="rId990" Type="http://schemas.openxmlformats.org/officeDocument/2006/relationships/image" Target="media/image920.png"/><Relationship Id="rId991" Type="http://schemas.openxmlformats.org/officeDocument/2006/relationships/image" Target="media/image921.png"/><Relationship Id="rId992" Type="http://schemas.openxmlformats.org/officeDocument/2006/relationships/image" Target="media/image922.png"/><Relationship Id="rId993" Type="http://schemas.openxmlformats.org/officeDocument/2006/relationships/image" Target="media/image923.png"/><Relationship Id="rId994" Type="http://schemas.openxmlformats.org/officeDocument/2006/relationships/image" Target="media/image924.png"/><Relationship Id="rId995" Type="http://schemas.openxmlformats.org/officeDocument/2006/relationships/image" Target="media/image925.png"/><Relationship Id="rId996" Type="http://schemas.openxmlformats.org/officeDocument/2006/relationships/image" Target="media/image926.png"/><Relationship Id="rId997" Type="http://schemas.openxmlformats.org/officeDocument/2006/relationships/image" Target="media/image927.png"/><Relationship Id="rId998" Type="http://schemas.openxmlformats.org/officeDocument/2006/relationships/image" Target="media/image928.png"/><Relationship Id="rId999" Type="http://schemas.openxmlformats.org/officeDocument/2006/relationships/image" Target="media/image929.png"/><Relationship Id="rId1000" Type="http://schemas.openxmlformats.org/officeDocument/2006/relationships/image" Target="media/image930.png"/><Relationship Id="rId1001" Type="http://schemas.openxmlformats.org/officeDocument/2006/relationships/image" Target="media/image931.png"/><Relationship Id="rId1002" Type="http://schemas.openxmlformats.org/officeDocument/2006/relationships/image" Target="media/image932.png"/><Relationship Id="rId1003" Type="http://schemas.openxmlformats.org/officeDocument/2006/relationships/image" Target="media/image933.png"/><Relationship Id="rId1004" Type="http://schemas.openxmlformats.org/officeDocument/2006/relationships/image" Target="media/image934.png"/><Relationship Id="rId1005" Type="http://schemas.openxmlformats.org/officeDocument/2006/relationships/image" Target="media/image935.png"/><Relationship Id="rId1006" Type="http://schemas.openxmlformats.org/officeDocument/2006/relationships/image" Target="media/image936.png"/><Relationship Id="rId1007" Type="http://schemas.openxmlformats.org/officeDocument/2006/relationships/image" Target="media/image937.png"/><Relationship Id="rId1008" Type="http://schemas.openxmlformats.org/officeDocument/2006/relationships/image" Target="media/image938.png"/><Relationship Id="rId1009" Type="http://schemas.openxmlformats.org/officeDocument/2006/relationships/image" Target="media/image939.png"/><Relationship Id="rId1010" Type="http://schemas.openxmlformats.org/officeDocument/2006/relationships/image" Target="media/image940.png"/><Relationship Id="rId1011" Type="http://schemas.openxmlformats.org/officeDocument/2006/relationships/image" Target="media/image941.png"/><Relationship Id="rId1012" Type="http://schemas.openxmlformats.org/officeDocument/2006/relationships/image" Target="media/image942.png"/><Relationship Id="rId1013" Type="http://schemas.openxmlformats.org/officeDocument/2006/relationships/image" Target="media/image943.png"/><Relationship Id="rId1014" Type="http://schemas.openxmlformats.org/officeDocument/2006/relationships/image" Target="media/image944.png"/><Relationship Id="rId1015" Type="http://schemas.openxmlformats.org/officeDocument/2006/relationships/image" Target="media/image945.png"/><Relationship Id="rId1016" Type="http://schemas.openxmlformats.org/officeDocument/2006/relationships/image" Target="media/image946.png"/><Relationship Id="rId1017" Type="http://schemas.openxmlformats.org/officeDocument/2006/relationships/image" Target="media/image947.png"/><Relationship Id="rId1018" Type="http://schemas.openxmlformats.org/officeDocument/2006/relationships/image" Target="media/image948.png"/><Relationship Id="rId1019" Type="http://schemas.openxmlformats.org/officeDocument/2006/relationships/image" Target="media/image949.png"/><Relationship Id="rId1020" Type="http://schemas.openxmlformats.org/officeDocument/2006/relationships/image" Target="media/image950.png"/><Relationship Id="rId1021" Type="http://schemas.openxmlformats.org/officeDocument/2006/relationships/image" Target="media/image951.png"/><Relationship Id="rId1022" Type="http://schemas.openxmlformats.org/officeDocument/2006/relationships/image" Target="media/image952.png"/><Relationship Id="rId1023" Type="http://schemas.openxmlformats.org/officeDocument/2006/relationships/image" Target="media/image953.png"/><Relationship Id="rId1024" Type="http://schemas.openxmlformats.org/officeDocument/2006/relationships/image" Target="media/image954.png"/><Relationship Id="rId1025" Type="http://schemas.openxmlformats.org/officeDocument/2006/relationships/image" Target="media/image955.png"/><Relationship Id="rId1026" Type="http://schemas.openxmlformats.org/officeDocument/2006/relationships/image" Target="media/image956.png"/><Relationship Id="rId1027" Type="http://schemas.openxmlformats.org/officeDocument/2006/relationships/image" Target="media/image957.png"/><Relationship Id="rId1028" Type="http://schemas.openxmlformats.org/officeDocument/2006/relationships/image" Target="media/image958.png"/><Relationship Id="rId1029" Type="http://schemas.openxmlformats.org/officeDocument/2006/relationships/image" Target="media/image959.png"/><Relationship Id="rId1030" Type="http://schemas.openxmlformats.org/officeDocument/2006/relationships/image" Target="media/image960.png"/><Relationship Id="rId1031" Type="http://schemas.openxmlformats.org/officeDocument/2006/relationships/image" Target="media/image961.png"/><Relationship Id="rId1032" Type="http://schemas.openxmlformats.org/officeDocument/2006/relationships/image" Target="media/image962.png"/><Relationship Id="rId1033" Type="http://schemas.openxmlformats.org/officeDocument/2006/relationships/image" Target="media/image963.png"/><Relationship Id="rId1034" Type="http://schemas.openxmlformats.org/officeDocument/2006/relationships/image" Target="media/image964.png"/><Relationship Id="rId1035" Type="http://schemas.openxmlformats.org/officeDocument/2006/relationships/image" Target="media/image965.png"/><Relationship Id="rId1036" Type="http://schemas.openxmlformats.org/officeDocument/2006/relationships/image" Target="media/image966.png"/><Relationship Id="rId1037" Type="http://schemas.openxmlformats.org/officeDocument/2006/relationships/image" Target="media/image967.png"/><Relationship Id="rId1038" Type="http://schemas.openxmlformats.org/officeDocument/2006/relationships/image" Target="media/image968.png"/><Relationship Id="rId1039" Type="http://schemas.openxmlformats.org/officeDocument/2006/relationships/image" Target="media/image969.png"/><Relationship Id="rId1040" Type="http://schemas.openxmlformats.org/officeDocument/2006/relationships/image" Target="media/image970.png"/><Relationship Id="rId1041" Type="http://schemas.openxmlformats.org/officeDocument/2006/relationships/image" Target="media/image971.png"/><Relationship Id="rId1042" Type="http://schemas.openxmlformats.org/officeDocument/2006/relationships/image" Target="media/image972.png"/><Relationship Id="rId1043" Type="http://schemas.openxmlformats.org/officeDocument/2006/relationships/image" Target="media/image973.png"/><Relationship Id="rId1044" Type="http://schemas.openxmlformats.org/officeDocument/2006/relationships/image" Target="media/image974.png"/><Relationship Id="rId1045" Type="http://schemas.openxmlformats.org/officeDocument/2006/relationships/image" Target="media/image975.png"/><Relationship Id="rId1046" Type="http://schemas.openxmlformats.org/officeDocument/2006/relationships/image" Target="media/image976.png"/><Relationship Id="rId1047" Type="http://schemas.openxmlformats.org/officeDocument/2006/relationships/image" Target="media/image977.png"/><Relationship Id="rId1048" Type="http://schemas.openxmlformats.org/officeDocument/2006/relationships/image" Target="media/image978.png"/><Relationship Id="rId1049" Type="http://schemas.openxmlformats.org/officeDocument/2006/relationships/image" Target="media/image979.png"/><Relationship Id="rId1050" Type="http://schemas.openxmlformats.org/officeDocument/2006/relationships/image" Target="media/image980.png"/><Relationship Id="rId1051" Type="http://schemas.openxmlformats.org/officeDocument/2006/relationships/image" Target="media/image981.png"/><Relationship Id="rId1052" Type="http://schemas.openxmlformats.org/officeDocument/2006/relationships/image" Target="media/image982.png"/><Relationship Id="rId1053" Type="http://schemas.openxmlformats.org/officeDocument/2006/relationships/image" Target="media/image983.png"/><Relationship Id="rId1054" Type="http://schemas.openxmlformats.org/officeDocument/2006/relationships/image" Target="media/image984.png"/><Relationship Id="rId1055" Type="http://schemas.openxmlformats.org/officeDocument/2006/relationships/image" Target="media/image985.png"/><Relationship Id="rId1056" Type="http://schemas.openxmlformats.org/officeDocument/2006/relationships/image" Target="media/image986.png"/><Relationship Id="rId1057" Type="http://schemas.openxmlformats.org/officeDocument/2006/relationships/image" Target="media/image987.png"/><Relationship Id="rId1058" Type="http://schemas.openxmlformats.org/officeDocument/2006/relationships/image" Target="media/image988.png"/><Relationship Id="rId1059" Type="http://schemas.openxmlformats.org/officeDocument/2006/relationships/image" Target="media/image989.png"/><Relationship Id="rId1060" Type="http://schemas.openxmlformats.org/officeDocument/2006/relationships/image" Target="media/image990.png"/><Relationship Id="rId1061" Type="http://schemas.openxmlformats.org/officeDocument/2006/relationships/image" Target="media/image991.png"/><Relationship Id="rId1062" Type="http://schemas.openxmlformats.org/officeDocument/2006/relationships/image" Target="media/image992.png"/><Relationship Id="rId1063" Type="http://schemas.openxmlformats.org/officeDocument/2006/relationships/image" Target="media/image993.png"/><Relationship Id="rId1064" Type="http://schemas.openxmlformats.org/officeDocument/2006/relationships/image" Target="media/image994.png"/><Relationship Id="rId1065" Type="http://schemas.openxmlformats.org/officeDocument/2006/relationships/image" Target="media/image995.png"/><Relationship Id="rId1066" Type="http://schemas.openxmlformats.org/officeDocument/2006/relationships/image" Target="media/image996.png"/><Relationship Id="rId1067" Type="http://schemas.openxmlformats.org/officeDocument/2006/relationships/image" Target="media/image997.png"/><Relationship Id="rId1068" Type="http://schemas.openxmlformats.org/officeDocument/2006/relationships/image" Target="media/image998.png"/><Relationship Id="rId1069" Type="http://schemas.openxmlformats.org/officeDocument/2006/relationships/image" Target="media/image999.png"/><Relationship Id="rId1070" Type="http://schemas.openxmlformats.org/officeDocument/2006/relationships/image" Target="media/image1000.png"/><Relationship Id="rId1071" Type="http://schemas.openxmlformats.org/officeDocument/2006/relationships/image" Target="media/image1001.png"/><Relationship Id="rId1072" Type="http://schemas.openxmlformats.org/officeDocument/2006/relationships/image" Target="media/image1002.png"/><Relationship Id="rId1073" Type="http://schemas.openxmlformats.org/officeDocument/2006/relationships/image" Target="media/image1003.png"/><Relationship Id="rId1074" Type="http://schemas.openxmlformats.org/officeDocument/2006/relationships/image" Target="media/image1004.png"/><Relationship Id="rId1075" Type="http://schemas.openxmlformats.org/officeDocument/2006/relationships/image" Target="media/image1005.png"/><Relationship Id="rId1076" Type="http://schemas.openxmlformats.org/officeDocument/2006/relationships/image" Target="media/image1006.png"/><Relationship Id="rId1077" Type="http://schemas.openxmlformats.org/officeDocument/2006/relationships/image" Target="media/image1007.png"/><Relationship Id="rId1078" Type="http://schemas.openxmlformats.org/officeDocument/2006/relationships/image" Target="media/image1008.png"/><Relationship Id="rId1079" Type="http://schemas.openxmlformats.org/officeDocument/2006/relationships/image" Target="media/image1009.png"/><Relationship Id="rId1080" Type="http://schemas.openxmlformats.org/officeDocument/2006/relationships/image" Target="media/image1010.png"/><Relationship Id="rId1081" Type="http://schemas.openxmlformats.org/officeDocument/2006/relationships/image" Target="media/image1011.png"/><Relationship Id="rId1082" Type="http://schemas.openxmlformats.org/officeDocument/2006/relationships/image" Target="media/image1012.png"/><Relationship Id="rId1083" Type="http://schemas.openxmlformats.org/officeDocument/2006/relationships/image" Target="media/image1013.png"/><Relationship Id="rId1084" Type="http://schemas.openxmlformats.org/officeDocument/2006/relationships/image" Target="media/image1014.png"/><Relationship Id="rId1085" Type="http://schemas.openxmlformats.org/officeDocument/2006/relationships/image" Target="media/image1015.png"/><Relationship Id="rId1086" Type="http://schemas.openxmlformats.org/officeDocument/2006/relationships/image" Target="media/image1016.png"/><Relationship Id="rId1087" Type="http://schemas.openxmlformats.org/officeDocument/2006/relationships/image" Target="media/image1017.png"/><Relationship Id="rId1088" Type="http://schemas.openxmlformats.org/officeDocument/2006/relationships/image" Target="media/image1018.png"/><Relationship Id="rId1089" Type="http://schemas.openxmlformats.org/officeDocument/2006/relationships/image" Target="media/image1019.png"/><Relationship Id="rId1090" Type="http://schemas.openxmlformats.org/officeDocument/2006/relationships/image" Target="media/image1020.png"/><Relationship Id="rId1091" Type="http://schemas.openxmlformats.org/officeDocument/2006/relationships/image" Target="media/image1021.png"/><Relationship Id="rId1092" Type="http://schemas.openxmlformats.org/officeDocument/2006/relationships/image" Target="media/image1022.png"/><Relationship Id="rId1093" Type="http://schemas.openxmlformats.org/officeDocument/2006/relationships/image" Target="media/image1023.png"/><Relationship Id="rId1094" Type="http://schemas.openxmlformats.org/officeDocument/2006/relationships/image" Target="media/image1024.png"/><Relationship Id="rId1095" Type="http://schemas.openxmlformats.org/officeDocument/2006/relationships/image" Target="media/image1025.png"/><Relationship Id="rId1096" Type="http://schemas.openxmlformats.org/officeDocument/2006/relationships/image" Target="media/image1026.png"/><Relationship Id="rId1097" Type="http://schemas.openxmlformats.org/officeDocument/2006/relationships/image" Target="media/image1027.png"/><Relationship Id="rId1098" Type="http://schemas.openxmlformats.org/officeDocument/2006/relationships/image" Target="media/image1028.png"/><Relationship Id="rId1099" Type="http://schemas.openxmlformats.org/officeDocument/2006/relationships/image" Target="media/image1029.png"/><Relationship Id="rId1100" Type="http://schemas.openxmlformats.org/officeDocument/2006/relationships/image" Target="media/image1030.png"/><Relationship Id="rId1101" Type="http://schemas.openxmlformats.org/officeDocument/2006/relationships/image" Target="media/image1031.png"/><Relationship Id="rId1102" Type="http://schemas.openxmlformats.org/officeDocument/2006/relationships/image" Target="media/image1032.png"/><Relationship Id="rId1103" Type="http://schemas.openxmlformats.org/officeDocument/2006/relationships/image" Target="media/image1033.png"/><Relationship Id="rId1104" Type="http://schemas.openxmlformats.org/officeDocument/2006/relationships/image" Target="media/image1034.png"/><Relationship Id="rId1105" Type="http://schemas.openxmlformats.org/officeDocument/2006/relationships/image" Target="media/image1035.png"/><Relationship Id="rId1106" Type="http://schemas.openxmlformats.org/officeDocument/2006/relationships/image" Target="media/image1036.png"/><Relationship Id="rId1107" Type="http://schemas.openxmlformats.org/officeDocument/2006/relationships/image" Target="media/image1037.png"/><Relationship Id="rId1108" Type="http://schemas.openxmlformats.org/officeDocument/2006/relationships/image" Target="media/image1038.png"/><Relationship Id="rId1109" Type="http://schemas.openxmlformats.org/officeDocument/2006/relationships/image" Target="media/image1039.png"/><Relationship Id="rId1110" Type="http://schemas.openxmlformats.org/officeDocument/2006/relationships/image" Target="media/image1040.png"/><Relationship Id="rId1111" Type="http://schemas.openxmlformats.org/officeDocument/2006/relationships/image" Target="media/image1041.png"/><Relationship Id="rId1112" Type="http://schemas.openxmlformats.org/officeDocument/2006/relationships/image" Target="media/image1042.png"/><Relationship Id="rId1113" Type="http://schemas.openxmlformats.org/officeDocument/2006/relationships/image" Target="media/image1043.png"/><Relationship Id="rId1114" Type="http://schemas.openxmlformats.org/officeDocument/2006/relationships/image" Target="media/image1044.png"/><Relationship Id="rId1115" Type="http://schemas.openxmlformats.org/officeDocument/2006/relationships/image" Target="media/image1045.png"/><Relationship Id="rId1116" Type="http://schemas.openxmlformats.org/officeDocument/2006/relationships/image" Target="media/image1046.png"/><Relationship Id="rId1117" Type="http://schemas.openxmlformats.org/officeDocument/2006/relationships/image" Target="media/image1047.png"/><Relationship Id="rId1118" Type="http://schemas.openxmlformats.org/officeDocument/2006/relationships/image" Target="media/image1048.png"/><Relationship Id="rId1119" Type="http://schemas.openxmlformats.org/officeDocument/2006/relationships/image" Target="media/image1049.png"/><Relationship Id="rId1120" Type="http://schemas.openxmlformats.org/officeDocument/2006/relationships/image" Target="media/image1050.png"/><Relationship Id="rId1121" Type="http://schemas.openxmlformats.org/officeDocument/2006/relationships/image" Target="media/image1051.png"/><Relationship Id="rId1122" Type="http://schemas.openxmlformats.org/officeDocument/2006/relationships/image" Target="media/image1052.png"/><Relationship Id="rId1123" Type="http://schemas.openxmlformats.org/officeDocument/2006/relationships/image" Target="media/image1053.png"/><Relationship Id="rId1124" Type="http://schemas.openxmlformats.org/officeDocument/2006/relationships/image" Target="media/image1054.png"/><Relationship Id="rId1125" Type="http://schemas.openxmlformats.org/officeDocument/2006/relationships/image" Target="media/image1055.png"/><Relationship Id="rId1126" Type="http://schemas.openxmlformats.org/officeDocument/2006/relationships/image" Target="media/image1056.png"/><Relationship Id="rId1127" Type="http://schemas.openxmlformats.org/officeDocument/2006/relationships/image" Target="media/image1057.png"/><Relationship Id="rId1128" Type="http://schemas.openxmlformats.org/officeDocument/2006/relationships/image" Target="media/image1058.png"/><Relationship Id="rId1129" Type="http://schemas.openxmlformats.org/officeDocument/2006/relationships/image" Target="media/image1059.png"/><Relationship Id="rId1130" Type="http://schemas.openxmlformats.org/officeDocument/2006/relationships/image" Target="media/image1060.png"/><Relationship Id="rId1131" Type="http://schemas.openxmlformats.org/officeDocument/2006/relationships/image" Target="media/image1061.png"/><Relationship Id="rId1132" Type="http://schemas.openxmlformats.org/officeDocument/2006/relationships/image" Target="media/image1062.png"/><Relationship Id="rId1133" Type="http://schemas.openxmlformats.org/officeDocument/2006/relationships/image" Target="media/image1063.png"/><Relationship Id="rId1134" Type="http://schemas.openxmlformats.org/officeDocument/2006/relationships/image" Target="media/image1064.png"/><Relationship Id="rId1135" Type="http://schemas.openxmlformats.org/officeDocument/2006/relationships/image" Target="media/image1065.png"/><Relationship Id="rId1136" Type="http://schemas.openxmlformats.org/officeDocument/2006/relationships/image" Target="media/image1066.png"/><Relationship Id="rId1137" Type="http://schemas.openxmlformats.org/officeDocument/2006/relationships/image" Target="media/image1067.png"/><Relationship Id="rId1138" Type="http://schemas.openxmlformats.org/officeDocument/2006/relationships/image" Target="media/image1068.png"/><Relationship Id="rId1139" Type="http://schemas.openxmlformats.org/officeDocument/2006/relationships/image" Target="media/image1069.png"/><Relationship Id="rId1140" Type="http://schemas.openxmlformats.org/officeDocument/2006/relationships/image" Target="media/image1070.png"/><Relationship Id="rId1141" Type="http://schemas.openxmlformats.org/officeDocument/2006/relationships/image" Target="media/image1071.png"/><Relationship Id="rId1142" Type="http://schemas.openxmlformats.org/officeDocument/2006/relationships/image" Target="media/image1072.png"/><Relationship Id="rId1143" Type="http://schemas.openxmlformats.org/officeDocument/2006/relationships/image" Target="media/image1073.png"/><Relationship Id="rId1144" Type="http://schemas.openxmlformats.org/officeDocument/2006/relationships/image" Target="media/image1074.png"/><Relationship Id="rId1145" Type="http://schemas.openxmlformats.org/officeDocument/2006/relationships/image" Target="media/image1075.png"/><Relationship Id="rId1146" Type="http://schemas.openxmlformats.org/officeDocument/2006/relationships/image" Target="media/image1076.png"/><Relationship Id="rId1147" Type="http://schemas.openxmlformats.org/officeDocument/2006/relationships/image" Target="media/image1077.png"/><Relationship Id="rId1148" Type="http://schemas.openxmlformats.org/officeDocument/2006/relationships/image" Target="media/image1078.png"/><Relationship Id="rId1149" Type="http://schemas.openxmlformats.org/officeDocument/2006/relationships/image" Target="media/image1079.png"/><Relationship Id="rId1150" Type="http://schemas.openxmlformats.org/officeDocument/2006/relationships/image" Target="media/image1080.png"/><Relationship Id="rId1151" Type="http://schemas.openxmlformats.org/officeDocument/2006/relationships/image" Target="media/image1081.png"/><Relationship Id="rId1152" Type="http://schemas.openxmlformats.org/officeDocument/2006/relationships/image" Target="media/image1082.png"/><Relationship Id="rId1153" Type="http://schemas.openxmlformats.org/officeDocument/2006/relationships/image" Target="media/image1083.png"/><Relationship Id="rId1154" Type="http://schemas.openxmlformats.org/officeDocument/2006/relationships/image" Target="media/image1084.png"/><Relationship Id="rId1155" Type="http://schemas.openxmlformats.org/officeDocument/2006/relationships/image" Target="media/image1085.png"/><Relationship Id="rId1156" Type="http://schemas.openxmlformats.org/officeDocument/2006/relationships/image" Target="media/image1086.png"/><Relationship Id="rId1157" Type="http://schemas.openxmlformats.org/officeDocument/2006/relationships/image" Target="media/image1087.png"/><Relationship Id="rId1158" Type="http://schemas.openxmlformats.org/officeDocument/2006/relationships/image" Target="media/image1088.png"/><Relationship Id="rId1159" Type="http://schemas.openxmlformats.org/officeDocument/2006/relationships/image" Target="media/image1089.png"/><Relationship Id="rId1160" Type="http://schemas.openxmlformats.org/officeDocument/2006/relationships/image" Target="media/image1090.png"/><Relationship Id="rId1161" Type="http://schemas.openxmlformats.org/officeDocument/2006/relationships/image" Target="media/image1091.png"/><Relationship Id="rId1162" Type="http://schemas.openxmlformats.org/officeDocument/2006/relationships/image" Target="media/image1092.png"/><Relationship Id="rId1163" Type="http://schemas.openxmlformats.org/officeDocument/2006/relationships/image" Target="media/image1093.png"/><Relationship Id="rId1164" Type="http://schemas.openxmlformats.org/officeDocument/2006/relationships/image" Target="media/image1094.png"/><Relationship Id="rId1165" Type="http://schemas.openxmlformats.org/officeDocument/2006/relationships/image" Target="media/image1095.png"/><Relationship Id="rId1166" Type="http://schemas.openxmlformats.org/officeDocument/2006/relationships/image" Target="media/image1096.png"/><Relationship Id="rId1167" Type="http://schemas.openxmlformats.org/officeDocument/2006/relationships/image" Target="media/image1097.png"/><Relationship Id="rId1168" Type="http://schemas.openxmlformats.org/officeDocument/2006/relationships/image" Target="media/image1098.png"/><Relationship Id="rId1169" Type="http://schemas.openxmlformats.org/officeDocument/2006/relationships/image" Target="media/image1099.png"/><Relationship Id="rId1170" Type="http://schemas.openxmlformats.org/officeDocument/2006/relationships/image" Target="media/image1100.png"/><Relationship Id="rId1171" Type="http://schemas.openxmlformats.org/officeDocument/2006/relationships/image" Target="media/image1101.png"/><Relationship Id="rId1172" Type="http://schemas.openxmlformats.org/officeDocument/2006/relationships/image" Target="media/image1102.png"/><Relationship Id="rId1173" Type="http://schemas.openxmlformats.org/officeDocument/2006/relationships/image" Target="media/image1103.png"/><Relationship Id="rId1174" Type="http://schemas.openxmlformats.org/officeDocument/2006/relationships/image" Target="media/image1104.png"/><Relationship Id="rId1175" Type="http://schemas.openxmlformats.org/officeDocument/2006/relationships/image" Target="media/image1105.png"/><Relationship Id="rId1176" Type="http://schemas.openxmlformats.org/officeDocument/2006/relationships/image" Target="media/image1106.png"/><Relationship Id="rId1177" Type="http://schemas.openxmlformats.org/officeDocument/2006/relationships/image" Target="media/image1107.png"/><Relationship Id="rId1178" Type="http://schemas.openxmlformats.org/officeDocument/2006/relationships/image" Target="media/image1108.png"/><Relationship Id="rId1179" Type="http://schemas.openxmlformats.org/officeDocument/2006/relationships/image" Target="media/image1109.png"/><Relationship Id="rId1180" Type="http://schemas.openxmlformats.org/officeDocument/2006/relationships/image" Target="media/image1110.png"/><Relationship Id="rId1181" Type="http://schemas.openxmlformats.org/officeDocument/2006/relationships/image" Target="media/image1111.png"/><Relationship Id="rId1182" Type="http://schemas.openxmlformats.org/officeDocument/2006/relationships/image" Target="media/image1112.png"/><Relationship Id="rId1183" Type="http://schemas.openxmlformats.org/officeDocument/2006/relationships/image" Target="media/image1113.png"/><Relationship Id="rId1184" Type="http://schemas.openxmlformats.org/officeDocument/2006/relationships/image" Target="media/image1114.png"/><Relationship Id="rId1185" Type="http://schemas.openxmlformats.org/officeDocument/2006/relationships/image" Target="media/image1115.png"/><Relationship Id="rId1186" Type="http://schemas.openxmlformats.org/officeDocument/2006/relationships/image" Target="media/image1116.png"/><Relationship Id="rId1187" Type="http://schemas.openxmlformats.org/officeDocument/2006/relationships/image" Target="media/image1117.png"/><Relationship Id="rId1188" Type="http://schemas.openxmlformats.org/officeDocument/2006/relationships/image" Target="media/image1118.png"/><Relationship Id="rId1189" Type="http://schemas.openxmlformats.org/officeDocument/2006/relationships/image" Target="media/image1119.png"/><Relationship Id="rId1190" Type="http://schemas.openxmlformats.org/officeDocument/2006/relationships/image" Target="media/image1120.png"/><Relationship Id="rId1191" Type="http://schemas.openxmlformats.org/officeDocument/2006/relationships/image" Target="media/image1121.png"/><Relationship Id="rId1192" Type="http://schemas.openxmlformats.org/officeDocument/2006/relationships/image" Target="media/image1122.png"/><Relationship Id="rId1193" Type="http://schemas.openxmlformats.org/officeDocument/2006/relationships/image" Target="media/image1123.png"/><Relationship Id="rId1194" Type="http://schemas.openxmlformats.org/officeDocument/2006/relationships/image" Target="media/image1124.png"/><Relationship Id="rId1195" Type="http://schemas.openxmlformats.org/officeDocument/2006/relationships/image" Target="media/image1125.png"/><Relationship Id="rId1196" Type="http://schemas.openxmlformats.org/officeDocument/2006/relationships/image" Target="media/image1126.png"/><Relationship Id="rId1197" Type="http://schemas.openxmlformats.org/officeDocument/2006/relationships/image" Target="media/image1127.png"/><Relationship Id="rId1198" Type="http://schemas.openxmlformats.org/officeDocument/2006/relationships/image" Target="media/image1128.png"/><Relationship Id="rId1199" Type="http://schemas.openxmlformats.org/officeDocument/2006/relationships/image" Target="media/image1129.png"/><Relationship Id="rId1200" Type="http://schemas.openxmlformats.org/officeDocument/2006/relationships/image" Target="media/image1130.png"/><Relationship Id="rId1201" Type="http://schemas.openxmlformats.org/officeDocument/2006/relationships/image" Target="media/image1131.png"/><Relationship Id="rId1202" Type="http://schemas.openxmlformats.org/officeDocument/2006/relationships/image" Target="media/image1132.png"/><Relationship Id="rId1203" Type="http://schemas.openxmlformats.org/officeDocument/2006/relationships/image" Target="media/image1133.png"/><Relationship Id="rId1204" Type="http://schemas.openxmlformats.org/officeDocument/2006/relationships/image" Target="media/image1134.png"/><Relationship Id="rId1205" Type="http://schemas.openxmlformats.org/officeDocument/2006/relationships/image" Target="media/image1135.png"/><Relationship Id="rId1206" Type="http://schemas.openxmlformats.org/officeDocument/2006/relationships/image" Target="media/image1136.png"/><Relationship Id="rId1207" Type="http://schemas.openxmlformats.org/officeDocument/2006/relationships/image" Target="media/image1137.png"/><Relationship Id="rId1208" Type="http://schemas.openxmlformats.org/officeDocument/2006/relationships/image" Target="media/image1138.png"/><Relationship Id="rId1209" Type="http://schemas.openxmlformats.org/officeDocument/2006/relationships/image" Target="media/image1139.png"/><Relationship Id="rId1210" Type="http://schemas.openxmlformats.org/officeDocument/2006/relationships/image" Target="media/image1140.png"/><Relationship Id="rId1211" Type="http://schemas.openxmlformats.org/officeDocument/2006/relationships/image" Target="media/image1141.png"/><Relationship Id="rId1212" Type="http://schemas.openxmlformats.org/officeDocument/2006/relationships/image" Target="media/image1142.png"/><Relationship Id="rId1213" Type="http://schemas.openxmlformats.org/officeDocument/2006/relationships/image" Target="media/image1143.png"/><Relationship Id="rId1214" Type="http://schemas.openxmlformats.org/officeDocument/2006/relationships/image" Target="media/image1144.png"/><Relationship Id="rId1215" Type="http://schemas.openxmlformats.org/officeDocument/2006/relationships/image" Target="media/image1145.png"/><Relationship Id="rId1216" Type="http://schemas.openxmlformats.org/officeDocument/2006/relationships/image" Target="media/image1146.png"/><Relationship Id="rId1217" Type="http://schemas.openxmlformats.org/officeDocument/2006/relationships/image" Target="media/image1147.png"/><Relationship Id="rId1218" Type="http://schemas.openxmlformats.org/officeDocument/2006/relationships/image" Target="media/image1148.png"/><Relationship Id="rId1219" Type="http://schemas.openxmlformats.org/officeDocument/2006/relationships/image" Target="media/image1149.png"/><Relationship Id="rId1220" Type="http://schemas.openxmlformats.org/officeDocument/2006/relationships/image" Target="media/image1150.png"/><Relationship Id="rId1221" Type="http://schemas.openxmlformats.org/officeDocument/2006/relationships/image" Target="media/image1151.png"/><Relationship Id="rId1222" Type="http://schemas.openxmlformats.org/officeDocument/2006/relationships/image" Target="media/image1152.png"/><Relationship Id="rId1223" Type="http://schemas.openxmlformats.org/officeDocument/2006/relationships/image" Target="media/image1153.png"/><Relationship Id="rId1224" Type="http://schemas.openxmlformats.org/officeDocument/2006/relationships/image" Target="media/image1154.png"/><Relationship Id="rId1225" Type="http://schemas.openxmlformats.org/officeDocument/2006/relationships/image" Target="media/image1155.png"/><Relationship Id="rId1226" Type="http://schemas.openxmlformats.org/officeDocument/2006/relationships/image" Target="media/image1156.png"/><Relationship Id="rId1227" Type="http://schemas.openxmlformats.org/officeDocument/2006/relationships/image" Target="media/image1157.png"/><Relationship Id="rId1228" Type="http://schemas.openxmlformats.org/officeDocument/2006/relationships/image" Target="media/image1158.png"/><Relationship Id="rId1229" Type="http://schemas.openxmlformats.org/officeDocument/2006/relationships/image" Target="media/image1159.png"/><Relationship Id="rId1230" Type="http://schemas.openxmlformats.org/officeDocument/2006/relationships/image" Target="media/image1160.png"/><Relationship Id="rId1231" Type="http://schemas.openxmlformats.org/officeDocument/2006/relationships/image" Target="media/image1161.png"/><Relationship Id="rId1232" Type="http://schemas.openxmlformats.org/officeDocument/2006/relationships/image" Target="media/image1162.png"/><Relationship Id="rId1233" Type="http://schemas.openxmlformats.org/officeDocument/2006/relationships/image" Target="media/image1163.png"/><Relationship Id="rId1234" Type="http://schemas.openxmlformats.org/officeDocument/2006/relationships/image" Target="media/image1164.png"/><Relationship Id="rId1235" Type="http://schemas.openxmlformats.org/officeDocument/2006/relationships/image" Target="media/image1165.png"/><Relationship Id="rId1236" Type="http://schemas.openxmlformats.org/officeDocument/2006/relationships/image" Target="media/image1166.png"/><Relationship Id="rId1237" Type="http://schemas.openxmlformats.org/officeDocument/2006/relationships/image" Target="media/image1167.png"/><Relationship Id="rId1238" Type="http://schemas.openxmlformats.org/officeDocument/2006/relationships/image" Target="media/image1168.png"/><Relationship Id="rId1239" Type="http://schemas.openxmlformats.org/officeDocument/2006/relationships/image" Target="media/image1169.png"/><Relationship Id="rId1240" Type="http://schemas.openxmlformats.org/officeDocument/2006/relationships/image" Target="media/image1170.png"/><Relationship Id="rId1241" Type="http://schemas.openxmlformats.org/officeDocument/2006/relationships/image" Target="media/image1171.png"/><Relationship Id="rId1242" Type="http://schemas.openxmlformats.org/officeDocument/2006/relationships/image" Target="media/image1172.png"/><Relationship Id="rId1243" Type="http://schemas.openxmlformats.org/officeDocument/2006/relationships/image" Target="media/image1173.png"/><Relationship Id="rId1244" Type="http://schemas.openxmlformats.org/officeDocument/2006/relationships/image" Target="media/image1174.png"/><Relationship Id="rId1245" Type="http://schemas.openxmlformats.org/officeDocument/2006/relationships/image" Target="media/image1175.png"/><Relationship Id="rId1246" Type="http://schemas.openxmlformats.org/officeDocument/2006/relationships/image" Target="media/image1176.png"/><Relationship Id="rId1247" Type="http://schemas.openxmlformats.org/officeDocument/2006/relationships/image" Target="media/image1177.png"/><Relationship Id="rId1248" Type="http://schemas.openxmlformats.org/officeDocument/2006/relationships/image" Target="media/image1178.png"/><Relationship Id="rId1249" Type="http://schemas.openxmlformats.org/officeDocument/2006/relationships/image" Target="media/image1179.png"/><Relationship Id="rId1250" Type="http://schemas.openxmlformats.org/officeDocument/2006/relationships/image" Target="media/image1180.png"/><Relationship Id="rId1251" Type="http://schemas.openxmlformats.org/officeDocument/2006/relationships/image" Target="media/image1181.png"/><Relationship Id="rId1252" Type="http://schemas.openxmlformats.org/officeDocument/2006/relationships/image" Target="media/image1182.png"/><Relationship Id="rId1253" Type="http://schemas.openxmlformats.org/officeDocument/2006/relationships/image" Target="media/image1183.png"/><Relationship Id="rId1254" Type="http://schemas.openxmlformats.org/officeDocument/2006/relationships/image" Target="media/image1184.png"/><Relationship Id="rId1255" Type="http://schemas.openxmlformats.org/officeDocument/2006/relationships/image" Target="media/image1185.png"/><Relationship Id="rId1256" Type="http://schemas.openxmlformats.org/officeDocument/2006/relationships/image" Target="media/image1186.png"/><Relationship Id="rId1257" Type="http://schemas.openxmlformats.org/officeDocument/2006/relationships/image" Target="media/image1187.png"/><Relationship Id="rId1258" Type="http://schemas.openxmlformats.org/officeDocument/2006/relationships/image" Target="media/image1188.png"/><Relationship Id="rId1259" Type="http://schemas.openxmlformats.org/officeDocument/2006/relationships/image" Target="media/image1189.png"/><Relationship Id="rId1260" Type="http://schemas.openxmlformats.org/officeDocument/2006/relationships/image" Target="media/image1190.png"/><Relationship Id="rId1261" Type="http://schemas.openxmlformats.org/officeDocument/2006/relationships/image" Target="media/image1191.png"/><Relationship Id="rId1262" Type="http://schemas.openxmlformats.org/officeDocument/2006/relationships/image" Target="media/image1192.png"/><Relationship Id="rId1263" Type="http://schemas.openxmlformats.org/officeDocument/2006/relationships/image" Target="media/image1193.png"/><Relationship Id="rId1264" Type="http://schemas.openxmlformats.org/officeDocument/2006/relationships/image" Target="media/image1194.png"/><Relationship Id="rId1265" Type="http://schemas.openxmlformats.org/officeDocument/2006/relationships/image" Target="media/image1195.png"/><Relationship Id="rId1266" Type="http://schemas.openxmlformats.org/officeDocument/2006/relationships/image" Target="media/image1196.png"/><Relationship Id="rId1267" Type="http://schemas.openxmlformats.org/officeDocument/2006/relationships/image" Target="media/image1197.png"/><Relationship Id="rId1268" Type="http://schemas.openxmlformats.org/officeDocument/2006/relationships/image" Target="media/image1198.png"/><Relationship Id="rId1269" Type="http://schemas.openxmlformats.org/officeDocument/2006/relationships/image" Target="media/image1199.png"/><Relationship Id="rId1270" Type="http://schemas.openxmlformats.org/officeDocument/2006/relationships/image" Target="media/image1200.png"/><Relationship Id="rId1271" Type="http://schemas.openxmlformats.org/officeDocument/2006/relationships/image" Target="media/image1201.png"/><Relationship Id="rId219" Type="http://schemas.openxmlformats.org/officeDocument/2006/relationships/hyperlink" Target="https://www.sec.gov/Archives/edgar/data/0000918646/000095013403015046/d10221aexv2w1.htm" TargetMode="External"/><Relationship Id="rId220" Type="http://schemas.openxmlformats.org/officeDocument/2006/relationships/hyperlink" Target="https://www.sec.gov/Archives/edgar/data/0000918646/000095013403015046/d10221aexv2w2.htm" TargetMode="External"/><Relationship Id="rId221" Type="http://schemas.openxmlformats.org/officeDocument/2006/relationships/hyperlink" Target="https://www.sec.gov/Archives/edgar/data/0000918646/000095013406007120/d34975exv3w1.htm" TargetMode="External"/><Relationship Id="rId222" Type="http://schemas.openxmlformats.org/officeDocument/2006/relationships/hyperlink" Target="https://www.sec.gov/Archives/edgar/data/0000918646/000095013406007120/d34975exv3w2.htm" TargetMode="External"/><Relationship Id="rId223" Type="http://schemas.openxmlformats.org/officeDocument/2006/relationships/hyperlink" Target="https://www.sec.gov/Archives/edgar/data/0000918646/000095013407012499/d47008exv3w3.htm" TargetMode="External"/><Relationship Id="rId224" Type="http://schemas.openxmlformats.org/officeDocument/2006/relationships/hyperlink" Target="https://www.sec.gov/Archives/edgar/data/0000918646/000119312508242277/dex31.htm" TargetMode="External"/><Relationship Id="rId225" Type="http://schemas.openxmlformats.org/officeDocument/2006/relationships/hyperlink" Target="https://www.sec.gov/Archives/edgar/data/0000918646/000119312512039077/d293132dex31.htm" TargetMode="External"/><Relationship Id="rId226" Type="http://schemas.openxmlformats.org/officeDocument/2006/relationships/hyperlink" Target="https://www.sec.gov/Archives/edgar/data/0000918646/000119312515283216/d14911dex31.htm" TargetMode="External"/><Relationship Id="rId227" Type="http://schemas.openxmlformats.org/officeDocument/2006/relationships/hyperlink" Target="https://www.sec.gov/Archives/edgar/data/0000918646/000119312521206385/d66136dex101.htm" TargetMode="External"/><Relationship Id="rId228" Type="http://schemas.openxmlformats.org/officeDocument/2006/relationships/hyperlink" Target="https://www.sec.gov/Archives/edgar/data/918646/000095013401503553/d88409ex10-2a.txt" TargetMode="External"/><Relationship Id="rId229" Type="http://schemas.openxmlformats.org/officeDocument/2006/relationships/hyperlink" Target="https://www.sec.gov/Archives/edgar/data/0000918646/000119312521206385/d66136dex42.htm" TargetMode="External"/><Relationship Id="rId231" Type="http://schemas.openxmlformats.org/officeDocument/2006/relationships/hyperlink" Target="https://www.sec.gov/Archives/edgar/data/918646/000095013401503553/d88409ex10-2.txt" TargetMode="External"/><Relationship Id="rId232" Type="http://schemas.openxmlformats.org/officeDocument/2006/relationships/hyperlink" Target="https://www.sec.gov/Archives/edgar/data/918646/000119312513267613/d555548ddef14a.htm" TargetMode="External"/><Relationship Id="rId233" Type="http://schemas.openxmlformats.org/officeDocument/2006/relationships/hyperlink" Target="https://www.sec.gov/Archives/edgar/data/0000918646/000156459017014404/exp-ex104_60.htm" TargetMode="External"/><Relationship Id="rId234" Type="http://schemas.openxmlformats.org/officeDocument/2006/relationships/hyperlink" Target="https://www.sec.gov/Archives/edgar/data/0000918646/000095013406014442/d38289exv10w1.htm" TargetMode="External"/><Relationship Id="rId235" Type="http://schemas.openxmlformats.org/officeDocument/2006/relationships/hyperlink" Target="https://www.sec.gov/Archives/edgar/data/918646/000119312510181321/dex108.htm" TargetMode="External"/><Relationship Id="rId236" Type="http://schemas.openxmlformats.org/officeDocument/2006/relationships/hyperlink" Target="https://www.sec.gov/Archives/edgar/data/918646/000119312512460533/d412938dex107.htm" TargetMode="External"/><Relationship Id="rId237" Type="http://schemas.openxmlformats.org/officeDocument/2006/relationships/hyperlink" Target="https://www.sec.gov/Archives/edgar/data/918646/000119312513432851/d599914dex102.htm" TargetMode="External"/><Relationship Id="rId238" Type="http://schemas.openxmlformats.org/officeDocument/2006/relationships/hyperlink" Target="https://www.sec.gov/Archives/edgar/data/918646/000119312513432851/d599914dex105.htm" TargetMode="External"/><Relationship Id="rId239" Type="http://schemas.openxmlformats.org/officeDocument/2006/relationships/hyperlink" Target="https://www.sec.gov/Archives/edgar/data/918646/000156459014005047/exp-ex102_20140930429.htm" TargetMode="External"/><Relationship Id="rId240" Type="http://schemas.openxmlformats.org/officeDocument/2006/relationships/hyperlink" Target="https://www.sec.gov/Archives/edgar/data/918646/000156459014005047/exp-ex104_20140930431.htm" TargetMode="External"/><Relationship Id="rId241" Type="http://schemas.openxmlformats.org/officeDocument/2006/relationships/hyperlink" Target="https://www.sec.gov/Archives/edgar/data/918646/000156459014005047/exp-ex105_20140930432.htm" TargetMode="External"/><Relationship Id="rId242" Type="http://schemas.openxmlformats.org/officeDocument/2006/relationships/hyperlink" Target="https://www.sec.gov/Archives/edgar/data/918646/000156459015006063/exp-ex106_252.htm" TargetMode="External"/><Relationship Id="rId243" Type="http://schemas.openxmlformats.org/officeDocument/2006/relationships/hyperlink" Target="https://www.sec.gov/Archives/edgar/data/918646/000156459015008677/exp-ex102_272.htm" TargetMode="External"/><Relationship Id="rId244" Type="http://schemas.openxmlformats.org/officeDocument/2006/relationships/hyperlink" Target="https://www.sec.gov/Archives/edgar/data/918646/000156459015008677/exp-ex103_273.htm" TargetMode="External"/><Relationship Id="rId258" Type="http://schemas.openxmlformats.org/officeDocument/2006/relationships/hyperlink" Target="https://www.sec.gov/Archives/edgar/data/918646/000156459016026026/exp-ex102_129.htm" TargetMode="External"/><Relationship Id="rId259" Type="http://schemas.openxmlformats.org/officeDocument/2006/relationships/hyperlink" Target="https://www.sec.gov/Archives/edgar/data/918646/000156459016026026/exp-ex103_128.htm" TargetMode="External"/><Relationship Id="rId260" Type="http://schemas.openxmlformats.org/officeDocument/2006/relationships/hyperlink" Target="https://www.sec.gov/Archives/edgar/data/918646/000156459016026026/exp-ex104_127.htm" TargetMode="External"/><Relationship Id="rId261" Type="http://schemas.openxmlformats.org/officeDocument/2006/relationships/hyperlink" Target="https://www.sec.gov/Archives/edgar/data/918646/000156459016026026/exp-ex105_126.htm" TargetMode="External"/><Relationship Id="rId262" Type="http://schemas.openxmlformats.org/officeDocument/2006/relationships/hyperlink" Target="https://www.sec.gov/Archives/edgar/data/918646/000156459017020034/exp-ex102_52.htm" TargetMode="External"/><Relationship Id="rId263" Type="http://schemas.openxmlformats.org/officeDocument/2006/relationships/hyperlink" Target="https://www.sec.gov/Archives/edgar/data/918646/000156459017014404/exp-ex105_64.htm" TargetMode="External"/><Relationship Id="rId264" Type="http://schemas.openxmlformats.org/officeDocument/2006/relationships/hyperlink" Target="https://www.sec.gov/Archives/edgar/data/918646/000156459017014404/exp-ex106_63.htm" TargetMode="External"/><Relationship Id="rId265" Type="http://schemas.openxmlformats.org/officeDocument/2006/relationships/hyperlink" Target="https://www.sec.gov/Archives/edgar/data/918646/000156459018017911/exp-ex103_169.htm" TargetMode="External"/><Relationship Id="rId266" Type="http://schemas.openxmlformats.org/officeDocument/2006/relationships/hyperlink" Target="https://www.sec.gov/Archives/edgar/data/918646/000156459018017911/exp-ex104_168.htm" TargetMode="External"/><Relationship Id="rId267" Type="http://schemas.openxmlformats.org/officeDocument/2006/relationships/hyperlink" Target="https://www.sec.gov/Archives/edgar/data/918646/000156459018025641/exp-ex102_261.htm" TargetMode="External"/><Relationship Id="rId268" Type="http://schemas.openxmlformats.org/officeDocument/2006/relationships/hyperlink" Target="https://www.sec.gov/Archives/edgar/data/918646/000119312519024134/d629735dex46.htm" TargetMode="External"/><Relationship Id="rId281" Type="http://schemas.openxmlformats.org/officeDocument/2006/relationships/hyperlink" Target="https://www.sec.gov/Archives/edgar/data/918646/000095013400005170/0000950134-00-005170-0002.txt" TargetMode="External"/><Relationship Id="rId282" Type="http://schemas.openxmlformats.org/officeDocument/2006/relationships/hyperlink" Target="https://www.sec.gov/Archives/edgar/data/918646/000095013406010995/d36609exv10w4xay.htm" TargetMode="External"/><Relationship Id="rId283" Type="http://schemas.openxmlformats.org/officeDocument/2006/relationships/hyperlink" Target="https://www.sec.gov/Archives/edgar/data/918646/000095013404008774/d15917exv10w5.txt" TargetMode="External"/><Relationship Id="rId284" Type="http://schemas.openxmlformats.org/officeDocument/2006/relationships/hyperlink" Target="https://www.sec.gov/Archives/edgar/data/918646/000095013404008774/d15917exv10w9.txt" TargetMode="External"/><Relationship Id="rId285" Type="http://schemas.openxmlformats.org/officeDocument/2006/relationships/hyperlink" Target="https://www.sec.gov/Archives/edgar/data/918646/000119312520147444/d934029dex101.htm" TargetMode="External"/><Relationship Id="rId286" Type="http://schemas.openxmlformats.org/officeDocument/2006/relationships/hyperlink" Target="https://www.sec.gov/Archives/edgar/data/918646/000119312520147444/d934029dex102.htm" TargetMode="External"/><Relationship Id="rId287" Type="http://schemas.openxmlformats.org/officeDocument/2006/relationships/hyperlink" Target="https://www.sec.gov/Archives/edgar/data/918646/000156459021038668/exp-ex105_464.htm" TargetMode="External"/><Relationship Id="rId288" Type="http://schemas.openxmlformats.org/officeDocument/2006/relationships/hyperlink" Target="https://www.sec.gov/Archives/edgar/data/918646/000119312519181237/d767495dex101.htm" TargetMode="External"/><Relationship Id="rId289" Type="http://schemas.openxmlformats.org/officeDocument/2006/relationships/hyperlink" Target="https://www.sec.gov/Archives/edgar/data/918646/000119312519181237/d767495dex102.htm" TargetMode="External"/><Relationship Id="rId290" Type="http://schemas.openxmlformats.org/officeDocument/2006/relationships/hyperlink" Target="https://www.sec.gov/Archives/edgar/data/918646/000119312519181237/d767495dex103.htm" TargetMode="External"/><Relationship Id="rId291" Type="http://schemas.openxmlformats.org/officeDocument/2006/relationships/hyperlink" Target="https://www.sec.gov/Archives/edgar/data/918646/000119312519181237/d767495dex104.htm" TargetMode="External"/><Relationship Id="rId292" Type="http://schemas.openxmlformats.org/officeDocument/2006/relationships/hyperlink" Target="https://www.sec.gov/Archives/edgar/data/918646/000156459019027178/exp-ex108_10.htm" TargetMode="External"/><Relationship Id="rId293" Type="http://schemas.openxmlformats.org/officeDocument/2006/relationships/hyperlink" Target="https://www.sec.gov/Archives/edgar/data/918646/000156459019027178/exp-ex109_6.htm" TargetMode="External"/><Relationship Id="rId294" Type="http://schemas.openxmlformats.org/officeDocument/2006/relationships/hyperlink" Target="https://www.sec.gov/Archives/edgar/data/918646/000156459019027178/exp-ex1010_13.htm" TargetMode="External"/><Relationship Id="rId295" Type="http://schemas.openxmlformats.org/officeDocument/2006/relationships/hyperlink" Target="https://www.sec.gov/Archives/edgar/data/918646/000156459019027178/exp-ex1011_7.htm" TargetMode="External"/><Relationship Id="rId309" Type="http://schemas.openxmlformats.org/officeDocument/2006/relationships/hyperlink" Target="https://www.sec.gov/Archives/edgar/data/918646/000156459020034976/exp-ex103_394.htm" TargetMode="External"/><Relationship Id="rId310" Type="http://schemas.openxmlformats.org/officeDocument/2006/relationships/hyperlink" Target="https://www.sec.gov/Archives/edgar/data/918646/000156459020034976/exp-ex104_395.htm" TargetMode="External"/><Relationship Id="rId311" Type="http://schemas.openxmlformats.org/officeDocument/2006/relationships/hyperlink" Target="https://www.sec.gov/Archives/edgar/data/918646/000156459020034976/exp-ex105_393.htm" TargetMode="External"/><Relationship Id="rId312" Type="http://schemas.openxmlformats.org/officeDocument/2006/relationships/hyperlink" Target="https://www.sec.gov/Archives/edgar/data/918646/000156459020034976/exp-ex106_392.htm" TargetMode="External"/><Relationship Id="rId313" Type="http://schemas.openxmlformats.org/officeDocument/2006/relationships/hyperlink" Target="https://www.sec.gov/Archives/edgar/data/918646/000156459020048977/exp-ex101_244.htm" TargetMode="External"/><Relationship Id="rId314" Type="http://schemas.openxmlformats.org/officeDocument/2006/relationships/hyperlink" Target="https://www.sec.gov/Archives/edgar/data/918646/000156459021003065/exp-ex102_244.htm" TargetMode="External"/><Relationship Id="rId315" Type="http://schemas.openxmlformats.org/officeDocument/2006/relationships/hyperlink" Target="https://www.sec.gov/Archives/edgar/data/918646/000156459020048977/exp-ex102_242.htm" TargetMode="External"/><Relationship Id="rId316" Type="http://schemas.openxmlformats.org/officeDocument/2006/relationships/hyperlink" Target="https://www.sec.gov/Archives/edgar/data/0000918646/000156459021038668/exp-ex103_38.htm" TargetMode="External"/><Relationship Id="rId317" Type="http://schemas.openxmlformats.org/officeDocument/2006/relationships/hyperlink" Target="https://www.sec.gov/Archives/edgar/data/0000918646/000156459021038668/exp-ex104_37.htm" TargetMode="External"/><Relationship Id="rId318" Type="http://schemas.openxmlformats.org/officeDocument/2006/relationships/hyperlink" Target="https://www.sec.gov/Archives/edgar/data/0000918646/000095017021002466/exp-ex10_1.htm" TargetMode="External"/><Relationship Id="rId319" Type="http://schemas.openxmlformats.org/officeDocument/2006/relationships/hyperlink" Target="https://www.sec.gov/Archives/edgar/data/0000918646/000095017021002466/exp-ex10_2.htm" TargetMode="External"/><Relationship Id="rId320" Type="http://schemas.openxmlformats.org/officeDocument/2006/relationships/hyperlink" Target="https://www.sec.gov/Archives/edgar/data/0000918646/000095017021002466/exp-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2022-05-20T15:48:20Z</dcterms:created>
  <dcterms:modified xsi:type="dcterms:W3CDTF">2022-05-20T15:48:20Z</dcterms:modified>
</cp:coreProperties>
</file>