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March 31, 2023</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No.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EAGLE MATERIALS INC.</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Delaware </w:t>
      </w:r>
      <w:r>
        <w:rPr>
          <w:rFonts w:ascii="Arial" w:cs="Arial" w:eastAsia="Arial" w:hAnsi="Arial"/>
          <w:sz w:val="14"/>
          <w:szCs w:val="14"/>
          <w:color w:val="auto"/>
        </w:rPr>
        <w:t>(State of Incorporation)</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75-2520779 </w:t>
      </w:r>
      <w:r>
        <w:rPr>
          <w:rFonts w:ascii="Arial" w:cs="Arial" w:eastAsia="Arial" w:hAnsi="Arial"/>
          <w:sz w:val="14"/>
          <w:szCs w:val="14"/>
          <w:color w:val="auto"/>
        </w:rPr>
        <w:t>(I.R.S. Employer Identification No.)</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5960 Berkshire Lane, Suite 900, Dallas, Texas 75225 </w:t>
      </w:r>
      <w:r>
        <w:rPr>
          <w:rFonts w:ascii="Arial" w:cs="Arial" w:eastAsia="Arial" w:hAnsi="Arial"/>
          <w:sz w:val="14"/>
          <w:szCs w:val="14"/>
          <w:color w:val="auto"/>
        </w:rPr>
        <w:t>(Address of principal executive offices)</w:t>
      </w:r>
    </w:p>
    <w:p>
      <w:pPr>
        <w:spacing w:after="0" w:line="35" w:lineRule="exact"/>
        <w:rPr>
          <w:sz w:val="24"/>
          <w:szCs w:val="24"/>
          <w:color w:val="auto"/>
        </w:rPr>
      </w:pPr>
    </w:p>
    <w:p>
      <w:pPr>
        <w:ind w:left="4420" w:hanging="419"/>
        <w:spacing w:after="0"/>
        <w:tabs>
          <w:tab w:leader="none" w:pos="4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432-2000 </w:t>
      </w:r>
      <w:r>
        <w:rPr>
          <w:rFonts w:ascii="Arial" w:cs="Arial" w:eastAsia="Arial" w:hAnsi="Arial"/>
          <w:sz w:val="14"/>
          <w:szCs w:val="14"/>
          <w:color w:val="auto"/>
        </w:rPr>
        <w:t>(Registrant’s telephone number)</w:t>
      </w:r>
    </w:p>
    <w:p>
      <w:pPr>
        <w:spacing w:after="0" w:line="18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Arial" w:cs="Arial" w:eastAsia="Arial" w:hAnsi="Arial"/>
                <w:sz w:val="14"/>
                <w:szCs w:val="14"/>
                <w:color w:val="auto"/>
              </w:rPr>
              <w:t>Common Stock (par value $.01 per share)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EXP</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20" w:type="dxa"/>
            <w:vAlign w:val="bottom"/>
          </w:tcPr>
          <w:p>
            <w:pPr>
              <w:jc w:val="center"/>
              <w:ind w:right="128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369"/>
        </w:trPr>
        <w:tc>
          <w:tcPr>
            <w:tcW w:w="8120" w:type="dxa"/>
            <w:vAlign w:val="bottom"/>
            <w:gridSpan w:val="8"/>
          </w:tcPr>
          <w:p>
            <w:pPr>
              <w:jc w:val="center"/>
              <w:ind w:left="3004"/>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500" w:type="dxa"/>
            <w:vAlign w:val="bottom"/>
            <w:gridSpan w:val="2"/>
          </w:tcPr>
          <w:p>
            <w:pPr>
              <w:spacing w:after="0"/>
              <w:rPr>
                <w:sz w:val="5"/>
                <w:szCs w:val="5"/>
                <w:color w:val="auto"/>
              </w:rPr>
            </w:pPr>
          </w:p>
        </w:tc>
        <w:tc>
          <w:tcPr>
            <w:tcW w:w="2260" w:type="dxa"/>
            <w:vAlign w:val="bottom"/>
            <w:tcBorders>
              <w:bottom w:val="single" w:sz="8" w:color="auto"/>
            </w:tcBorders>
            <w:gridSpan w:val="3"/>
          </w:tcPr>
          <w:p>
            <w:pPr>
              <w:spacing w:after="0"/>
              <w:rPr>
                <w:sz w:val="5"/>
                <w:szCs w:val="5"/>
                <w:color w:val="auto"/>
              </w:rPr>
            </w:pPr>
          </w:p>
        </w:tc>
        <w:tc>
          <w:tcPr>
            <w:tcW w:w="780" w:type="dxa"/>
            <w:vAlign w:val="bottom"/>
            <w:gridSpan w:val="2"/>
          </w:tcPr>
          <w:p>
            <w:pPr>
              <w:spacing w:after="0"/>
              <w:rPr>
                <w:sz w:val="5"/>
                <w:szCs w:val="5"/>
                <w:color w:val="auto"/>
              </w:rPr>
            </w:pPr>
          </w:p>
        </w:tc>
        <w:tc>
          <w:tcPr>
            <w:tcW w:w="580" w:type="dxa"/>
            <w:vAlign w:val="bottom"/>
            <w:vMerge w:val="restart"/>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120" w:type="dxa"/>
            <w:vAlign w:val="bottom"/>
            <w:vMerge w:val="restart"/>
          </w:tcPr>
          <w:p>
            <w:pPr>
              <w:ind w:left="16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90"/>
        </w:trPr>
        <w:tc>
          <w:tcPr>
            <w:tcW w:w="754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4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580" w:type="dxa"/>
            <w:vAlign w:val="bottom"/>
          </w:tcPr>
          <w:p>
            <w:pPr>
              <w:ind w:left="10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120" w:type="dxa"/>
            <w:vAlign w:val="bottom"/>
          </w:tcPr>
          <w:p>
            <w:pPr>
              <w:ind w:left="1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4" w:lineRule="exact"/>
        <w:rPr>
          <w:sz w:val="24"/>
          <w:szCs w:val="24"/>
          <w:color w:val="auto"/>
        </w:rPr>
      </w:pPr>
    </w:p>
    <w:p>
      <w:pPr>
        <w:ind w:right="62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definition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780" w:type="dxa"/>
            <w:vAlign w:val="bottom"/>
          </w:tcPr>
          <w:p>
            <w:pPr>
              <w:ind w:left="2540"/>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tc>
      </w:tr>
      <w:tr>
        <w:trPr>
          <w:trHeight w:val="203"/>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780" w:type="dxa"/>
            <w:vAlign w:val="bottom"/>
          </w:tcPr>
          <w:p>
            <w:pPr>
              <w:ind w:left="1880"/>
              <w:spacing w:after="0" w:line="188" w:lineRule="exact"/>
              <w:rPr>
                <w:sz w:val="20"/>
                <w:szCs w:val="20"/>
                <w:color w:val="auto"/>
              </w:rPr>
            </w:pP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tc>
      </w:tr>
      <w:tr>
        <w:trPr>
          <w:trHeight w:val="242"/>
        </w:trPr>
        <w:tc>
          <w:tcPr>
            <w:tcW w:w="382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tc>
        <w:tc>
          <w:tcPr>
            <w:tcW w:w="3780" w:type="dxa"/>
            <w:vAlign w:val="bottom"/>
          </w:tcPr>
          <w:p>
            <w:pPr>
              <w:spacing w:after="0"/>
              <w:rPr>
                <w:sz w:val="21"/>
                <w:szCs w:val="21"/>
                <w:color w:val="auto"/>
              </w:rPr>
            </w:pPr>
          </w:p>
        </w:tc>
      </w:tr>
    </w:tbl>
    <w:p>
      <w:pPr>
        <w:spacing w:after="0" w:line="23" w:lineRule="exact"/>
        <w:rPr>
          <w:sz w:val="24"/>
          <w:szCs w:val="24"/>
          <w:color w:val="auto"/>
        </w:rPr>
      </w:pPr>
    </w:p>
    <w:p>
      <w:pPr>
        <w:ind w:right="3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4" w:lineRule="exact"/>
        <w:rPr>
          <w:sz w:val="24"/>
          <w:szCs w:val="24"/>
          <w:color w:val="auto"/>
        </w:rPr>
      </w:pPr>
    </w:p>
    <w:p>
      <w:pPr>
        <w:ind w:right="42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4" w:lineRule="exact"/>
        <w:rPr>
          <w:sz w:val="24"/>
          <w:szCs w:val="24"/>
          <w:color w:val="auto"/>
        </w:rPr>
      </w:pPr>
    </w:p>
    <w:p>
      <w:pPr>
        <w:ind w:right="620"/>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4" w:lineRule="exact"/>
        <w:rPr>
          <w:sz w:val="24"/>
          <w:szCs w:val="24"/>
          <w:color w:val="auto"/>
        </w:rPr>
      </w:pPr>
    </w:p>
    <w:p>
      <w:pPr>
        <w:ind w:right="460"/>
        <w:spacing w:after="0" w:line="184"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tabs>
          <w:tab w:leader="none" w:pos="71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65" w:lineRule="exact"/>
        <w:rPr>
          <w:sz w:val="24"/>
          <w:szCs w:val="24"/>
          <w:color w:val="auto"/>
        </w:rPr>
      </w:pPr>
    </w:p>
    <w:p>
      <w:pPr>
        <w:ind w:right="200"/>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Company at September 30, 2022 (the last business day of the registrant’s most recently completed second fiscal quarter) was approximately $3.9 billion.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May 17, 2023, the number of outstanding shares of common stock was:</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Class</w:t>
            </w:r>
          </w:p>
        </w:tc>
        <w:tc>
          <w:tcPr>
            <w:tcW w:w="24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Outstanding Shares</w:t>
            </w:r>
          </w:p>
        </w:tc>
      </w:tr>
      <w:tr>
        <w:trPr>
          <w:trHeight w:val="184"/>
        </w:trPr>
        <w:tc>
          <w:tcPr>
            <w:tcW w:w="5500" w:type="dxa"/>
            <w:vAlign w:val="bottom"/>
          </w:tcPr>
          <w:p>
            <w:pPr>
              <w:jc w:val="center"/>
              <w:spacing w:after="0"/>
              <w:rPr>
                <w:sz w:val="20"/>
                <w:szCs w:val="20"/>
                <w:color w:val="auto"/>
              </w:rPr>
            </w:pPr>
            <w:r>
              <w:rPr>
                <w:rFonts w:ascii="Arial" w:cs="Arial" w:eastAsia="Arial" w:hAnsi="Arial"/>
                <w:sz w:val="14"/>
                <w:szCs w:val="14"/>
                <w:color w:val="auto"/>
              </w:rPr>
              <w:t>Common Stock, $.01 Par Value</w:t>
            </w:r>
          </w:p>
        </w:tc>
        <w:tc>
          <w:tcPr>
            <w:tcW w:w="5740" w:type="dxa"/>
            <w:vAlign w:val="bottom"/>
            <w:gridSpan w:val="2"/>
          </w:tcPr>
          <w:p>
            <w:pPr>
              <w:jc w:val="right"/>
              <w:ind w:right="2317"/>
              <w:spacing w:after="0"/>
              <w:rPr>
                <w:sz w:val="20"/>
                <w:szCs w:val="20"/>
                <w:color w:val="auto"/>
              </w:rPr>
            </w:pPr>
            <w:r>
              <w:rPr>
                <w:rFonts w:ascii="Arial" w:cs="Arial" w:eastAsia="Arial" w:hAnsi="Arial"/>
                <w:sz w:val="14"/>
                <w:szCs w:val="14"/>
                <w:color w:val="auto"/>
              </w:rPr>
              <w:t>35,385,442</w:t>
            </w:r>
          </w:p>
        </w:tc>
      </w:tr>
    </w:tbl>
    <w:p>
      <w:pPr>
        <w:spacing w:after="0" w:line="15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2"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Portions of the Proxy Statement for the Annual Meeting of Stockholders of Eagle Materials Inc. to be held on August 3, 2023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50"/>
        </w:trPr>
        <w:tc>
          <w:tcPr>
            <w:tcW w:w="2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4"/>
              </w:rPr>
              <w:t>PART I</w:t>
            </w:r>
          </w:p>
        </w:tc>
        <w:tc>
          <w:tcPr>
            <w:tcW w:w="7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920" w:type="dxa"/>
            <w:vAlign w:val="bottom"/>
            <w:gridSpan w:val="27"/>
          </w:tcPr>
          <w:p>
            <w:pPr>
              <w:spacing w:after="0"/>
              <w:rPr>
                <w:sz w:val="20"/>
                <w:szCs w:val="20"/>
                <w:color w:val="auto"/>
              </w:rPr>
            </w:pPr>
            <w:r>
              <w:rPr>
                <w:rFonts w:ascii="Arial" w:cs="Arial" w:eastAsia="Arial" w:hAnsi="Arial"/>
                <w:sz w:val="18"/>
                <w:szCs w:val="18"/>
                <w:color w:val="auto"/>
              </w:rPr>
              <w:t>Business</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00" w:type="dxa"/>
            <w:vAlign w:val="bottom"/>
            <w:gridSpan w:val="26"/>
          </w:tcPr>
          <w:p>
            <w:pPr>
              <w:spacing w:after="0"/>
              <w:rPr>
                <w:sz w:val="20"/>
                <w:szCs w:val="20"/>
                <w:color w:val="auto"/>
              </w:rPr>
            </w:pPr>
            <w:r>
              <w:rPr>
                <w:rFonts w:ascii="Arial" w:cs="Arial" w:eastAsia="Arial" w:hAnsi="Arial"/>
                <w:sz w:val="18"/>
                <w:szCs w:val="18"/>
                <w:color w:val="auto"/>
              </w:rPr>
              <w:t>Overview</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w w:val="98"/>
              </w:rPr>
              <w:t>Fiscal 2023 Highlights</w:t>
            </w:r>
          </w:p>
        </w:tc>
        <w:tc>
          <w:tcPr>
            <w:tcW w:w="6940" w:type="dxa"/>
            <w:vAlign w:val="bottom"/>
            <w:gridSpan w:val="14"/>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auto"/>
                <w:w w:val="99"/>
              </w:rPr>
              <w:t>Human Capital</w:t>
            </w:r>
          </w:p>
        </w:tc>
        <w:tc>
          <w:tcPr>
            <w:tcW w:w="7500" w:type="dxa"/>
            <w:vAlign w:val="bottom"/>
            <w:gridSpan w:val="1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99"/>
              </w:rPr>
              <w:t>Industry Segment Information</w:t>
            </w:r>
          </w:p>
        </w:tc>
        <w:tc>
          <w:tcPr>
            <w:tcW w:w="6340" w:type="dxa"/>
            <w:vAlign w:val="bottom"/>
            <w:gridSpan w:val="12"/>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00" w:type="dxa"/>
            <w:vAlign w:val="bottom"/>
            <w:gridSpan w:val="26"/>
          </w:tcPr>
          <w:p>
            <w:pPr>
              <w:spacing w:after="0"/>
              <w:rPr>
                <w:sz w:val="20"/>
                <w:szCs w:val="20"/>
                <w:color w:val="auto"/>
              </w:rPr>
            </w:pPr>
            <w:r>
              <w:rPr>
                <w:rFonts w:ascii="Arial" w:cs="Arial" w:eastAsia="Arial" w:hAnsi="Arial"/>
                <w:sz w:val="18"/>
                <w:szCs w:val="18"/>
                <w:color w:val="auto"/>
              </w:rPr>
              <w:t>Where You Can Find More Information</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7"/>
              </w:rPr>
              <w:t>Risk Factors</w:t>
            </w:r>
          </w:p>
        </w:tc>
        <w:tc>
          <w:tcPr>
            <w:tcW w:w="7920" w:type="dxa"/>
            <w:vAlign w:val="bottom"/>
            <w:gridSpan w:val="21"/>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7"/>
          </w:tcPr>
          <w:p>
            <w:pPr>
              <w:spacing w:after="0"/>
              <w:rPr>
                <w:sz w:val="20"/>
                <w:szCs w:val="20"/>
                <w:color w:val="auto"/>
              </w:rPr>
            </w:pPr>
            <w:r>
              <w:rPr>
                <w:rFonts w:ascii="Arial" w:cs="Arial" w:eastAsia="Arial" w:hAnsi="Arial"/>
                <w:sz w:val="18"/>
                <w:szCs w:val="18"/>
                <w:color w:val="auto"/>
              </w:rPr>
              <w:t>Unresolved Staff Comments</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auto"/>
                <w:w w:val="97"/>
              </w:rPr>
              <w:t>Properties</w:t>
            </w:r>
          </w:p>
        </w:tc>
        <w:tc>
          <w:tcPr>
            <w:tcW w:w="1420" w:type="dxa"/>
            <w:vAlign w:val="bottom"/>
            <w:tcBorders>
              <w:top w:val="single" w:sz="8" w:color="0000EE"/>
            </w:tcBorders>
            <w:gridSpan w:val="10"/>
          </w:tcPr>
          <w:p>
            <w:pPr>
              <w:spacing w:after="0"/>
              <w:rPr>
                <w:sz w:val="18"/>
                <w:szCs w:val="18"/>
                <w:color w:val="auto"/>
              </w:rPr>
            </w:pPr>
          </w:p>
        </w:tc>
        <w:tc>
          <w:tcPr>
            <w:tcW w:w="6680" w:type="dxa"/>
            <w:vAlign w:val="bottom"/>
            <w:gridSpan w:val="13"/>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8920" w:type="dxa"/>
            <w:vAlign w:val="bottom"/>
            <w:gridSpan w:val="27"/>
          </w:tcPr>
          <w:p>
            <w:pPr>
              <w:spacing w:after="0"/>
              <w:rPr>
                <w:sz w:val="20"/>
                <w:szCs w:val="20"/>
                <w:color w:val="auto"/>
              </w:rPr>
            </w:pPr>
            <w:r>
              <w:rPr>
                <w:rFonts w:ascii="Arial" w:cs="Arial" w:eastAsia="Arial" w:hAnsi="Arial"/>
                <w:sz w:val="18"/>
                <w:szCs w:val="18"/>
                <w:color w:val="auto"/>
              </w:rPr>
              <w:t>Legal Proceedings</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920" w:type="dxa"/>
            <w:vAlign w:val="bottom"/>
            <w:gridSpan w:val="27"/>
          </w:tcPr>
          <w:p>
            <w:pPr>
              <w:spacing w:after="0"/>
              <w:rPr>
                <w:sz w:val="20"/>
                <w:szCs w:val="20"/>
                <w:color w:val="auto"/>
              </w:rPr>
            </w:pPr>
            <w:r>
              <w:rPr>
                <w:rFonts w:ascii="Arial" w:cs="Arial" w:eastAsia="Arial" w:hAnsi="Arial"/>
                <w:sz w:val="18"/>
                <w:szCs w:val="18"/>
                <w:color w:val="auto"/>
              </w:rPr>
              <w:t>Mine Safety Disclosures</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9"/>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5.</w:t>
            </w:r>
          </w:p>
        </w:tc>
        <w:tc>
          <w:tcPr>
            <w:tcW w:w="720" w:type="dxa"/>
            <w:vAlign w:val="bottom"/>
            <w:gridSpan w:val="5"/>
          </w:tcPr>
          <w:p>
            <w:pPr>
              <w:spacing w:after="0"/>
              <w:rPr>
                <w:sz w:val="24"/>
                <w:szCs w:val="24"/>
                <w:color w:val="auto"/>
              </w:rPr>
            </w:pPr>
          </w:p>
        </w:tc>
        <w:tc>
          <w:tcPr>
            <w:tcW w:w="89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9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8"/>
              </w:rPr>
              <w:t>Selected Financial Data</w:t>
            </w:r>
          </w:p>
        </w:tc>
        <w:tc>
          <w:tcPr>
            <w:tcW w:w="7020" w:type="dxa"/>
            <w:vAlign w:val="bottom"/>
            <w:gridSpan w:val="16"/>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20" w:type="dxa"/>
            <w:vAlign w:val="bottom"/>
          </w:tcPr>
          <w:p>
            <w:pPr>
              <w:spacing w:after="0"/>
              <w:rPr>
                <w:sz w:val="17"/>
                <w:szCs w:val="17"/>
                <w:color w:val="auto"/>
              </w:rPr>
            </w:pPr>
          </w:p>
        </w:tc>
        <w:tc>
          <w:tcPr>
            <w:tcW w:w="134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gridSpan w:val="27"/>
          </w:tcPr>
          <w:p>
            <w:pPr>
              <w:spacing w:after="0" w:line="19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9"/>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70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3"/>
          </w:tcPr>
          <w:p>
            <w:pPr>
              <w:spacing w:after="0"/>
              <w:rPr>
                <w:sz w:val="18"/>
                <w:szCs w:val="18"/>
                <w:color w:val="auto"/>
              </w:rPr>
            </w:pPr>
          </w:p>
        </w:tc>
        <w:tc>
          <w:tcPr>
            <w:tcW w:w="1860" w:type="dxa"/>
            <w:vAlign w:val="bottom"/>
            <w:gridSpan w:val="3"/>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37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auto"/>
                <w:w w:val="99"/>
              </w:rPr>
              <w:t>Financial Statements and Supplementary Data</w:t>
            </w:r>
          </w:p>
        </w:tc>
        <w:tc>
          <w:tcPr>
            <w:tcW w:w="5200" w:type="dxa"/>
            <w:vAlign w:val="bottom"/>
            <w:gridSpan w:val="8"/>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27"/>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710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auto"/>
              </w:rPr>
              <w:t>Controls and Procedures</w:t>
            </w:r>
          </w:p>
        </w:tc>
        <w:tc>
          <w:tcPr>
            <w:tcW w:w="1820" w:type="dxa"/>
            <w:vAlign w:val="bottom"/>
            <w:gridSpan w:val="2"/>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9"/>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auto"/>
                <w:w w:val="98"/>
              </w:rPr>
              <w:t>Other Information</w:t>
            </w:r>
          </w:p>
        </w:tc>
        <w:tc>
          <w:tcPr>
            <w:tcW w:w="580" w:type="dxa"/>
            <w:vAlign w:val="bottom"/>
            <w:tcBorders>
              <w:top w:val="single" w:sz="8" w:color="0000EE"/>
            </w:tcBorders>
            <w:gridSpan w:val="6"/>
          </w:tcPr>
          <w:p>
            <w:pPr>
              <w:spacing w:after="0"/>
              <w:rPr>
                <w:sz w:val="18"/>
                <w:szCs w:val="18"/>
                <w:color w:val="auto"/>
              </w:rPr>
            </w:pPr>
          </w:p>
        </w:tc>
        <w:tc>
          <w:tcPr>
            <w:tcW w:w="6940" w:type="dxa"/>
            <w:vAlign w:val="bottom"/>
            <w:gridSpan w:val="14"/>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8920" w:type="dxa"/>
            <w:vAlign w:val="bottom"/>
            <w:gridSpan w:val="27"/>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auto"/>
                <w:w w:val="95"/>
              </w:rPr>
              <w:t>PART III</w:t>
            </w:r>
          </w:p>
        </w:tc>
        <w:tc>
          <w:tcPr>
            <w:tcW w:w="660" w:type="dxa"/>
            <w:vAlign w:val="bottom"/>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auto"/>
                <w:w w:val="99"/>
              </w:rPr>
              <w:t>Directors, Executive Officers and Corporate Governance</w:t>
            </w:r>
          </w:p>
        </w:tc>
        <w:tc>
          <w:tcPr>
            <w:tcW w:w="442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920" w:type="dxa"/>
            <w:vAlign w:val="bottom"/>
            <w:gridSpan w:val="27"/>
          </w:tcPr>
          <w:p>
            <w:pPr>
              <w:spacing w:after="0"/>
              <w:rPr>
                <w:sz w:val="20"/>
                <w:szCs w:val="20"/>
                <w:color w:val="auto"/>
              </w:rPr>
            </w:pPr>
            <w:r>
              <w:rPr>
                <w:rFonts w:ascii="Arial" w:cs="Arial" w:eastAsia="Arial" w:hAnsi="Arial"/>
                <w:sz w:val="18"/>
                <w:szCs w:val="18"/>
                <w:color w:val="auto"/>
              </w:rPr>
              <w:t>Executive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8920" w:type="dxa"/>
            <w:vAlign w:val="bottom"/>
            <w:gridSpan w:val="27"/>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20" w:type="dxa"/>
            <w:vAlign w:val="bottom"/>
          </w:tcPr>
          <w:p>
            <w:pPr>
              <w:spacing w:after="0"/>
              <w:rPr>
                <w:sz w:val="17"/>
                <w:szCs w:val="17"/>
                <w:color w:val="auto"/>
              </w:rPr>
            </w:pPr>
          </w:p>
        </w:tc>
        <w:tc>
          <w:tcPr>
            <w:tcW w:w="134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9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auto"/>
              </w:rPr>
              <w:t>Principal Accounting Fees and Services</w:t>
            </w:r>
          </w:p>
        </w:tc>
        <w:tc>
          <w:tcPr>
            <w:tcW w:w="2860" w:type="dxa"/>
            <w:vAlign w:val="bottom"/>
            <w:gridSpan w:val="4"/>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9"/>
        </w:trPr>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auto"/>
                <w:w w:val="95"/>
              </w:rPr>
              <w:t>PART IV</w:t>
            </w:r>
          </w:p>
        </w:tc>
        <w:tc>
          <w:tcPr>
            <w:tcW w:w="64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8920" w:type="dxa"/>
            <w:vAlign w:val="bottom"/>
            <w:gridSpan w:val="27"/>
          </w:tcPr>
          <w:p>
            <w:pPr>
              <w:spacing w:after="0"/>
              <w:rPr>
                <w:sz w:val="20"/>
                <w:szCs w:val="20"/>
                <w:color w:val="auto"/>
              </w:rPr>
            </w:pPr>
            <w:r>
              <w:rPr>
                <w:rFonts w:ascii="Arial" w:cs="Arial" w:eastAsia="Arial" w:hAnsi="Arial"/>
                <w:sz w:val="18"/>
                <w:szCs w:val="18"/>
                <w:color w:val="auto"/>
              </w:rPr>
              <w:t>Exhibits, Financial Statement Schedules</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60" w:type="dxa"/>
            <w:vAlign w:val="bottom"/>
            <w:gridSpan w:val="33"/>
          </w:tcPr>
          <w:p>
            <w:pPr>
              <w:spacing w:after="0"/>
              <w:rPr>
                <w:sz w:val="20"/>
                <w:szCs w:val="20"/>
                <w:color w:val="auto"/>
              </w:rPr>
            </w:pPr>
            <w:r>
              <w:rPr>
                <w:rFonts w:ascii="Arial" w:cs="Arial" w:eastAsia="Arial" w:hAnsi="Arial"/>
                <w:sz w:val="18"/>
                <w:szCs w:val="18"/>
                <w:b w:val="1"/>
                <w:bCs w:val="1"/>
                <w:color w:val="auto"/>
              </w:rPr>
              <w:t>INDEX TO EXHIBITS</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26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8920" w:type="dxa"/>
            <w:vAlign w:val="bottom"/>
            <w:gridSpan w:val="27"/>
          </w:tcPr>
          <w:p>
            <w:pPr>
              <w:spacing w:after="0"/>
              <w:rPr>
                <w:sz w:val="20"/>
                <w:szCs w:val="20"/>
                <w:color w:val="auto"/>
              </w:rPr>
            </w:pPr>
            <w:r>
              <w:rPr>
                <w:rFonts w:ascii="Arial" w:cs="Arial" w:eastAsia="Arial" w:hAnsi="Arial"/>
                <w:sz w:val="18"/>
                <w:szCs w:val="18"/>
                <w:color w:val="auto"/>
              </w:rPr>
              <w:t>Form 10-K Summary</w:t>
            </w: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26"/>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b w:val="1"/>
                <w:bCs w:val="1"/>
                <w:color w:val="auto"/>
              </w:rPr>
              <w:t>SIGNATURES</w:t>
            </w: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568"/>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t>PART I</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OVERVIEW</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Eagle Materials Inc., through its subsidiaries, (the Company, which may be referred to as we, our, or us) is a leading manufacturer of heavy construction materials and light building materials in the United States. Our primary products, portland Cement and Gypsum Wallboard, are commodities that are essential in commercial and residential construction; public construction projects to build, expand, and repair roads and highways; and repair and remodel activities. Demand for our products is generally cyclical and seasonal, depending on economic and geographic conditions. We distribute our products across many United States markets, which provides us with regional economic diversification.</w:t>
      </w:r>
    </w:p>
    <w:p>
      <w:pPr>
        <w:spacing w:after="0" w:line="86" w:lineRule="exact"/>
        <w:rPr>
          <w:sz w:val="20"/>
          <w:szCs w:val="20"/>
          <w:color w:val="auto"/>
        </w:rPr>
      </w:pPr>
    </w:p>
    <w:p>
      <w:pPr>
        <w:jc w:val="both"/>
        <w:ind w:right="480"/>
        <w:spacing w:after="0" w:line="247" w:lineRule="auto"/>
        <w:rPr>
          <w:sz w:val="20"/>
          <w:szCs w:val="20"/>
          <w:color w:val="auto"/>
        </w:rPr>
      </w:pPr>
      <w:r>
        <w:rPr>
          <w:rFonts w:ascii="Arial" w:cs="Arial" w:eastAsia="Arial" w:hAnsi="Arial"/>
          <w:sz w:val="18"/>
          <w:szCs w:val="18"/>
          <w:color w:val="auto"/>
        </w:rPr>
        <w:t>The Company was founded in 1963 as a building materials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Competitive Strengths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benefit from several competitive strengths that have enabled us to deliver consistently strong operating results and profitable growth.</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004483"/>
        </w:rPr>
        <w:t>Strategically located plant network</w:t>
      </w:r>
    </w:p>
    <w:p>
      <w:pPr>
        <w:spacing w:after="0" w:line="9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w:t>
      </w:r>
      <w:r>
        <w:rPr>
          <w:rFonts w:ascii="Arial" w:cs="Arial" w:eastAsia="Arial" w:hAnsi="Arial"/>
          <w:sz w:val="17"/>
          <w:szCs w:val="17"/>
          <w:color w:val="auto"/>
        </w:rPr>
        <w:t>ur plants are located near both our raw material reserves and customers in high-growth U.S. markets. The proximity to raw materials and</w:t>
      </w:r>
      <w:r>
        <w:rPr>
          <w:rFonts w:ascii="Arial" w:cs="Arial" w:eastAsia="Arial" w:hAnsi="Arial"/>
          <w:sz w:val="20"/>
          <w:szCs w:val="20"/>
          <w:color w:val="auto"/>
        </w:rPr>
        <w:t xml:space="preserve"> </w:t>
      </w:r>
      <w:r>
        <w:rPr>
          <w:rFonts w:ascii="Arial" w:cs="Arial" w:eastAsia="Arial" w:hAnsi="Arial"/>
          <w:sz w:val="17"/>
          <w:szCs w:val="17"/>
          <w:color w:val="auto"/>
        </w:rPr>
        <w:t>customers lowers our transportation costs and carbon footprint. The location of our plants across several high-growth regions within the United States provides geographic diversification, reducing our exposure to individual regional construction cycles, and enabling us to move product between different plants in our network as needed. The integrated nature of our plant network enables us to supply clients from more than one plant when necessary.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004483"/>
        </w:rPr>
        <w:t>Low-cost producer position</w:t>
      </w:r>
    </w:p>
    <w:p>
      <w:pPr>
        <w:spacing w:after="0" w:line="99"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Our modern production lines, consistent maintenance programs, access to low-cost raw materials, and our focus on continuous efficiency improvement help us minimize production costs across the network.</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04483"/>
        </w:rPr>
        <w:t>Production flexibility</w:t>
      </w:r>
    </w:p>
    <w:p>
      <w:pPr>
        <w:spacing w:after="0" w:line="9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We manage our production lines and work shifts to enable us to operate our plants at high utilization levels generally, while providing optimal production flexibility. Accordingly, we can quickly position for downturns, and quickly and efficiently ramp up when demand rebounds.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004483"/>
        </w:rPr>
        <w:t>Substantial owned raw material reserves and resources</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own between 25 to 50 years of primary raw material reserves for each of our cement and wallboard facilities, providing certainty of supply and enhancing our ability to control the cost of our primary raw materials.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004483"/>
        </w:rPr>
        <w:t>Proven management</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current management team has significant and valuable expertise, with an average industry experience of more than 20 years, spanning several business cycles. Management’s conservative balance sheet strategy focuses on maintaining prudent levels of leverage and liquidity through the business cycle to protect the balance sheet through downturns and enable us to take advantage of growth opportunities, whether organic or through acquisitions.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Strategy</w:t>
      </w:r>
    </w:p>
    <w:p>
      <w:pPr>
        <w:spacing w:after="0" w:line="10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rigorously pursue the following overarching strategic objectives that we believe consistently differentiate us from our competitors and contribute to our margin performance and growth: maintaining our position as a low-cost producer in all our markets, maintaining a decentralized operating structure, operating solely in the United States in regionally diverse and attractive markets, achieving profitable growth through both strategic acquisitions and the organic development of our asset network, and operating in a socially and environmentally responsible manner.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004483"/>
        </w:rPr>
        <w:t>Continuously innovate to advance our low-cost producer position</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goal and the bedrock of our strategy is to be a low-cost producer in each of the markets in which we compete. We have right-sized capacity to service the markets we cover, and we focus diligently on reducing costs and making our operations more efficient to manage free cash flow through the economic cycle.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not only key to our commercial success, it also aligns to a significant extent with our commitment to sustainable environmental practices. To maintain our low-cost producer position, we are always innovating our production processes with the aim of using fewer resources to make the same products. We regularly invest in technologies at our facilities to control emissions and to modify the fuels that we burn.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004483"/>
        </w:rPr>
        <w:t>Maintain a decentralized operating structure</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 operates through a decentralized structure: operations are managed separately, and products are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 We view our cement plant system and our wallboard plant system as integrated networks, allowing us to ship products, minimize freight costs, and serve customers from different plants when necessary. The impact of regional construction cycles on our businesses is mitigated to some degree by our geographic diversification and integrated network of plants.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004483"/>
        </w:rPr>
        <w:t>Operate in regionally diverse and attractive markets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Demand for our products depends on construction activity, which tends to correlate with population growth. While the Company’s markets include most of the United States, approximately 70% of our total revenue is generated in ten states: Colorado, Illinois, Kansas, Kentucky, Missouri, Nebraska, Nevada, Ohio, Oklahoma, and Texas. Population growth is a major driver of construction products and building materials demand. Population is expected to increase approximately 10% between the 2020 census and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3" w:right="359" w:bottom="1440" w:gutter="0" w:footer="0" w:header="0"/>
        </w:sectPr>
      </w:pPr>
    </w:p>
    <w:bookmarkStart w:id="4" w:name="page5"/>
    <w:bookmarkEnd w:id="4"/>
    <w:p>
      <w:pPr>
        <w:ind w:right="80"/>
        <w:spacing w:after="0" w:line="260" w:lineRule="auto"/>
        <w:rPr>
          <w:sz w:val="20"/>
          <w:szCs w:val="20"/>
          <w:color w:val="auto"/>
        </w:rPr>
      </w:pPr>
      <w:r>
        <w:rPr>
          <w:rFonts w:ascii="Arial" w:cs="Arial" w:eastAsia="Arial" w:hAnsi="Arial"/>
          <w:sz w:val="18"/>
          <w:szCs w:val="18"/>
          <w:color w:val="auto"/>
        </w:rPr>
        <w:t>2050 for these ten states, compared with 7% population growth for the United States as a whole, according to the latest update in April 2023 by Moody’s Analytics.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004483"/>
        </w:rPr>
        <w:t>Achieve profitable growth through acquisition and organic development</w:t>
      </w:r>
    </w:p>
    <w:p>
      <w:pPr>
        <w:spacing w:after="0" w:line="99" w:lineRule="exact"/>
        <w:rPr>
          <w:sz w:val="20"/>
          <w:szCs w:val="20"/>
          <w:color w:val="auto"/>
        </w:rPr>
      </w:pPr>
    </w:p>
    <w:p>
      <w:pPr>
        <w:jc w:val="both"/>
        <w:ind w:right="480"/>
        <w:spacing w:after="0" w:line="247" w:lineRule="auto"/>
        <w:rPr>
          <w:sz w:val="20"/>
          <w:szCs w:val="20"/>
          <w:color w:val="auto"/>
        </w:rPr>
      </w:pPr>
      <w:r>
        <w:rPr>
          <w:rFonts w:ascii="Arial" w:cs="Arial" w:eastAsia="Arial" w:hAnsi="Arial"/>
          <w:sz w:val="18"/>
          <w:szCs w:val="18"/>
          <w:color w:val="auto"/>
        </w:rPr>
        <w:t>We seek to grow the Company through acquisitions and the organic development of our asset network. Since 2012, we have invested approximately $2.2 billion to expand the Heavy Materials sector. These investments have more than doubled our U.S. cement capacity, making us the largest independent U.S. cement producer.</w:t>
      </w:r>
    </w:p>
    <w:p>
      <w:pPr>
        <w:spacing w:after="0" w:line="76"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color w:val="auto"/>
        </w:rPr>
        <w:t>This expansion has been achieved mainly through acquisitions, which have expanded our geographic footprint so that we now have a contiguous and integrated cement system from northern California to western Pennsylvania and south to Texas. We have completed additional bolt-on acquisitions, which also contribute to our expanded geographic footprint.</w:t>
      </w:r>
    </w:p>
    <w:p>
      <w:pPr>
        <w:spacing w:after="0" w:line="7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Company will continue to proactively pursue acquisition opportunities. Our free cash flow and balance sheet strength enable us to consider acquisitions and organic growth opportunities that align with our stringent return-on-investment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004483"/>
        </w:rPr>
        <w:t>Operate in a socially and environmentally responsible manner</w:t>
      </w:r>
    </w:p>
    <w:p>
      <w:pPr>
        <w:spacing w:after="0" w:line="9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We aim to conduct all our operations in a way that enhances returns and maximizes positive social impact. We have defined our environmental and social responsibility priorities and developed a roadmap for pursuing them. Our initiatives encompass land use, water, human resources, emissions, and the reduction of the carbon impacts of our products, which are all areas that we view as essential to our success. Our roadmap includes specific targets and timeframes in each of these areas.</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Management is responsible for implementing these initiatives, and our Board of Directors oversees progress. Management submits quarterly progress reports to the Board, and ESG is a regular topic of discussion at every quarterly Board meeting. Compensation for key executives is linked, in part, to the achievement of specific ESG goals. In 2022, over half of our Chief Executive Officer’s annual bonus was related to the advancement of the Company’s ESG priorities.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latest Environmental and Social Disclosure Report provides information related to our roadmap, targets, and progress in improving our efficiency and long-term sustainability of our resources, ensuring the safety of our employees (see also Human Capital below), protecting human rights, and delivering value to our shareholders and society. The above reference to our Environmental and Social Disclosure Report does not mean that such report is incorporated by reference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allocation priorities</w:t>
      </w:r>
    </w:p>
    <w:p>
      <w:pPr>
        <w:spacing w:after="0" w:line="1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capital allocation priorities are intended to enhance shareholder value and are as follows: 1. investing in growth opportunities that meet our strict financial return standards and are consistent with our strategic focus; 2. operating capital investments to maintain and strengthen our low-cost producer positions; and 3. returning excess cash to shareholders through our share repurchase program and dividends. In the past five years, we have invested nearly $857.8 million in acquisitions, $476.7 million in organic capital expenditures, and approximately $1.7 billion in share repurchases and dividends. Since becoming a public company in 1994, our share count is down nearly 48%, and we have returned approximately $3.2 billion to our shareholders through a combination of share repurchases and dividends.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483"/>
        </w:rPr>
        <w:t>FISCAL 2023 EVENTS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Financial Highlights</w:t>
      </w:r>
    </w:p>
    <w:p>
      <w:pPr>
        <w:spacing w:after="0" w:line="109"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Fiscal 2023 was a strong year for the Company, with increased earnings in both our Cement and Gypsum Wallboard segments. Financial highlights for fiscal 2023 compared with fiscal 2022 include:</w:t>
      </w:r>
    </w:p>
    <w:p>
      <w:pPr>
        <w:spacing w:after="0" w:line="65" w:lineRule="exact"/>
        <w:rPr>
          <w:sz w:val="20"/>
          <w:szCs w:val="20"/>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record Revenue of $2.1 billion, up 15%.</w:t>
      </w:r>
    </w:p>
    <w:p>
      <w:pPr>
        <w:spacing w:after="0" w:line="117"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Net Earnings by 23% to $461.5 million.</w:t>
      </w:r>
    </w:p>
    <w:p>
      <w:pPr>
        <w:spacing w:after="0" w:line="117"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gross profit margin by 190 bps to 29.8%.</w:t>
      </w:r>
    </w:p>
    <w:p>
      <w:pPr>
        <w:spacing w:after="0" w:line="117"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diluted earnings per share by 36% to $12.46.</w:t>
      </w:r>
    </w:p>
    <w:p>
      <w:pPr>
        <w:spacing w:after="0" w:line="117"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Repurchased approximately 3.1 million shares of our stock for $387.7 million.</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u w:val="single" w:color="auto"/>
          <w:color w:val="004483"/>
        </w:rPr>
        <w:t>Strategic Highlights</w:t>
      </w:r>
    </w:p>
    <w:p>
      <w:pPr>
        <w:spacing w:after="0" w:line="109"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In addition to the above financial highlights, we closed on two acquisitions and amended our revolving credit facility (as amended, the Revolving Credit Facility) during fiscal 2023.</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04483"/>
        </w:rPr>
        <w:t>Acquisitions</w:t>
      </w:r>
    </w:p>
    <w:p>
      <w:pPr>
        <w:spacing w:after="0" w:line="9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On April 22, 2022, we acquired the assets of a readymix concrete and aggregates business in northern Colorado (the ConAgg Acquisition). The purchase price of the ConAgg Acquisition was approximately $120.2 million and is included in our Heavy Materials sector, in the Concrete and Aggregates segment.</w:t>
      </w:r>
    </w:p>
    <w:p>
      <w:pPr>
        <w:spacing w:after="0" w:line="7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On September 16, 2022, we acquired a cement distribution terminal located in Nashville, Tennessee (the Terminal Acquisition). The purchase price of the Terminal Acquisition was approximately $39.5 million and is included in our Heavy Materials sector, in the Cement segment.</w:t>
      </w:r>
    </w:p>
    <w:p>
      <w:pPr>
        <w:spacing w:after="0" w:line="4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Subsequent to year end, on May 3, 2023, we acquired a cement import distribution terminal located in Stockton, California (the Stockton Acquisition). This terminal will be included in our Heavy Materials sector, in the Cement segment, in fiscal 2024.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See Footnote (B) to the Audited Consolidated Financial Statements for more information regarding the above Acquisitions.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004483"/>
        </w:rPr>
        <w:t>Progress on ESG Initiatives</w:t>
      </w:r>
    </w:p>
    <w:p>
      <w:pPr>
        <w:spacing w:after="0" w:line="9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Over the last two years we have made significant progress in reducing our carbon footprint with the introduction of our new Portland Limestone Cement (PLC) product, which has similar performance characteristics, and significantly lower carbon intensity than traditional portland cement. In fiscal 2023, approximately 30% of our cement sales volumes was PLC. We will continue to transition our construction-grade cement from traditional portland cement to PLC during fiscal 2024.</w:t>
      </w:r>
    </w:p>
    <w:p>
      <w:pPr>
        <w:spacing w:after="0" w:line="8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are also participating in research and innovation in industry-wide carbon capture. In 2022, the U.S. Department of Energy awarded funding to design, build, and operate an engineering-scale Cryogenic Carbon Capture (CCC) process at our Sugar Creek, Missouri cement plant. CCC is an innovative carbon-capture and storage technology with the potential to reduce carbon emissions from fossil-fuel power plants and industrial facilities by 90-99%.</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004483"/>
        </w:rPr>
        <w:t>Amendment to the Revolving Credit Facility</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May 5, 2022, we amended our Revolving Credit Facility to, among other things, add a $200.0 million term loan facility (the Term Loan), which was subsequently drawn. We also extend the Revolving Credit Facility to May 2027, established the Term Loan maturity as May 2027, and established a SOFR-based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 w:name="page7"/>
    <w:bookmarkEnd w:id="6"/>
    <w:p>
      <w:pPr>
        <w:ind w:right="240"/>
        <w:spacing w:after="0" w:line="260" w:lineRule="auto"/>
        <w:rPr>
          <w:sz w:val="20"/>
          <w:szCs w:val="20"/>
          <w:color w:val="auto"/>
        </w:rPr>
      </w:pPr>
      <w:r>
        <w:rPr>
          <w:rFonts w:ascii="Arial" w:cs="Arial" w:eastAsia="Arial" w:hAnsi="Arial"/>
          <w:sz w:val="18"/>
          <w:szCs w:val="18"/>
          <w:color w:val="auto"/>
        </w:rPr>
        <w:t>reference rate in lieu of a LIBOR-based reference rate for the purpose of calculating interest on the loans outstanding under the Revolving Credit Facility (including the term loan).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HUMAN CAPITAL</w:t>
      </w:r>
    </w:p>
    <w:p>
      <w:pPr>
        <w:spacing w:after="0" w:line="11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As of March 31, 2023, the Company had approximately 2,400 employees, of which approximately 700 are salaried and approximately 1,700 are hourly. Approximately 700 of the hourly employees are employed under collective bargaining agreements and various supplemental agreements with local unions.</w:t>
      </w:r>
    </w:p>
    <w:p>
      <w:pPr>
        <w:spacing w:after="0" w:line="76" w:lineRule="exact"/>
        <w:rPr>
          <w:sz w:val="20"/>
          <w:szCs w:val="20"/>
          <w:color w:val="auto"/>
        </w:rPr>
      </w:pPr>
    </w:p>
    <w:p>
      <w:pPr>
        <w:jc w:val="both"/>
        <w:ind w:right="460"/>
        <w:spacing w:after="0" w:line="247" w:lineRule="auto"/>
        <w:rPr>
          <w:sz w:val="20"/>
          <w:szCs w:val="20"/>
          <w:color w:val="auto"/>
        </w:rPr>
      </w:pPr>
      <w:r>
        <w:rPr>
          <w:rFonts w:ascii="Arial" w:cs="Arial" w:eastAsia="Arial" w:hAnsi="Arial"/>
          <w:sz w:val="18"/>
          <w:szCs w:val="18"/>
          <w:color w:val="auto"/>
        </w:rPr>
        <w:t>Recruiting, developing, and retaining qualified employees is essential to implement our strategy and maintain our low-cost position. The health and safety of our employees is the highest priority of management. We have comprehensive safety and wellness processes and policies, and all of our employees are provided with the training necessary to safely and effectively perform their responsibilities.</w:t>
      </w:r>
    </w:p>
    <w:p>
      <w:pPr>
        <w:spacing w:after="0" w:line="7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all our businesses we have implemented initiatives to improve safety in the workplace. We hold an annual safety conference during which we review our safety performance, assess the effectiveness of our programs, and determine improvement actions. Specific areas of review include training programs; best practices; and leading indicators, such as near-miss reporting and root cause analysis of all lost-time injuries. We also seek the assistance of outside parties in identifying potential safety trends and ways to mitigate identified risks.</w:t>
      </w:r>
    </w:p>
    <w:p>
      <w:pPr>
        <w:spacing w:after="0" w:line="80"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Management reviews a variety of safety metrics, including leading and lagging indicators, and updates are provided to corporate management by the business units monthly throughout the year. During fiscal 2023, all of our business segments recorded lower total recordable incident rate (TRIR) averages than the applicable industry average. These results can be attributed to the continued focus on proactive safety initiatives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INDUSTRY SEGMENT INFORMATION</w:t>
      </w:r>
    </w:p>
    <w:p>
      <w:pPr>
        <w:spacing w:after="0" w:line="11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The primary end market for our Cement and Concrete and Aggregates segments is infrastructure. The primary end market for our Gypsum Wallboard and Recycled Paperboard segments is residential construction.</w:t>
      </w:r>
    </w:p>
    <w:p>
      <w:pPr>
        <w:spacing w:after="0" w:line="80" w:lineRule="exact"/>
        <w:rPr>
          <w:sz w:val="20"/>
          <w:szCs w:val="20"/>
          <w:color w:val="auto"/>
        </w:rPr>
      </w:pPr>
    </w:p>
    <w:p>
      <w:pPr>
        <w:ind w:right="760"/>
        <w:spacing w:after="0" w:line="289" w:lineRule="auto"/>
        <w:rPr>
          <w:sz w:val="20"/>
          <w:szCs w:val="20"/>
          <w:color w:val="auto"/>
        </w:rPr>
      </w:pPr>
      <w:r>
        <w:rPr>
          <w:rFonts w:ascii="Arial" w:cs="Arial" w:eastAsia="Arial" w:hAnsi="Arial"/>
          <w:sz w:val="17"/>
          <w:szCs w:val="17"/>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10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Heavy Materials sector provides cement and concrete and aggregates for use in infrastructure, commercial, and residential construction. This sector comprises the Cement and Concrete and Aggregates segments. Demand has been strong for these construction products over the last several years. Cement consumption in the United States, as estimated by the United States Geological Survey (USGS), was up 3% to approximately 121.2 million short tons in calendar 2022, and imported cement consumption represented 21% of total sales in calendar 2022 compared with 18% in calendar 2021.</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277EBF"/>
        </w:rPr>
        <w:t>CEMENT</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Cement is the basic binding agent for concrete, a primary construction material. The principal sources of demand for cement are public infrastructure, commercial construction, and residential construction, with public infrastructure accounting for nearly 50% of cement demand. Because of its low value-to-weight ratio, the relative cost of transporting cement on land is high and limits the geographic area in which each producer can market its products profitably. Management believes shipments of cement by truck are generally limited to a 150-mile radius from each plant, with the shipping radius increasing to up to 300 miles by rail, and further by barge. Therefore, the U.S. cement industry comprises numerous regional markets rather than a single national market. Cement consumption is affected by the time of year and prevalent weather conditions. Cement sales are generally greatest from spring through the middle of autumn.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manufacturing process for portland cement primarily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5080</wp:posOffset>
            </wp:positionV>
            <wp:extent cx="5349240" cy="1123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We also produce and market other cementitious products, including slag cement and fly ash. Slag granules are obtained from a steel company and ground in our grinding facility. Slag is used in concrete mix designs to improve the durability of concrete and reduce future maintenance costs. Fly ash is a by-product of a coal-fired power plant and acts as an extender of cement in concrete.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Limestone Resources and Reserves</w:t>
      </w:r>
    </w:p>
    <w:p>
      <w:pPr>
        <w:spacing w:after="0" w:line="114"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We mine primarily limestone at our quarry operations serving each of our cement plants. The limestone mined at our quarries is then converted to cement, as outlined above. Each of our cement plants has its own dedicated limestone quarries, all of which have adequate access to highways and/or waterways. All of our mines, with the exception of one, are surface mines, which are mined using open pit techniques. We have one underground mine serving our plant in Sugar Creek, Missouri. All of our limestone reserves are located on properties that are in the production stage.</w:t>
      </w:r>
    </w:p>
    <w:p>
      <w:pPr>
        <w:spacing w:after="0" w:line="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Mineral resources are defined as a concentration or occurrence of material of economic interest in or on the earth's crust in such form, grade or quality, and quantity that there are reasonable prospects for its economic extraction. The amount of resources is a reasonable estimate, taking into account such factors as grade, location, and mining dimensions, while also considering the economic cost of extraction. Mineral resources are classified into three categories, discussed below in decreasing level of confidence. Measured mineral resources are based on conclusive geological evidence and sampling, meaning that evidence is sufficient to test and confirm geological and grade or quality continuity. After applying modifying factors (as noted below in the discussion of mineral reserves), measured resources may be converted to either proven or probable reserves. Indicated resources are based on adequate geological evidence and sampling, meaning that evidence is sufficient to establish geological and grade or quality continuity with reasonable certainty. After applying modifying factors, indicated resources may be converted to probable reserves. Inferred resources are based on limited geological evidence and sampling, meaning that evidence is sufficient only to establish that geological and grade or quality continuity is more likely than not. Inferred resources may not be converted to reserves.</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8" w:name="page9"/>
    <w:bookmarkEnd w:id="8"/>
    <w:p>
      <w:pPr>
        <w:spacing w:after="0" w:line="239" w:lineRule="auto"/>
        <w:rPr>
          <w:sz w:val="20"/>
          <w:szCs w:val="20"/>
          <w:color w:val="auto"/>
        </w:rPr>
      </w:pPr>
      <w:r>
        <w:rPr>
          <w:rFonts w:ascii="Arial" w:cs="Arial" w:eastAsia="Arial" w:hAnsi="Arial"/>
          <w:sz w:val="18"/>
          <w:szCs w:val="18"/>
          <w:color w:val="auto"/>
        </w:rPr>
        <w:t>Mineral reserves are defined as an estimate of tonnage and grade or quality of indicated and measured mineral resources that, in the opinion of a qualified person (QP), can be the basis of an economically viable project. More specifically, it is the economically mineable part of a measured or indicated mineral resource, which includes diluting materials and allowances for losses that may occur when the material is mined or extracted. Mineral reserves are classified into two categories, discussed below in decreasing level of confidence. Proven mineral reserves are the economically mineable part of a measured mineral resource and only result from conversion of a measured mineral resource. Probable mineral reserves are the economically mineable part of an indicated and, in some cases, a measured mineral resource.</w:t>
      </w:r>
    </w:p>
    <w:p>
      <w:pPr>
        <w:spacing w:after="0" w:line="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March 31, 2023, we had 312.8 million tons of proven and probable limestone reserves, and 683.4 million tons of measured and indicated limestone resources, exclusive of limestone reserves. Approximately 84% of our total reserves are owned, with the rest leased. The point of reference for resources, other than the underground properties associated with the Sugar Creek location, is reported on an in situ basis. Sugar Creek underground resources are reported on a recoverable basis. The point of reference for reserves other than the Louisville and Buda locations are reported on a recoverable or "run-of-mine" basis. Louisville and Buda are reported on an in situ basis. We do not consider any of our individual quarries to be material for disclosure purposes. All of our individual locations have at least 25 years of reserves, with most of our locations having in excess of 50 years. We obtained technical reports from a third-party qualified person for each of our locations during fiscal 2022, except LaSalle, Illinois, which was as of January 31, 2023. The other locations were not updated during fiscal 2023 because we did not add any additional properties and did not do any additional exploration on sites during fiscal 2023. Additionally, the change in selling price did not materially increase, which further supports no material change on the estimated resource and reserve amounts calculated in fiscal 2022. The total reserves for fiscal 2023 for all locations with the exception of LaSalle, Illinois were calculated by taking the reserves as of March 31, 2022 and adjusting them for tons mined in fiscal 2023. These technical reports obtained in fiscal 2022 (fiscal 2023 for LaSalle, Illinois) were prepared in accordance with the requirements of the Modernization of Property Disclosures for Mining Registrants set forth in subpart 1300 of Regulation 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limestone resources, exclusive of limestone reserves, serving each of our cement plants at March 31, 2023:</w:t>
      </w:r>
    </w:p>
    <w:p>
      <w:pPr>
        <w:spacing w:after="0" w:line="209"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 xml:space="preserve">Limestone Resources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2540</wp:posOffset>
            </wp:positionV>
            <wp:extent cx="4808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gridSpan w:val="3"/>
          </w:tcPr>
          <w:p>
            <w:pPr>
              <w:jc w:val="right"/>
              <w:ind w:right="1203"/>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89"/>
        </w:trPr>
        <w:tc>
          <w:tcPr>
            <w:tcW w:w="3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Total Measured &amp;</w:t>
            </w: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1"/>
        </w:trPr>
        <w:tc>
          <w:tcPr>
            <w:tcW w:w="3540" w:type="dxa"/>
            <w:vAlign w:val="bottom"/>
            <w:tcBorders>
              <w:bottom w:val="single" w:sz="8" w:color="3983C5"/>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178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Measured</w:t>
            </w:r>
          </w:p>
        </w:tc>
        <w:tc>
          <w:tcPr>
            <w:tcW w:w="120" w:type="dxa"/>
            <w:vAlign w:val="bottom"/>
          </w:tcPr>
          <w:p>
            <w:pPr>
              <w:spacing w:after="0"/>
              <w:rPr>
                <w:sz w:val="19"/>
                <w:szCs w:val="19"/>
                <w:color w:val="auto"/>
              </w:rPr>
            </w:pPr>
          </w:p>
        </w:tc>
        <w:tc>
          <w:tcPr>
            <w:tcW w:w="180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Indicated</w:t>
            </w:r>
          </w:p>
        </w:tc>
        <w:tc>
          <w:tcPr>
            <w:tcW w:w="120" w:type="dxa"/>
            <w:vAlign w:val="bottom"/>
          </w:tcPr>
          <w:p>
            <w:pPr>
              <w:spacing w:after="0"/>
              <w:rPr>
                <w:sz w:val="19"/>
                <w:szCs w:val="19"/>
                <w:color w:val="auto"/>
              </w:rPr>
            </w:pPr>
          </w:p>
        </w:tc>
        <w:tc>
          <w:tcPr>
            <w:tcW w:w="178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Indicated</w:t>
            </w:r>
          </w:p>
        </w:tc>
        <w:tc>
          <w:tcPr>
            <w:tcW w:w="140" w:type="dxa"/>
            <w:vAlign w:val="bottom"/>
          </w:tcPr>
          <w:p>
            <w:pPr>
              <w:spacing w:after="0"/>
              <w:rPr>
                <w:sz w:val="19"/>
                <w:szCs w:val="19"/>
                <w:color w:val="auto"/>
              </w:rPr>
            </w:pPr>
          </w:p>
        </w:tc>
        <w:tc>
          <w:tcPr>
            <w:tcW w:w="182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Inferred</w:t>
            </w:r>
          </w:p>
        </w:tc>
      </w:tr>
      <w:tr>
        <w:trPr>
          <w:trHeight w:val="183"/>
        </w:trPr>
        <w:tc>
          <w:tcPr>
            <w:tcW w:w="3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20"/>
                <w:szCs w:val="20"/>
                <w:b w:val="1"/>
                <w:bCs w:val="1"/>
                <w:color w:val="3983C5"/>
                <w:vertAlign w:val="superscript"/>
              </w:rPr>
              <w:t>(2)</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51,840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11,300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63,140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r>
      <w:tr>
        <w:trPr>
          <w:trHeight w:val="183"/>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Illinois</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19,350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5,700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25,050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50</w:t>
            </w:r>
          </w:p>
        </w:tc>
      </w:tr>
      <w:tr>
        <w:trPr>
          <w:trHeight w:val="182"/>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Missouri</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67,900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66,000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133,900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32,300</w:t>
            </w:r>
          </w:p>
        </w:tc>
      </w:tr>
      <w:tr>
        <w:trPr>
          <w:trHeight w:val="183"/>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Laramie, Wyoming</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60,100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46,900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107,000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360,300</w:t>
            </w:r>
          </w:p>
        </w:tc>
      </w:tr>
      <w:tr>
        <w:trPr>
          <w:trHeight w:val="183"/>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Tulsa, Oklahoma</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35,400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10,300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45,700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2,100</w:t>
            </w:r>
          </w:p>
        </w:tc>
      </w:tr>
      <w:tr>
        <w:trPr>
          <w:trHeight w:val="183"/>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Fernley, Nevada</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78,400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29,800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108,200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17,200</w:t>
            </w:r>
          </w:p>
        </w:tc>
      </w:tr>
      <w:tr>
        <w:trPr>
          <w:trHeight w:val="183"/>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Kentucky</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67,500</w:t>
            </w:r>
          </w:p>
        </w:tc>
        <w:tc>
          <w:tcPr>
            <w:tcW w:w="120" w:type="dxa"/>
            <w:vAlign w:val="bottom"/>
          </w:tcPr>
          <w:p>
            <w:pPr>
              <w:spacing w:after="0"/>
              <w:rPr>
                <w:sz w:val="15"/>
                <w:szCs w:val="15"/>
                <w:color w:val="auto"/>
              </w:rPr>
            </w:pPr>
          </w:p>
        </w:tc>
        <w:tc>
          <w:tcPr>
            <w:tcW w:w="18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99,900</w:t>
            </w:r>
          </w:p>
        </w:tc>
        <w:tc>
          <w:tcPr>
            <w:tcW w:w="120" w:type="dxa"/>
            <w:vAlign w:val="bottom"/>
          </w:tcPr>
          <w:p>
            <w:pPr>
              <w:spacing w:after="0"/>
              <w:rPr>
                <w:sz w:val="15"/>
                <w:szCs w:val="15"/>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167,400</w:t>
            </w:r>
          </w:p>
        </w:tc>
        <w:tc>
          <w:tcPr>
            <w:tcW w:w="140" w:type="dxa"/>
            <w:vAlign w:val="bottom"/>
          </w:tcPr>
          <w:p>
            <w:pPr>
              <w:spacing w:after="0"/>
              <w:rPr>
                <w:sz w:val="15"/>
                <w:szCs w:val="15"/>
                <w:color w:val="auto"/>
              </w:rPr>
            </w:pPr>
          </w:p>
        </w:tc>
        <w:tc>
          <w:tcPr>
            <w:tcW w:w="18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119,200</w:t>
            </w:r>
          </w:p>
        </w:tc>
      </w:tr>
      <w:tr>
        <w:trPr>
          <w:trHeight w:val="183"/>
        </w:trPr>
        <w:tc>
          <w:tcPr>
            <w:tcW w:w="354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Ohio</w:t>
            </w:r>
          </w:p>
        </w:tc>
        <w:tc>
          <w:tcPr>
            <w:tcW w:w="17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13,880</w:t>
            </w:r>
          </w:p>
        </w:tc>
        <w:tc>
          <w:tcPr>
            <w:tcW w:w="120" w:type="dxa"/>
            <w:vAlign w:val="bottom"/>
          </w:tcPr>
          <w:p>
            <w:pPr>
              <w:spacing w:after="0"/>
              <w:rPr>
                <w:sz w:val="15"/>
                <w:szCs w:val="15"/>
                <w:color w:val="auto"/>
              </w:rPr>
            </w:pPr>
          </w:p>
        </w:tc>
        <w:tc>
          <w:tcPr>
            <w:tcW w:w="180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19,200</w:t>
            </w:r>
          </w:p>
        </w:tc>
        <w:tc>
          <w:tcPr>
            <w:tcW w:w="120" w:type="dxa"/>
            <w:vAlign w:val="bottom"/>
          </w:tcPr>
          <w:p>
            <w:pPr>
              <w:spacing w:after="0"/>
              <w:rPr>
                <w:sz w:val="15"/>
                <w:szCs w:val="15"/>
                <w:color w:val="auto"/>
              </w:rPr>
            </w:pPr>
          </w:p>
        </w:tc>
        <w:tc>
          <w:tcPr>
            <w:tcW w:w="17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33,080</w:t>
            </w:r>
          </w:p>
        </w:tc>
        <w:tc>
          <w:tcPr>
            <w:tcW w:w="140" w:type="dxa"/>
            <w:vAlign w:val="bottom"/>
          </w:tcPr>
          <w:p>
            <w:pPr>
              <w:spacing w:after="0"/>
              <w:rPr>
                <w:sz w:val="15"/>
                <w:szCs w:val="15"/>
                <w:color w:val="auto"/>
              </w:rPr>
            </w:pPr>
          </w:p>
        </w:tc>
        <w:tc>
          <w:tcPr>
            <w:tcW w:w="182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1,700</w:t>
            </w:r>
          </w:p>
        </w:tc>
      </w:tr>
      <w:tr>
        <w:trPr>
          <w:trHeight w:val="196"/>
        </w:trPr>
        <w:tc>
          <w:tcPr>
            <w:tcW w:w="35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394,370</w:t>
            </w:r>
          </w:p>
        </w:tc>
        <w:tc>
          <w:tcPr>
            <w:tcW w:w="1920" w:type="dxa"/>
            <w:vAlign w:val="bottom"/>
            <w:gridSpan w:val="2"/>
          </w:tcPr>
          <w:p>
            <w:pPr>
              <w:jc w:val="right"/>
              <w:spacing w:after="0"/>
              <w:rPr>
                <w:sz w:val="20"/>
                <w:szCs w:val="20"/>
                <w:color w:val="auto"/>
              </w:rPr>
            </w:pPr>
            <w:r>
              <w:rPr>
                <w:rFonts w:ascii="Arial" w:cs="Arial" w:eastAsia="Arial" w:hAnsi="Arial"/>
                <w:sz w:val="15"/>
                <w:szCs w:val="15"/>
                <w:b w:val="1"/>
                <w:bCs w:val="1"/>
                <w:color w:val="auto"/>
              </w:rPr>
              <w:t>289,100</w:t>
            </w: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683,470</w:t>
            </w:r>
          </w:p>
        </w:tc>
        <w:tc>
          <w:tcPr>
            <w:tcW w:w="1960" w:type="dxa"/>
            <w:vAlign w:val="bottom"/>
            <w:gridSpan w:val="2"/>
          </w:tcPr>
          <w:p>
            <w:pPr>
              <w:jc w:val="right"/>
              <w:spacing w:after="0"/>
              <w:rPr>
                <w:sz w:val="20"/>
                <w:szCs w:val="20"/>
                <w:color w:val="auto"/>
              </w:rPr>
            </w:pPr>
            <w:r>
              <w:rPr>
                <w:rFonts w:ascii="Arial" w:cs="Arial" w:eastAsia="Arial" w:hAnsi="Arial"/>
                <w:sz w:val="15"/>
                <w:szCs w:val="15"/>
                <w:b w:val="1"/>
                <w:bCs w:val="1"/>
                <w:color w:val="auto"/>
              </w:rPr>
              <w:t>533,850</w:t>
            </w:r>
          </w:p>
        </w:tc>
      </w:tr>
      <w:tr>
        <w:trPr>
          <w:trHeight w:val="20"/>
        </w:trPr>
        <w:tc>
          <w:tcPr>
            <w:tcW w:w="3540" w:type="dxa"/>
            <w:vAlign w:val="bottom"/>
          </w:tcPr>
          <w:p>
            <w:pPr>
              <w:spacing w:after="0" w:line="20" w:lineRule="exact"/>
              <w:rPr>
                <w:sz w:val="1"/>
                <w:szCs w:val="1"/>
                <w:color w:val="auto"/>
              </w:rPr>
            </w:pPr>
          </w:p>
        </w:tc>
        <w:tc>
          <w:tcPr>
            <w:tcW w:w="178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3983C5"/>
              <w:bottom w:val="single" w:sz="8" w:color="3983C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3983C5"/>
              <w:bottom w:val="single" w:sz="8" w:color="3983C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top w:val="single" w:sz="8" w:color="3983C5"/>
              <w:bottom w:val="single" w:sz="8" w:color="3983C5"/>
            </w:tcBorders>
          </w:tcPr>
          <w:p>
            <w:pPr>
              <w:spacing w:after="0" w:line="20" w:lineRule="exact"/>
              <w:rPr>
                <w:sz w:val="1"/>
                <w:szCs w:val="1"/>
                <w:color w:val="auto"/>
              </w:rPr>
            </w:pPr>
          </w:p>
        </w:tc>
      </w:tr>
    </w:tbl>
    <w:p>
      <w:pPr>
        <w:spacing w:after="0" w:line="149" w:lineRule="exact"/>
        <w:rPr>
          <w:sz w:val="20"/>
          <w:szCs w:val="20"/>
          <w:color w:val="auto"/>
        </w:rPr>
      </w:pPr>
    </w:p>
    <w:p>
      <w:pPr>
        <w:ind w:right="20" w:firstLine="8"/>
        <w:spacing w:after="0" w:line="198" w:lineRule="auto"/>
        <w:tabs>
          <w:tab w:leader="none" w:pos="197"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$13.00 to $18.00 per ton depending on location and market.</w:t>
      </w:r>
    </w:p>
    <w:p>
      <w:pPr>
        <w:ind w:left="200" w:hanging="192"/>
        <w:spacing w:after="0" w:line="189"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Reflects the Company's 50% ownership interest.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Below is a summary of our limestone reserves serving each of our cement plants at March 31, 2023:</w:t>
      </w:r>
    </w:p>
    <w:p>
      <w:pPr>
        <w:spacing w:after="0" w:line="209"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 xml:space="preserve">Limestone Reserves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2540</wp:posOffset>
            </wp:positionV>
            <wp:extent cx="4337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jc w:val="right"/>
              <w:ind w:right="464"/>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221"/>
        </w:trPr>
        <w:tc>
          <w:tcPr>
            <w:tcW w:w="4280" w:type="dxa"/>
            <w:vAlign w:val="bottom"/>
            <w:tcBorders>
              <w:bottom w:val="single" w:sz="8" w:color="3983C5"/>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Proven</w:t>
            </w:r>
          </w:p>
        </w:tc>
        <w:tc>
          <w:tcPr>
            <w:tcW w:w="140" w:type="dxa"/>
            <w:vAlign w:val="bottom"/>
          </w:tcPr>
          <w:p>
            <w:pPr>
              <w:spacing w:after="0"/>
              <w:rPr>
                <w:sz w:val="19"/>
                <w:szCs w:val="19"/>
                <w:color w:val="auto"/>
              </w:rPr>
            </w:pP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Probable</w:t>
            </w:r>
          </w:p>
        </w:tc>
        <w:tc>
          <w:tcPr>
            <w:tcW w:w="140" w:type="dxa"/>
            <w:vAlign w:val="bottom"/>
          </w:tcPr>
          <w:p>
            <w:pPr>
              <w:spacing w:after="0"/>
              <w:rPr>
                <w:sz w:val="19"/>
                <w:szCs w:val="19"/>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Total Proven &amp; Probable</w:t>
            </w:r>
          </w:p>
        </w:tc>
      </w:tr>
      <w:tr>
        <w:trPr>
          <w:trHeight w:val="183"/>
        </w:trPr>
        <w:tc>
          <w:tcPr>
            <w:tcW w:w="42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20"/>
                <w:szCs w:val="20"/>
                <w:b w:val="1"/>
                <w:bCs w:val="1"/>
                <w:color w:val="3983C5"/>
                <w:vertAlign w:val="superscript"/>
              </w:rPr>
              <w:t>(2)</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28,900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38,900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Illinois</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14,980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4,450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19,430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Missouri</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23,320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7,660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30,980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Laramie, Wyoming</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38,915</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25,400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64,315</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Tulsa, Oklahoma</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27,520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4,570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32,090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Fernley, Nevada</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17,990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6,500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24,490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Kentucky</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27,375</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49,850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77,225</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Ohio</w:t>
            </w: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25,415</w:t>
            </w:r>
          </w:p>
        </w:tc>
        <w:tc>
          <w:tcPr>
            <w:tcW w:w="140" w:type="dxa"/>
            <w:vAlign w:val="bottom"/>
          </w:tcPr>
          <w:p>
            <w:pPr>
              <w:spacing w:after="0"/>
              <w:rPr>
                <w:sz w:val="15"/>
                <w:szCs w:val="15"/>
                <w:color w:val="auto"/>
              </w:rPr>
            </w:pP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25,415</w:t>
            </w:r>
          </w:p>
        </w:tc>
      </w:tr>
      <w:tr>
        <w:trPr>
          <w:trHeight w:val="196"/>
        </w:trPr>
        <w:tc>
          <w:tcPr>
            <w:tcW w:w="42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5"/>
                <w:szCs w:val="15"/>
                <w:b w:val="1"/>
                <w:bCs w:val="1"/>
                <w:color w:val="auto"/>
              </w:rPr>
              <w:t>204,415</w:t>
            </w:r>
          </w:p>
        </w:tc>
        <w:tc>
          <w:tcPr>
            <w:tcW w:w="2320" w:type="dxa"/>
            <w:vAlign w:val="bottom"/>
            <w:gridSpan w:val="2"/>
          </w:tcPr>
          <w:p>
            <w:pPr>
              <w:jc w:val="right"/>
              <w:spacing w:after="0"/>
              <w:rPr>
                <w:sz w:val="20"/>
                <w:szCs w:val="20"/>
                <w:color w:val="auto"/>
              </w:rPr>
            </w:pPr>
            <w:r>
              <w:rPr>
                <w:rFonts w:ascii="Arial" w:cs="Arial" w:eastAsia="Arial" w:hAnsi="Arial"/>
                <w:sz w:val="15"/>
                <w:szCs w:val="15"/>
                <w:b w:val="1"/>
                <w:bCs w:val="1"/>
                <w:color w:val="auto"/>
              </w:rPr>
              <w:t>108,430</w:t>
            </w:r>
          </w:p>
        </w:tc>
        <w:tc>
          <w:tcPr>
            <w:tcW w:w="2340" w:type="dxa"/>
            <w:vAlign w:val="bottom"/>
            <w:gridSpan w:val="2"/>
          </w:tcPr>
          <w:p>
            <w:pPr>
              <w:jc w:val="right"/>
              <w:spacing w:after="0"/>
              <w:rPr>
                <w:sz w:val="20"/>
                <w:szCs w:val="20"/>
                <w:color w:val="auto"/>
              </w:rPr>
            </w:pPr>
            <w:r>
              <w:rPr>
                <w:rFonts w:ascii="Arial" w:cs="Arial" w:eastAsia="Arial" w:hAnsi="Arial"/>
                <w:sz w:val="15"/>
                <w:szCs w:val="15"/>
                <w:b w:val="1"/>
                <w:bCs w:val="1"/>
                <w:color w:val="auto"/>
              </w:rPr>
              <w:t>312,845</w:t>
            </w:r>
          </w:p>
        </w:tc>
      </w:tr>
      <w:tr>
        <w:trPr>
          <w:trHeight w:val="20"/>
        </w:trPr>
        <w:tc>
          <w:tcPr>
            <w:tcW w:w="4280" w:type="dxa"/>
            <w:vAlign w:val="bottom"/>
          </w:tcPr>
          <w:p>
            <w:pPr>
              <w:spacing w:after="0" w:line="20" w:lineRule="exact"/>
              <w:rPr>
                <w:sz w:val="1"/>
                <w:szCs w:val="1"/>
                <w:color w:val="auto"/>
              </w:rPr>
            </w:pPr>
          </w:p>
        </w:tc>
        <w:tc>
          <w:tcPr>
            <w:tcW w:w="2160" w:type="dxa"/>
            <w:vAlign w:val="bottom"/>
            <w:tcBorders>
              <w:top w:val="single" w:sz="8" w:color="3983C5"/>
              <w:bottom w:val="single" w:sz="8" w:color="3983C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Borders>
              <w:top w:val="single" w:sz="8" w:color="3983C5"/>
              <w:bottom w:val="single" w:sz="8" w:color="3983C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top w:val="single" w:sz="8" w:color="3983C5"/>
              <w:bottom w:val="single" w:sz="8" w:color="3983C5"/>
            </w:tcBorders>
          </w:tcPr>
          <w:p>
            <w:pPr>
              <w:spacing w:after="0" w:line="20" w:lineRule="exact"/>
              <w:rPr>
                <w:sz w:val="1"/>
                <w:szCs w:val="1"/>
                <w:color w:val="auto"/>
              </w:rPr>
            </w:pPr>
          </w:p>
        </w:tc>
      </w:tr>
    </w:tbl>
    <w:p>
      <w:pPr>
        <w:spacing w:after="0" w:line="67"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The economic viability of our reserves was determined using average limestone prices ranging from $13.00 to $18.00 per ton, depending on location and market.</w:t>
      </w:r>
    </w:p>
    <w:p>
      <w:pPr>
        <w:spacing w:after="0" w:line="43" w:lineRule="exact"/>
        <w:rPr>
          <w:rFonts w:ascii="Arial" w:cs="Arial" w:eastAsia="Arial" w:hAnsi="Arial"/>
          <w:sz w:val="23"/>
          <w:szCs w:val="23"/>
          <w:color w:val="auto"/>
          <w:vertAlign w:val="superscript"/>
        </w:rPr>
      </w:pPr>
    </w:p>
    <w:p>
      <w:pPr>
        <w:ind w:left="200" w:hanging="192"/>
        <w:spacing w:after="0" w:line="232"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Reflects the Company's 50% ownership interest</w:t>
      </w:r>
      <w:r>
        <w:rPr>
          <w:rFonts w:ascii="Arial" w:cs="Arial" w:eastAsia="Arial" w:hAnsi="Arial"/>
          <w:sz w:val="23"/>
          <w:szCs w:val="23"/>
          <w:color w:val="auto"/>
          <w:vertAlign w:val="superscript"/>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the annual production volumes from our cement quarries:</w:t>
      </w:r>
    </w:p>
    <w:p>
      <w:pPr>
        <w:spacing w:after="0" w:line="233" w:lineRule="exact"/>
        <w:rPr>
          <w:sz w:val="20"/>
          <w:szCs w:val="20"/>
          <w:color w:val="auto"/>
        </w:rPr>
      </w:pPr>
    </w:p>
    <w:p>
      <w:pPr>
        <w:ind w:left="7240"/>
        <w:spacing w:after="0"/>
        <w:rPr>
          <w:sz w:val="20"/>
          <w:szCs w:val="20"/>
          <w:color w:val="auto"/>
        </w:rPr>
      </w:pPr>
      <w:r>
        <w:rPr>
          <w:rFonts w:ascii="Arial" w:cs="Arial" w:eastAsia="Arial" w:hAnsi="Arial"/>
          <w:sz w:val="16"/>
          <w:szCs w:val="16"/>
          <w:b w:val="1"/>
          <w:bCs w:val="1"/>
          <w:color w:val="auto"/>
        </w:rPr>
        <w:t>Tons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4337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jc w:val="right"/>
              <w:ind w:right="464"/>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221"/>
        </w:trPr>
        <w:tc>
          <w:tcPr>
            <w:tcW w:w="4280" w:type="dxa"/>
            <w:vAlign w:val="bottom"/>
            <w:tcBorders>
              <w:bottom w:val="single" w:sz="8" w:color="3983C5"/>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183"/>
        </w:trPr>
        <w:tc>
          <w:tcPr>
            <w:tcW w:w="42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20"/>
                <w:szCs w:val="20"/>
                <w:b w:val="1"/>
                <w:bCs w:val="1"/>
                <w:color w:val="3983C5"/>
                <w:vertAlign w:val="superscript"/>
              </w:rPr>
              <w:t>(1)</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730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800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775</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Illinois</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1,265</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980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1,230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Missouri</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1,050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1,130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1,100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Laramie, Wyoming</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1,140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1,085</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Tulsa, Oklahoma</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880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890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910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Fernley, Nevada</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500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480</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Kentucky</w:t>
            </w:r>
          </w:p>
        </w:tc>
        <w:tc>
          <w:tcPr>
            <w:tcW w:w="2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2,185</w:t>
            </w:r>
          </w:p>
        </w:tc>
        <w:tc>
          <w:tcPr>
            <w:tcW w:w="140" w:type="dxa"/>
            <w:vAlign w:val="bottom"/>
          </w:tcPr>
          <w:p>
            <w:pPr>
              <w:spacing w:after="0"/>
              <w:rPr>
                <w:sz w:val="15"/>
                <w:szCs w:val="15"/>
                <w:color w:val="auto"/>
              </w:rPr>
            </w:pPr>
          </w:p>
        </w:tc>
        <w:tc>
          <w:tcPr>
            <w:tcW w:w="2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2,100</w:t>
            </w:r>
          </w:p>
        </w:tc>
        <w:tc>
          <w:tcPr>
            <w:tcW w:w="140" w:type="dxa"/>
            <w:vAlign w:val="bottom"/>
          </w:tcPr>
          <w:p>
            <w:pPr>
              <w:spacing w:after="0"/>
              <w:rPr>
                <w:sz w:val="15"/>
                <w:szCs w:val="15"/>
                <w:color w:val="auto"/>
              </w:rPr>
            </w:pPr>
          </w:p>
        </w:tc>
        <w:tc>
          <w:tcPr>
            <w:tcW w:w="2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1,965</w:t>
            </w:r>
          </w:p>
        </w:tc>
      </w:tr>
      <w:tr>
        <w:trPr>
          <w:trHeight w:val="183"/>
        </w:trPr>
        <w:tc>
          <w:tcPr>
            <w:tcW w:w="42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Ohio</w:t>
            </w:r>
          </w:p>
        </w:tc>
        <w:tc>
          <w:tcPr>
            <w:tcW w:w="216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970</w:t>
            </w:r>
          </w:p>
        </w:tc>
        <w:tc>
          <w:tcPr>
            <w:tcW w:w="140" w:type="dxa"/>
            <w:vAlign w:val="bottom"/>
          </w:tcPr>
          <w:p>
            <w:pPr>
              <w:spacing w:after="0"/>
              <w:rPr>
                <w:sz w:val="15"/>
                <w:szCs w:val="15"/>
                <w:color w:val="auto"/>
              </w:rPr>
            </w:pPr>
          </w:p>
        </w:tc>
        <w:tc>
          <w:tcPr>
            <w:tcW w:w="218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920</w:t>
            </w:r>
          </w:p>
        </w:tc>
        <w:tc>
          <w:tcPr>
            <w:tcW w:w="140" w:type="dxa"/>
            <w:vAlign w:val="bottom"/>
          </w:tcPr>
          <w:p>
            <w:pPr>
              <w:spacing w:after="0"/>
              <w:rPr>
                <w:sz w:val="15"/>
                <w:szCs w:val="15"/>
                <w:color w:val="auto"/>
              </w:rPr>
            </w:pPr>
          </w:p>
        </w:tc>
        <w:tc>
          <w:tcPr>
            <w:tcW w:w="2200" w:type="dxa"/>
            <w:vAlign w:val="bottom"/>
            <w:tcBorders>
              <w:bottom w:val="single" w:sz="8" w:color="3983C5"/>
            </w:tcBorders>
          </w:tcPr>
          <w:p>
            <w:pPr>
              <w:jc w:val="right"/>
              <w:spacing w:after="0"/>
              <w:rPr>
                <w:sz w:val="20"/>
                <w:szCs w:val="20"/>
                <w:color w:val="auto"/>
              </w:rPr>
            </w:pPr>
            <w:r>
              <w:rPr>
                <w:rFonts w:ascii="Arial" w:cs="Arial" w:eastAsia="Arial" w:hAnsi="Arial"/>
                <w:sz w:val="15"/>
                <w:szCs w:val="15"/>
                <w:color w:val="auto"/>
              </w:rPr>
              <w:t>960</w:t>
            </w:r>
          </w:p>
        </w:tc>
      </w:tr>
      <w:tr>
        <w:trPr>
          <w:trHeight w:val="196"/>
        </w:trPr>
        <w:tc>
          <w:tcPr>
            <w:tcW w:w="42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5"/>
                <w:szCs w:val="15"/>
                <w:b w:val="1"/>
                <w:bCs w:val="1"/>
                <w:color w:val="auto"/>
              </w:rPr>
              <w:t>8,650</w:t>
            </w:r>
          </w:p>
        </w:tc>
        <w:tc>
          <w:tcPr>
            <w:tcW w:w="2320" w:type="dxa"/>
            <w:vAlign w:val="bottom"/>
            <w:gridSpan w:val="2"/>
          </w:tcPr>
          <w:p>
            <w:pPr>
              <w:jc w:val="right"/>
              <w:spacing w:after="0"/>
              <w:rPr>
                <w:sz w:val="20"/>
                <w:szCs w:val="20"/>
                <w:color w:val="auto"/>
              </w:rPr>
            </w:pPr>
            <w:r>
              <w:rPr>
                <w:rFonts w:ascii="Arial" w:cs="Arial" w:eastAsia="Arial" w:hAnsi="Arial"/>
                <w:sz w:val="15"/>
                <w:szCs w:val="15"/>
                <w:b w:val="1"/>
                <w:bCs w:val="1"/>
                <w:color w:val="auto"/>
              </w:rPr>
              <w:t>8,460</w:t>
            </w:r>
          </w:p>
        </w:tc>
        <w:tc>
          <w:tcPr>
            <w:tcW w:w="2340" w:type="dxa"/>
            <w:vAlign w:val="bottom"/>
            <w:gridSpan w:val="2"/>
          </w:tcPr>
          <w:p>
            <w:pPr>
              <w:jc w:val="right"/>
              <w:spacing w:after="0"/>
              <w:rPr>
                <w:sz w:val="20"/>
                <w:szCs w:val="20"/>
                <w:color w:val="auto"/>
              </w:rPr>
            </w:pPr>
            <w:r>
              <w:rPr>
                <w:rFonts w:ascii="Arial" w:cs="Arial" w:eastAsia="Arial" w:hAnsi="Arial"/>
                <w:sz w:val="15"/>
                <w:szCs w:val="15"/>
                <w:b w:val="1"/>
                <w:bCs w:val="1"/>
                <w:color w:val="auto"/>
              </w:rPr>
              <w:t>8,505</w:t>
            </w:r>
          </w:p>
        </w:tc>
      </w:tr>
      <w:tr>
        <w:trPr>
          <w:trHeight w:val="20"/>
        </w:trPr>
        <w:tc>
          <w:tcPr>
            <w:tcW w:w="4280" w:type="dxa"/>
            <w:vAlign w:val="bottom"/>
          </w:tcPr>
          <w:p>
            <w:pPr>
              <w:spacing w:after="0" w:line="20" w:lineRule="exact"/>
              <w:rPr>
                <w:sz w:val="1"/>
                <w:szCs w:val="1"/>
                <w:color w:val="auto"/>
              </w:rPr>
            </w:pPr>
          </w:p>
        </w:tc>
        <w:tc>
          <w:tcPr>
            <w:tcW w:w="2160" w:type="dxa"/>
            <w:vAlign w:val="bottom"/>
            <w:tcBorders>
              <w:top w:val="single" w:sz="8" w:color="3983C5"/>
              <w:bottom w:val="single" w:sz="8" w:color="3983C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Borders>
              <w:top w:val="single" w:sz="8" w:color="3983C5"/>
              <w:bottom w:val="single" w:sz="8" w:color="3983C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top w:val="single" w:sz="8" w:color="3983C5"/>
              <w:bottom w:val="single" w:sz="8" w:color="3983C5"/>
            </w:tcBorders>
          </w:tcPr>
          <w:p>
            <w:pPr>
              <w:spacing w:after="0" w:line="20" w:lineRule="exact"/>
              <w:rPr>
                <w:sz w:val="1"/>
                <w:szCs w:val="1"/>
                <w:color w:val="auto"/>
              </w:rPr>
            </w:pPr>
          </w:p>
        </w:tc>
      </w:tr>
    </w:tbl>
    <w:p>
      <w:pPr>
        <w:spacing w:after="0" w:line="99"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Reflects the Company's 50% ownership interest</w:t>
      </w:r>
      <w:r>
        <w:rPr>
          <w:rFonts w:ascii="Arial" w:cs="Arial" w:eastAsia="Arial" w:hAnsi="Arial"/>
          <w:sz w:val="23"/>
          <w:szCs w:val="23"/>
          <w:color w:val="auto"/>
          <w:vertAlign w:val="superscript"/>
        </w:rPr>
        <w:t>.</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total measured and indicated limestone resources were 683.4 million tons at March 31, 2023, compared with 679.2 million tons at March 31, 2022. The 1% increase was due primarily to exploration at our LaSalle, Illinois mine. Our total proven and probable reserves were 312.9 million tons at March 31, 2023, compared with 321.0 million tons at March 31, 2022. The 3% decline was due to depletion during fiscal 2023.</w:t>
      </w:r>
    </w:p>
    <w:p>
      <w:pPr>
        <w:spacing w:after="0" w:line="16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All of our quarries are close to our operating facilities. See Item 2. Properties for the map showing the locations of all operating facilities for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Internal Controls</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compiled reserve and resource estimates with the assistance of third-party QP. In general, the procedure for developing these estimates was a collaboration between site personnel and the QP for each individual site. Past exploration data was field verified and quality was verified by reviewing on-site lab certification or third-party testing. Third-party resource modeling was developed using verified past exploration data and field observations. Where applicable, site-specific ore density, recovery, and loss parameters were used in order to calculate reserves. Property ownership, permit status, and lease evaluations were performed by the third-party QP to evaluate the legal right to mine. When evaluating economic viability, past income statements and operating costs were reviewed, as well as future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8" w:right="399" w:bottom="1440" w:gutter="0" w:footer="0" w:header="0"/>
        </w:sectPr>
      </w:pPr>
    </w:p>
    <w:bookmarkStart w:id="10" w:name="page11"/>
    <w:bookmarkEnd w:id="10"/>
    <w:p>
      <w:pPr>
        <w:ind w:right="100"/>
        <w:spacing w:after="0" w:line="260" w:lineRule="auto"/>
        <w:rPr>
          <w:sz w:val="20"/>
          <w:szCs w:val="20"/>
          <w:color w:val="auto"/>
        </w:rPr>
      </w:pPr>
      <w:r>
        <w:rPr>
          <w:rFonts w:ascii="Arial" w:cs="Arial" w:eastAsia="Arial" w:hAnsi="Arial"/>
          <w:sz w:val="18"/>
          <w:szCs w:val="18"/>
          <w:color w:val="auto"/>
        </w:rPr>
        <w:t>operating and capital cost estimates. Commodity pricing was either taken from published USGS reports or from reasonable expected pricing given site location and haulage rates.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 Plants</w:t>
      </w:r>
    </w:p>
    <w:p>
      <w:pPr>
        <w:spacing w:after="0" w:line="1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operate eight modern cement plants (one of which is operated through a joint venture), and one slag grinding facility. Our clinker capacity is approximately 6.7 million tons, which is approximately 6% of total U.S. clinker capacity. Clinker is the intermediary product before it is ground into cement powder. All of our cement plants use dry-process technology, and approximately 80% of our clinker capacity is produced from preheater or preheater/pre-calciner kilns, which are generally more energy-efficient kiln types. In addition to production facilities, we also operate over 30 cement storage and distribution terminals, including the Stockton, California terminal purchased on May 3, 2023.</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cement companies focus on the U.S. heartland and operate as an integrated network selling product mainly in Colorado, Illinois, Kansas, Kentucky, Indiana, Iowa, Missouri, Nebraska, Nevada, Ohio, Oklahoma, Tennessee, and Texas. Our Joint Venture (as defined below) includes a minority interest in an import terminal in Houston, Texas, from which we can purchase up to 495,000 short tons annually. Our slag facility is located near Chicago, Illinois and has 500,000 tons annual grinding capacity.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cement plants at March 31, 2023 (tons are in thousands of short tons):</w:t>
      </w:r>
    </w:p>
    <w:p>
      <w:pPr>
        <w:sectPr>
          <w:pgSz w:w="11900" w:h="16838" w:orient="portrait"/>
          <w:cols w:equalWidth="0" w:num="1">
            <w:col w:w="11240"/>
          </w:cols>
          <w:pgMar w:left="320" w:top="478" w:right="33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Rated Annual</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Plant Location</w:t>
            </w:r>
          </w:p>
        </w:tc>
        <w:tc>
          <w:tcPr>
            <w:tcW w:w="148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Clinker</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3983C5"/>
            </w:tcBorders>
            <w:vMerge w:val="continue"/>
          </w:tcPr>
          <w:p>
            <w:pPr>
              <w:spacing w:after="0"/>
              <w:rPr>
                <w:sz w:val="15"/>
                <w:szCs w:val="15"/>
                <w:color w:val="auto"/>
              </w:rPr>
            </w:pPr>
          </w:p>
        </w:tc>
        <w:tc>
          <w:tcPr>
            <w:tcW w:w="1480" w:type="dxa"/>
            <w:vAlign w:val="bottom"/>
            <w:tcBorders>
              <w:bottom w:val="single" w:sz="8" w:color="3983C5"/>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75"/>
        </w:trPr>
        <w:tc>
          <w:tcPr>
            <w:tcW w:w="2180" w:type="dxa"/>
            <w:vAlign w:val="bottom"/>
          </w:tcPr>
          <w:p>
            <w:pPr>
              <w:ind w:left="20"/>
              <w:spacing w:after="0"/>
              <w:rPr>
                <w:sz w:val="20"/>
                <w:szCs w:val="20"/>
                <w:color w:val="auto"/>
              </w:rPr>
            </w:pPr>
            <w:r>
              <w:rPr>
                <w:rFonts w:ascii="Arial" w:cs="Arial" w:eastAsia="Arial" w:hAnsi="Arial"/>
                <w:sz w:val="15"/>
                <w:szCs w:val="15"/>
                <w:b w:val="1"/>
                <w:bCs w:val="1"/>
                <w:color w:val="3983C5"/>
              </w:rPr>
              <w:t xml:space="preserve">Buda, TX </w:t>
            </w:r>
            <w:r>
              <w:rPr>
                <w:rFonts w:ascii="Arial" w:cs="Arial" w:eastAsia="Arial" w:hAnsi="Arial"/>
                <w:sz w:val="20"/>
                <w:szCs w:val="20"/>
                <w:b w:val="1"/>
                <w:bCs w:val="1"/>
                <w:color w:val="3983C5"/>
                <w:vertAlign w:val="superscript"/>
              </w:rPr>
              <w:t>(2)</w:t>
            </w:r>
          </w:p>
        </w:tc>
        <w:tc>
          <w:tcPr>
            <w:tcW w:w="1480" w:type="dxa"/>
            <w:vAlign w:val="bottom"/>
          </w:tcPr>
          <w:p>
            <w:pPr>
              <w:jc w:val="right"/>
              <w:spacing w:after="0"/>
              <w:rPr>
                <w:sz w:val="20"/>
                <w:szCs w:val="20"/>
                <w:color w:val="auto"/>
              </w:rPr>
            </w:pPr>
            <w:r>
              <w:rPr>
                <w:rFonts w:ascii="Arial" w:cs="Arial" w:eastAsia="Arial" w:hAnsi="Arial"/>
                <w:sz w:val="15"/>
                <w:szCs w:val="15"/>
                <w:color w:val="auto"/>
              </w:rPr>
              <w:t>1,300</w:t>
            </w:r>
          </w:p>
        </w:tc>
        <w:tc>
          <w:tcPr>
            <w:tcW w:w="0" w:type="dxa"/>
            <w:vAlign w:val="bottom"/>
          </w:tcPr>
          <w:p>
            <w:pPr>
              <w:spacing w:after="0"/>
              <w:rPr>
                <w:sz w:val="1"/>
                <w:szCs w:val="1"/>
                <w:color w:val="auto"/>
              </w:rPr>
            </w:pPr>
          </w:p>
        </w:tc>
      </w:tr>
      <w:tr>
        <w:trPr>
          <w:trHeight w:val="69"/>
        </w:trPr>
        <w:tc>
          <w:tcPr>
            <w:tcW w:w="2180" w:type="dxa"/>
            <w:vAlign w:val="bottom"/>
            <w:tcBorders>
              <w:bottom w:val="single" w:sz="8" w:color="A6A6A6"/>
            </w:tcBorders>
          </w:tcPr>
          <w:p>
            <w:pPr>
              <w:spacing w:after="0"/>
              <w:rPr>
                <w:sz w:val="6"/>
                <w:szCs w:val="6"/>
                <w:color w:val="auto"/>
              </w:rPr>
            </w:pPr>
          </w:p>
        </w:tc>
        <w:tc>
          <w:tcPr>
            <w:tcW w:w="148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1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LaSalle, IL</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3"/>
        </w:trPr>
        <w:tc>
          <w:tcPr>
            <w:tcW w:w="21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Sugar Creek, MO</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3"/>
        </w:trPr>
        <w:tc>
          <w:tcPr>
            <w:tcW w:w="2180" w:type="dxa"/>
            <w:vAlign w:val="bottom"/>
          </w:tcPr>
          <w:p>
            <w:pPr>
              <w:ind w:left="20"/>
              <w:spacing w:after="0"/>
              <w:rPr>
                <w:sz w:val="20"/>
                <w:szCs w:val="20"/>
                <w:color w:val="auto"/>
              </w:rPr>
            </w:pPr>
            <w:r>
              <w:rPr>
                <w:rFonts w:ascii="Arial" w:cs="Arial" w:eastAsia="Arial" w:hAnsi="Arial"/>
                <w:sz w:val="15"/>
                <w:szCs w:val="15"/>
                <w:b w:val="1"/>
                <w:bCs w:val="1"/>
                <w:color w:val="3983C5"/>
              </w:rPr>
              <w:t>Laramie, WY</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650</w:t>
            </w:r>
          </w:p>
        </w:tc>
        <w:tc>
          <w:tcPr>
            <w:tcW w:w="0" w:type="dxa"/>
            <w:vAlign w:val="bottom"/>
          </w:tcPr>
          <w:p>
            <w:pPr>
              <w:spacing w:after="0"/>
              <w:rPr>
                <w:sz w:val="1"/>
                <w:szCs w:val="1"/>
                <w:color w:val="auto"/>
              </w:rPr>
            </w:pPr>
          </w:p>
        </w:tc>
      </w:tr>
      <w:tr>
        <w:trPr>
          <w:trHeight w:val="183"/>
        </w:trPr>
        <w:tc>
          <w:tcPr>
            <w:tcW w:w="218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tcPr>
          <w:p>
            <w:pPr>
              <w:ind w:left="20"/>
              <w:spacing w:after="0"/>
              <w:rPr>
                <w:sz w:val="20"/>
                <w:szCs w:val="20"/>
                <w:color w:val="auto"/>
              </w:rPr>
            </w:pPr>
            <w:r>
              <w:rPr>
                <w:rFonts w:ascii="Arial" w:cs="Arial" w:eastAsia="Arial" w:hAnsi="Arial"/>
                <w:sz w:val="15"/>
                <w:szCs w:val="15"/>
                <w:b w:val="1"/>
                <w:bCs w:val="1"/>
                <w:color w:val="3983C5"/>
              </w:rPr>
              <w:t>Tulsa, OK</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6A6A6"/>
            </w:tcBorders>
          </w:tcPr>
          <w:p>
            <w:pPr>
              <w:spacing w:after="0"/>
              <w:rPr>
                <w:sz w:val="19"/>
                <w:szCs w:val="19"/>
                <w:color w:val="auto"/>
              </w:rPr>
            </w:pPr>
          </w:p>
        </w:tc>
        <w:tc>
          <w:tcPr>
            <w:tcW w:w="1480" w:type="dxa"/>
            <w:vAlign w:val="bottom"/>
            <w:tcBorders>
              <w:bottom w:val="single" w:sz="8" w:color="A6A6A6"/>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180" w:type="dxa"/>
            <w:vAlign w:val="bottom"/>
          </w:tcPr>
          <w:p>
            <w:pPr>
              <w:ind w:left="20"/>
              <w:spacing w:after="0"/>
              <w:rPr>
                <w:sz w:val="20"/>
                <w:szCs w:val="20"/>
                <w:color w:val="auto"/>
              </w:rPr>
            </w:pPr>
            <w:r>
              <w:rPr>
                <w:rFonts w:ascii="Arial" w:cs="Arial" w:eastAsia="Arial" w:hAnsi="Arial"/>
                <w:sz w:val="15"/>
                <w:szCs w:val="15"/>
                <w:b w:val="1"/>
                <w:bCs w:val="1"/>
                <w:color w:val="3983C5"/>
              </w:rPr>
              <w:t>Fernley, NV</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83"/>
        </w:trPr>
        <w:tc>
          <w:tcPr>
            <w:tcW w:w="218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Louisville, KY</w:t>
            </w: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1,550</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Fairborn, OH</w:t>
            </w:r>
          </w:p>
        </w:tc>
        <w:tc>
          <w:tcPr>
            <w:tcW w:w="1480" w:type="dxa"/>
            <w:vAlign w:val="bottom"/>
            <w:tcBorders>
              <w:bottom w:val="single" w:sz="8" w:color="004483"/>
            </w:tcBorders>
          </w:tcPr>
          <w:p>
            <w:pPr>
              <w:jc w:val="right"/>
              <w:spacing w:after="0"/>
              <w:rPr>
                <w:sz w:val="20"/>
                <w:szCs w:val="20"/>
                <w:color w:val="auto"/>
              </w:rPr>
            </w:pPr>
            <w:r>
              <w:rPr>
                <w:rFonts w:ascii="Arial" w:cs="Arial" w:eastAsia="Arial" w:hAnsi="Arial"/>
                <w:sz w:val="15"/>
                <w:szCs w:val="15"/>
                <w:color w:val="auto"/>
              </w:rPr>
              <w:t>730</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A6A6A6"/>
            </w:tcBorders>
          </w:tcPr>
          <w:p>
            <w:pPr>
              <w:ind w:left="20"/>
              <w:spacing w:after="0"/>
              <w:rPr>
                <w:sz w:val="20"/>
                <w:szCs w:val="20"/>
                <w:color w:val="auto"/>
              </w:rPr>
            </w:pPr>
            <w:r>
              <w:rPr>
                <w:rFonts w:ascii="Arial" w:cs="Arial" w:eastAsia="Arial" w:hAnsi="Arial"/>
                <w:sz w:val="15"/>
                <w:szCs w:val="15"/>
                <w:b w:val="1"/>
                <w:bCs w:val="1"/>
                <w:color w:val="3983C5"/>
              </w:rPr>
              <w:t>Total-Gross</w:t>
            </w:r>
          </w:p>
        </w:tc>
        <w:tc>
          <w:tcPr>
            <w:tcW w:w="1480" w:type="dxa"/>
            <w:vAlign w:val="bottom"/>
            <w:tcBorders>
              <w:bottom w:val="single" w:sz="8" w:color="004483"/>
            </w:tcBorders>
          </w:tcPr>
          <w:p>
            <w:pPr>
              <w:jc w:val="right"/>
              <w:spacing w:after="0"/>
              <w:rPr>
                <w:sz w:val="20"/>
                <w:szCs w:val="20"/>
                <w:color w:val="auto"/>
              </w:rPr>
            </w:pPr>
            <w:r>
              <w:rPr>
                <w:rFonts w:ascii="Arial" w:cs="Arial" w:eastAsia="Arial" w:hAnsi="Arial"/>
                <w:sz w:val="15"/>
                <w:szCs w:val="15"/>
                <w:color w:val="auto"/>
              </w:rPr>
              <w:t>7,330</w:t>
            </w:r>
          </w:p>
        </w:tc>
        <w:tc>
          <w:tcPr>
            <w:tcW w:w="0" w:type="dxa"/>
            <w:vAlign w:val="bottom"/>
          </w:tcPr>
          <w:p>
            <w:pPr>
              <w:spacing w:after="0"/>
              <w:rPr>
                <w:sz w:val="1"/>
                <w:szCs w:val="1"/>
                <w:color w:val="auto"/>
              </w:rPr>
            </w:pPr>
          </w:p>
        </w:tc>
      </w:tr>
      <w:tr>
        <w:trPr>
          <w:trHeight w:val="183"/>
        </w:trPr>
        <w:tc>
          <w:tcPr>
            <w:tcW w:w="2180" w:type="dxa"/>
            <w:vAlign w:val="bottom"/>
          </w:tcPr>
          <w:p>
            <w:pPr>
              <w:ind w:left="20"/>
              <w:spacing w:after="0" w:line="183" w:lineRule="exact"/>
              <w:rPr>
                <w:sz w:val="20"/>
                <w:szCs w:val="20"/>
                <w:color w:val="auto"/>
              </w:rPr>
            </w:pPr>
            <w:r>
              <w:rPr>
                <w:rFonts w:ascii="Arial" w:cs="Arial" w:eastAsia="Arial" w:hAnsi="Arial"/>
                <w:sz w:val="15"/>
                <w:szCs w:val="15"/>
                <w:b w:val="1"/>
                <w:bCs w:val="1"/>
                <w:color w:val="3983C5"/>
              </w:rPr>
              <w:t xml:space="preserve">Total-Net </w:t>
            </w:r>
            <w:r>
              <w:rPr>
                <w:rFonts w:ascii="Arial" w:cs="Arial" w:eastAsia="Arial" w:hAnsi="Arial"/>
                <w:sz w:val="20"/>
                <w:szCs w:val="20"/>
                <w:b w:val="1"/>
                <w:bCs w:val="1"/>
                <w:color w:val="3983C5"/>
                <w:vertAlign w:val="superscript"/>
              </w:rPr>
              <w:t>(3)</w:t>
            </w:r>
          </w:p>
        </w:tc>
        <w:tc>
          <w:tcPr>
            <w:tcW w:w="1480" w:type="dxa"/>
            <w:vAlign w:val="bottom"/>
            <w:tcBorders>
              <w:bottom w:val="single" w:sz="8" w:color="3983C5"/>
            </w:tcBorders>
          </w:tcPr>
          <w:p>
            <w:pPr>
              <w:jc w:val="right"/>
              <w:spacing w:after="0"/>
              <w:rPr>
                <w:sz w:val="20"/>
                <w:szCs w:val="20"/>
                <w:color w:val="auto"/>
              </w:rPr>
            </w:pPr>
            <w:r>
              <w:rPr>
                <w:rFonts w:ascii="Arial" w:cs="Arial" w:eastAsia="Arial" w:hAnsi="Arial"/>
                <w:sz w:val="15"/>
                <w:szCs w:val="15"/>
                <w:b w:val="1"/>
                <w:bCs w:val="1"/>
                <w:color w:val="auto"/>
              </w:rPr>
              <w:t>6,680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80" w:type="dxa"/>
            <w:vAlign w:val="bottom"/>
            <w:tcBorders>
              <w:bottom w:val="single" w:sz="8" w:color="3983C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Annual</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Grinding</w:t>
      </w:r>
    </w:p>
    <w:p>
      <w:pPr>
        <w:spacing w:after="0"/>
        <w:rPr>
          <w:sz w:val="20"/>
          <w:szCs w:val="20"/>
          <w:color w:val="auto"/>
        </w:rPr>
      </w:pPr>
      <w:r>
        <w:rPr>
          <w:rFonts w:ascii="Arial" w:cs="Arial" w:eastAsia="Arial" w:hAnsi="Arial"/>
          <w:sz w:val="12"/>
          <w:szCs w:val="12"/>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113030</wp:posOffset>
            </wp:positionV>
            <wp:extent cx="1045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139065</wp:posOffset>
            </wp:positionV>
            <wp:extent cx="1045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164465</wp:posOffset>
            </wp:positionV>
            <wp:extent cx="1045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139065</wp:posOffset>
            </wp:positionV>
            <wp:extent cx="1045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5845" cy="25400"/>
                    </a:xfrm>
                    <a:prstGeom prst="rect">
                      <a:avLst/>
                    </a:prstGeom>
                    <a:noFill/>
                  </pic:spPr>
                </pic:pic>
              </a:graphicData>
            </a:graphic>
          </wp:anchor>
        </w:drawing>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8,865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10160</wp:posOffset>
            </wp:positionV>
            <wp:extent cx="104584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5845" cy="25400"/>
                    </a:xfrm>
                    <a:prstGeom prst="rect">
                      <a:avLst/>
                    </a:prstGeom>
                    <a:noFill/>
                  </pic:spPr>
                </pic:pic>
              </a:graphicData>
            </a:graphic>
          </wp:anchor>
        </w:drawing>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8,150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15240</wp:posOffset>
            </wp:positionV>
            <wp:extent cx="10458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32385</wp:posOffset>
            </wp:positionV>
            <wp:extent cx="10458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Manufacturing</w:t>
            </w:r>
          </w:p>
        </w:tc>
        <w:tc>
          <w:tcPr>
            <w:tcW w:w="126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Number</w:t>
            </w:r>
          </w:p>
        </w:tc>
        <w:tc>
          <w:tcPr>
            <w:tcW w:w="1400" w:type="dxa"/>
            <w:vAlign w:val="bottom"/>
          </w:tcPr>
          <w:p>
            <w:pPr>
              <w:ind w:left="280"/>
              <w:spacing w:after="0"/>
              <w:rPr>
                <w:sz w:val="20"/>
                <w:szCs w:val="20"/>
                <w:color w:val="auto"/>
              </w:rPr>
            </w:pPr>
            <w:r>
              <w:rPr>
                <w:rFonts w:ascii="Arial" w:cs="Arial" w:eastAsia="Arial" w:hAnsi="Arial"/>
                <w:sz w:val="13"/>
                <w:szCs w:val="13"/>
                <w:b w:val="1"/>
                <w:bCs w:val="1"/>
                <w:color w:val="auto"/>
              </w:rPr>
              <w:t>Kiln</w:t>
            </w:r>
          </w:p>
        </w:tc>
        <w:tc>
          <w:tcPr>
            <w:tcW w:w="0" w:type="dxa"/>
            <w:vAlign w:val="bottom"/>
          </w:tcPr>
          <w:p>
            <w:pPr>
              <w:spacing w:after="0"/>
              <w:rPr>
                <w:sz w:val="1"/>
                <w:szCs w:val="1"/>
                <w:color w:val="auto"/>
              </w:rPr>
            </w:pPr>
          </w:p>
        </w:tc>
      </w:tr>
      <w:tr>
        <w:trPr>
          <w:trHeight w:val="135"/>
        </w:trPr>
        <w:tc>
          <w:tcPr>
            <w:tcW w:w="3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400" w:type="dxa"/>
            <w:vAlign w:val="bottom"/>
          </w:tcPr>
          <w:p>
            <w:pPr>
              <w:ind w:left="280"/>
              <w:spacing w:after="0" w:line="135" w:lineRule="exact"/>
              <w:rPr>
                <w:sz w:val="20"/>
                <w:szCs w:val="20"/>
                <w:color w:val="auto"/>
              </w:rPr>
            </w:pPr>
            <w:r>
              <w:rPr>
                <w:rFonts w:ascii="Arial" w:cs="Arial" w:eastAsia="Arial" w:hAnsi="Arial"/>
                <w:sz w:val="13"/>
                <w:szCs w:val="13"/>
                <w:b w:val="1"/>
                <w:bCs w:val="1"/>
                <w:color w:val="auto"/>
              </w:rPr>
              <w:t>Dedication</w:t>
            </w:r>
          </w:p>
        </w:tc>
        <w:tc>
          <w:tcPr>
            <w:tcW w:w="0" w:type="dxa"/>
            <w:vAlign w:val="bottom"/>
          </w:tcPr>
          <w:p>
            <w:pPr>
              <w:spacing w:after="0"/>
              <w:rPr>
                <w:sz w:val="1"/>
                <w:szCs w:val="1"/>
                <w:color w:val="auto"/>
              </w:rPr>
            </w:pPr>
          </w:p>
        </w:tc>
      </w:tr>
      <w:tr>
        <w:trPr>
          <w:trHeight w:val="170"/>
        </w:trPr>
        <w:tc>
          <w:tcPr>
            <w:tcW w:w="3000" w:type="dxa"/>
            <w:vAlign w:val="bottom"/>
            <w:tcBorders>
              <w:bottom w:val="single" w:sz="8" w:color="3983C5"/>
            </w:tcBorders>
          </w:tcPr>
          <w:p>
            <w:pPr>
              <w:ind w:left="20"/>
              <w:spacing w:after="0"/>
              <w:rPr>
                <w:sz w:val="20"/>
                <w:szCs w:val="20"/>
                <w:color w:val="auto"/>
              </w:rPr>
            </w:pPr>
            <w:r>
              <w:rPr>
                <w:rFonts w:ascii="Arial" w:cs="Arial" w:eastAsia="Arial" w:hAnsi="Arial"/>
                <w:sz w:val="13"/>
                <w:szCs w:val="13"/>
                <w:b w:val="1"/>
                <w:bCs w:val="1"/>
                <w:color w:val="auto"/>
              </w:rPr>
              <w:t>Process</w:t>
            </w:r>
          </w:p>
        </w:tc>
        <w:tc>
          <w:tcPr>
            <w:tcW w:w="1260" w:type="dxa"/>
            <w:vAlign w:val="bottom"/>
            <w:tcBorders>
              <w:bottom w:val="single" w:sz="8" w:color="3983C5"/>
            </w:tcBorders>
          </w:tcPr>
          <w:p>
            <w:pPr>
              <w:ind w:left="500"/>
              <w:spacing w:after="0"/>
              <w:rPr>
                <w:sz w:val="20"/>
                <w:szCs w:val="20"/>
                <w:color w:val="auto"/>
              </w:rPr>
            </w:pPr>
            <w:r>
              <w:rPr>
                <w:rFonts w:ascii="Arial" w:cs="Arial" w:eastAsia="Arial" w:hAnsi="Arial"/>
                <w:sz w:val="13"/>
                <w:szCs w:val="13"/>
                <w:b w:val="1"/>
                <w:bCs w:val="1"/>
                <w:color w:val="auto"/>
              </w:rPr>
              <w:t>of Kilns</w:t>
            </w:r>
          </w:p>
        </w:tc>
        <w:tc>
          <w:tcPr>
            <w:tcW w:w="1400" w:type="dxa"/>
            <w:vAlign w:val="bottom"/>
            <w:tcBorders>
              <w:bottom w:val="single" w:sz="8" w:color="3983C5"/>
            </w:tcBorders>
          </w:tcPr>
          <w:p>
            <w:pPr>
              <w:ind w:left="28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line="156" w:lineRule="exact"/>
              <w:rPr>
                <w:sz w:val="20"/>
                <w:szCs w:val="20"/>
                <w:color w:val="auto"/>
              </w:rPr>
            </w:pPr>
            <w:r>
              <w:rPr>
                <w:rFonts w:ascii="Arial" w:cs="Arial" w:eastAsia="Arial" w:hAnsi="Arial"/>
                <w:sz w:val="15"/>
                <w:szCs w:val="15"/>
                <w:color w:val="auto"/>
              </w:rPr>
              <w:t>Dry – 4 Stage Preheater/</w:t>
            </w:r>
          </w:p>
        </w:tc>
        <w:tc>
          <w:tcPr>
            <w:tcW w:w="1260" w:type="dxa"/>
            <w:vAlign w:val="bottom"/>
          </w:tcPr>
          <w:p>
            <w:pPr>
              <w:ind w:left="500"/>
              <w:spacing w:after="0" w:line="156" w:lineRule="exact"/>
              <w:rPr>
                <w:sz w:val="20"/>
                <w:szCs w:val="20"/>
                <w:color w:val="auto"/>
              </w:rPr>
            </w:pPr>
            <w:r>
              <w:rPr>
                <w:rFonts w:ascii="Arial" w:cs="Arial" w:eastAsia="Arial" w:hAnsi="Arial"/>
                <w:sz w:val="15"/>
                <w:szCs w:val="15"/>
                <w:color w:val="auto"/>
              </w:rPr>
              <w:t>1</w:t>
            </w:r>
          </w:p>
        </w:tc>
        <w:tc>
          <w:tcPr>
            <w:tcW w:w="1400" w:type="dxa"/>
            <w:vAlign w:val="bottom"/>
          </w:tcPr>
          <w:p>
            <w:pPr>
              <w:ind w:left="280"/>
              <w:spacing w:after="0" w:line="156" w:lineRule="exact"/>
              <w:rPr>
                <w:sz w:val="20"/>
                <w:szCs w:val="20"/>
                <w:color w:val="auto"/>
              </w:rPr>
            </w:pPr>
            <w:r>
              <w:rPr>
                <w:rFonts w:ascii="Arial" w:cs="Arial" w:eastAsia="Arial" w:hAnsi="Arial"/>
                <w:sz w:val="15"/>
                <w:szCs w:val="15"/>
                <w:color w:val="auto"/>
              </w:rPr>
              <w:t>1983</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Pre-calciner</w:t>
            </w:r>
          </w:p>
        </w:tc>
        <w:tc>
          <w:tcPr>
            <w:tcW w:w="1260" w:type="dxa"/>
            <w:vAlign w:val="bottom"/>
            <w:tcBorders>
              <w:bottom w:val="single" w:sz="8" w:color="A6A6A6"/>
            </w:tcBorders>
          </w:tcPr>
          <w:p>
            <w:pPr>
              <w:spacing w:after="0"/>
              <w:rPr>
                <w:sz w:val="16"/>
                <w:szCs w:val="16"/>
                <w:color w:val="auto"/>
              </w:rPr>
            </w:pPr>
          </w:p>
        </w:tc>
        <w:tc>
          <w:tcPr>
            <w:tcW w:w="140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5 Stage Preheater/Pre-calciner</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2006</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5 Stage Preheater/Pre-calciner</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2002</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2 Stage Preheater</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1996</w:t>
            </w:r>
          </w:p>
        </w:tc>
        <w:tc>
          <w:tcPr>
            <w:tcW w:w="0" w:type="dxa"/>
            <w:vAlign w:val="bottom"/>
          </w:tcPr>
          <w:p>
            <w:pPr>
              <w:spacing w:after="0"/>
              <w:rPr>
                <w:sz w:val="1"/>
                <w:szCs w:val="1"/>
                <w:color w:val="auto"/>
              </w:rPr>
            </w:pPr>
          </w:p>
        </w:tc>
      </w:tr>
      <w:tr>
        <w:trPr>
          <w:trHeight w:val="182"/>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r>
        <w:trPr>
          <w:trHeight w:val="188"/>
        </w:trPr>
        <w:tc>
          <w:tcPr>
            <w:tcW w:w="3000" w:type="dxa"/>
            <w:vAlign w:val="bottom"/>
          </w:tcPr>
          <w:p>
            <w:pPr>
              <w:ind w:left="20"/>
              <w:spacing w:after="0"/>
              <w:rPr>
                <w:sz w:val="20"/>
                <w:szCs w:val="20"/>
                <w:color w:val="auto"/>
              </w:rPr>
            </w:pPr>
            <w:r>
              <w:rPr>
                <w:rFonts w:ascii="Arial" w:cs="Arial" w:eastAsia="Arial" w:hAnsi="Arial"/>
                <w:sz w:val="15"/>
                <w:szCs w:val="15"/>
                <w:color w:val="auto"/>
              </w:rPr>
              <w:t>Dry ‒ Long Dry Kiln</w:t>
            </w:r>
          </w:p>
        </w:tc>
        <w:tc>
          <w:tcPr>
            <w:tcW w:w="1260" w:type="dxa"/>
            <w:vAlign w:val="bottom"/>
          </w:tcPr>
          <w:p>
            <w:pPr>
              <w:ind w:left="500"/>
              <w:spacing w:after="0"/>
              <w:rPr>
                <w:sz w:val="20"/>
                <w:szCs w:val="20"/>
                <w:color w:val="auto"/>
              </w:rPr>
            </w:pPr>
            <w:r>
              <w:rPr>
                <w:rFonts w:ascii="Arial" w:cs="Arial" w:eastAsia="Arial" w:hAnsi="Arial"/>
                <w:sz w:val="15"/>
                <w:szCs w:val="15"/>
                <w:color w:val="auto"/>
              </w:rPr>
              <w:t>1</w:t>
            </w:r>
          </w:p>
        </w:tc>
        <w:tc>
          <w:tcPr>
            <w:tcW w:w="1400" w:type="dxa"/>
            <w:vAlign w:val="bottom"/>
          </w:tcPr>
          <w:p>
            <w:pPr>
              <w:ind w:left="280"/>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35"/>
        </w:trPr>
        <w:tc>
          <w:tcPr>
            <w:tcW w:w="300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Long Dry Kiln</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1 Stage Preheater</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Dry - 4 Stage Preheater/Pre-calciner</w:t>
            </w:r>
          </w:p>
        </w:tc>
        <w:tc>
          <w:tcPr>
            <w:tcW w:w="1260" w:type="dxa"/>
            <w:vAlign w:val="bottom"/>
            <w:tcBorders>
              <w:bottom w:val="single" w:sz="8" w:color="A6A6A6"/>
            </w:tcBorders>
          </w:tcPr>
          <w:p>
            <w:pPr>
              <w:ind w:left="500"/>
              <w:spacing w:after="0"/>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rPr>
                <w:sz w:val="20"/>
                <w:szCs w:val="20"/>
                <w:color w:val="auto"/>
              </w:rPr>
            </w:pPr>
            <w:r>
              <w:rPr>
                <w:rFonts w:ascii="Arial" w:cs="Arial" w:eastAsia="Arial" w:hAnsi="Arial"/>
                <w:sz w:val="15"/>
                <w:szCs w:val="15"/>
                <w:color w:val="auto"/>
              </w:rPr>
              <w:t>1999</w:t>
            </w:r>
          </w:p>
        </w:tc>
        <w:tc>
          <w:tcPr>
            <w:tcW w:w="0" w:type="dxa"/>
            <w:vAlign w:val="bottom"/>
          </w:tcPr>
          <w:p>
            <w:pPr>
              <w:spacing w:after="0"/>
              <w:rPr>
                <w:sz w:val="1"/>
                <w:szCs w:val="1"/>
                <w:color w:val="auto"/>
              </w:rPr>
            </w:pPr>
          </w:p>
        </w:tc>
      </w:tr>
      <w:tr>
        <w:trPr>
          <w:trHeight w:val="188"/>
        </w:trPr>
        <w:tc>
          <w:tcPr>
            <w:tcW w:w="3000" w:type="dxa"/>
            <w:vAlign w:val="bottom"/>
          </w:tcPr>
          <w:p>
            <w:pPr>
              <w:ind w:left="20"/>
              <w:spacing w:after="0"/>
              <w:rPr>
                <w:sz w:val="20"/>
                <w:szCs w:val="20"/>
                <w:color w:val="auto"/>
              </w:rPr>
            </w:pPr>
            <w:r>
              <w:rPr>
                <w:rFonts w:ascii="Arial" w:cs="Arial" w:eastAsia="Arial" w:hAnsi="Arial"/>
                <w:sz w:val="15"/>
                <w:szCs w:val="15"/>
                <w:color w:val="auto"/>
              </w:rPr>
              <w:t>Dry – 4 Stage Preheater</w:t>
            </w:r>
          </w:p>
        </w:tc>
        <w:tc>
          <w:tcPr>
            <w:tcW w:w="1260" w:type="dxa"/>
            <w:vAlign w:val="bottom"/>
          </w:tcPr>
          <w:p>
            <w:pPr>
              <w:ind w:left="500"/>
              <w:spacing w:after="0"/>
              <w:rPr>
                <w:sz w:val="20"/>
                <w:szCs w:val="20"/>
                <w:color w:val="auto"/>
              </w:rPr>
            </w:pPr>
            <w:r>
              <w:rPr>
                <w:rFonts w:ascii="Arial" w:cs="Arial" w:eastAsia="Arial" w:hAnsi="Arial"/>
                <w:sz w:val="15"/>
                <w:szCs w:val="15"/>
                <w:color w:val="auto"/>
              </w:rPr>
              <w:t>1</w:t>
            </w:r>
          </w:p>
        </w:tc>
        <w:tc>
          <w:tcPr>
            <w:tcW w:w="1400" w:type="dxa"/>
            <w:vAlign w:val="bottom"/>
          </w:tcPr>
          <w:p>
            <w:pPr>
              <w:ind w:left="280"/>
              <w:spacing w:after="0"/>
              <w:rPr>
                <w:sz w:val="20"/>
                <w:szCs w:val="20"/>
                <w:color w:val="auto"/>
              </w:rPr>
            </w:pPr>
            <w:r>
              <w:rPr>
                <w:rFonts w:ascii="Arial" w:cs="Arial" w:eastAsia="Arial" w:hAnsi="Arial"/>
                <w:sz w:val="15"/>
                <w:szCs w:val="15"/>
                <w:color w:val="auto"/>
              </w:rPr>
              <w:t>1974</w:t>
            </w:r>
          </w:p>
        </w:tc>
        <w:tc>
          <w:tcPr>
            <w:tcW w:w="0" w:type="dxa"/>
            <w:vAlign w:val="bottom"/>
          </w:tcPr>
          <w:p>
            <w:pPr>
              <w:spacing w:after="0"/>
              <w:rPr>
                <w:sz w:val="1"/>
                <w:szCs w:val="1"/>
                <w:color w:val="auto"/>
              </w:rPr>
            </w:pPr>
          </w:p>
        </w:tc>
      </w:tr>
      <w:tr>
        <w:trPr>
          <w:trHeight w:val="22"/>
        </w:trPr>
        <w:tc>
          <w:tcPr>
            <w:tcW w:w="3000" w:type="dxa"/>
            <w:vAlign w:val="bottom"/>
            <w:tcBorders>
              <w:bottom w:val="single" w:sz="8" w:color="A6A6A6"/>
            </w:tcBorders>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140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4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ectPr>
          <w:pgSz w:w="11900" w:h="16838" w:orient="portrait"/>
          <w:cols w:equalWidth="0" w:num="3">
            <w:col w:w="4180" w:space="720"/>
            <w:col w:w="520" w:space="160"/>
            <w:col w:w="5660"/>
          </w:cols>
          <w:pgMar w:left="320" w:top="478" w:right="339" w:bottom="1440" w:gutter="0" w:footer="0" w:header="0"/>
          <w:type w:val="continuous"/>
        </w:sectPr>
      </w:pPr>
    </w:p>
    <w:p>
      <w:pPr>
        <w:ind w:left="440" w:hanging="432"/>
        <w:spacing w:after="0"/>
        <w:tabs>
          <w:tab w:leader="none" w:pos="4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One short ton equals 2,000 pounds.</w:t>
      </w:r>
    </w:p>
    <w:p>
      <w:pPr>
        <w:spacing w:after="0" w:line="3"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amount shown represents 100% of plant capacity. This plant is owned by the Joint Venture in which the Company has a 50% interest.</w:t>
      </w:r>
    </w:p>
    <w:p>
      <w:pPr>
        <w:spacing w:after="0" w:line="16"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Net of partner’s 50% interest in the Buda, Texas plant.</w:t>
      </w:r>
    </w:p>
    <w:p>
      <w:pPr>
        <w:spacing w:after="0" w:line="7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All of our cement subsidiaries are wholly owned except the Buda, Texas plant, which is owned by Texas Lehigh Cement Company LP, a limited partnership joint venture (the Joint Venture) owned 50% by us, and 50% by Lehigh Cement Company LLC, a subsidiary of Heidelberg Cement AG.</w:t>
      </w:r>
    </w:p>
    <w:p>
      <w:pPr>
        <w:spacing w:after="0" w:line="76"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color w:val="auto"/>
        </w:rPr>
        <w:t>Our cement production, including our 50% share of the cement Joint Venture production, totaled 6.7 million short tons and 6.9 million short tons for fiscal 2023 and fiscal 2022, respectively. Total net Cement sales, including our 50% share of cement sales from the Joint Venture, were 7.1 million short tons and 7.5 million short tons in fiscal 2023 and fiscal 2022, respectively. Total net Cement sales exceed production primarily because of imports through the Houston import terminal.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277EBF"/>
        </w:rPr>
        <w:t>Demand, Sales, and Distribution</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principal sources of demand for cement and slag are public infrastructure, private nonresidential construction, and residential construction, with public infrastructure comprising nearly 50% of total demand. Cement consumption in the U.S. increased approximately 3% during calendar 2022, and the Portland Cement Association (PCA) forecasts cement consumption will modestly decline in calendar 2023. Demand for cement is seasonal, particularly in northern states where inclement winter weather often affects construction activity. Cement sales are generally greatest from spring through the middle of autumn. Demand for slag has increased as the availability of fly ash has decreased due to the reduction in the use of coal to generate power.</w:t>
      </w:r>
    </w:p>
    <w:p>
      <w:pPr>
        <w:spacing w:after="0" w:line="8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Because of cement’s low value-to-weight ratio, the relative cost of transporting cement on land is high and limits the geographic area in which each company can profitably market its products. The low value-to-weight ratio generally limits shipments by truck to a 150-mile radius from each plant, up to 300 miles by rail, and further by barge. Consequently, the U.S. cement industry is made up of regional markets rather than a single national selling market. No single cement company has a distribution of plants extensive enough to serve all geographic areas, so profitability is sensitive to shifts in the balance between regional supply and demand.</w:t>
      </w:r>
    </w:p>
    <w:p>
      <w:pPr>
        <w:spacing w:after="0" w:line="8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Environmental and zoning regulations have made it increasingly difficult for the U.S. cement industry to expand existing facilities and to build new cement facilities. Although we cannot predict which policies will be adopted in the future by federal, state, and local governmental bodies, we anticipate that future restrictions will likely continue to make zoning and permitting of new capacity additions difficult. This could potentially enhance the value of our existing facilities. Furthermore, cost-efficient alternatives to cement are currently limited, and the availability of some alternatives is diminishing. For example, the availability of fly ash, a cement replacement, has decreased because of the retirement of coal-fired power plants and the conversion of power plants from coal to natural gas and other forms of energy.</w:t>
      </w:r>
    </w:p>
    <w:p>
      <w:pPr>
        <w:spacing w:after="0" w:line="8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 or on the Great Lakes or transported on the Mississippi River system near major population centers. Our position in the U.S. heartland, away from most import terminals, provides a degree of insulation from coastal imports, given the expense of transporting cement from deep water ports into the heartland regions. This geographic position further enhances the value of our plant network.</w:t>
      </w:r>
    </w:p>
    <w:p>
      <w:pPr>
        <w:spacing w:after="0" w:line="8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USGS estimates that imports represented approximately 21% of cement used in the U.S. during calendar 2022, compared with 18% in calendar 2021. Based on the normal distribution of cement into the market, we believe that no less than approximately 5% to 10% of the total U.S. consumption will consistently be served by imported cement.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ind w:right="20"/>
        <w:spacing w:after="0" w:line="247" w:lineRule="auto"/>
        <w:rPr>
          <w:sz w:val="20"/>
          <w:szCs w:val="20"/>
          <w:color w:val="auto"/>
        </w:rPr>
      </w:pPr>
      <w:r>
        <w:rPr>
          <w:rFonts w:ascii="Arial" w:cs="Arial" w:eastAsia="Arial" w:hAnsi="Arial"/>
          <w:sz w:val="18"/>
          <w:szCs w:val="18"/>
          <w:color w:val="auto"/>
        </w:rPr>
        <w:t>The following table sets forth information regarding the geographic areas served by each of our cement and slag plants and the location of our distribution terminals in each area. We have over 30 cement storage and distribution terminals, including the Stockton, California terminal that was purchased on May 3, 2023, that are strategically located to extend the sales areas of our plants.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3983C5"/>
            </w:tcBorders>
          </w:tcPr>
          <w:p>
            <w:pPr>
              <w:ind w:left="20"/>
              <w:spacing w:after="0"/>
              <w:rPr>
                <w:sz w:val="20"/>
                <w:szCs w:val="20"/>
                <w:color w:val="auto"/>
              </w:rPr>
            </w:pPr>
            <w:r>
              <w:rPr>
                <w:rFonts w:ascii="Arial" w:cs="Arial" w:eastAsia="Arial" w:hAnsi="Arial"/>
                <w:sz w:val="13"/>
                <w:szCs w:val="13"/>
                <w:b w:val="1"/>
                <w:bCs w:val="1"/>
                <w:color w:val="auto"/>
              </w:rPr>
              <w:t>Plant Location</w:t>
            </w:r>
          </w:p>
        </w:tc>
        <w:tc>
          <w:tcPr>
            <w:tcW w:w="102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Type of Plant</w:t>
            </w:r>
          </w:p>
        </w:tc>
        <w:tc>
          <w:tcPr>
            <w:tcW w:w="2260" w:type="dxa"/>
            <w:vAlign w:val="bottom"/>
            <w:tcBorders>
              <w:bottom w:val="single" w:sz="8" w:color="3983C5"/>
            </w:tcBorders>
          </w:tcPr>
          <w:p>
            <w:pPr>
              <w:ind w:left="120"/>
              <w:spacing w:after="0"/>
              <w:rPr>
                <w:sz w:val="20"/>
                <w:szCs w:val="20"/>
                <w:color w:val="auto"/>
              </w:rPr>
            </w:pPr>
            <w:r>
              <w:rPr>
                <w:rFonts w:ascii="Arial" w:cs="Arial" w:eastAsia="Arial" w:hAnsi="Arial"/>
                <w:sz w:val="13"/>
                <w:szCs w:val="13"/>
                <w:b w:val="1"/>
                <w:bCs w:val="1"/>
                <w:color w:val="auto"/>
              </w:rPr>
              <w:t>Operating Company Name</w:t>
            </w:r>
          </w:p>
        </w:tc>
        <w:tc>
          <w:tcPr>
            <w:tcW w:w="236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Principal Geographic Areas</w:t>
            </w:r>
          </w:p>
        </w:tc>
        <w:tc>
          <w:tcPr>
            <w:tcW w:w="402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 xml:space="preserve">Distribution Terminals </w:t>
            </w:r>
            <w:r>
              <w:rPr>
                <w:rFonts w:ascii="Arial" w:cs="Arial" w:eastAsia="Arial" w:hAnsi="Arial"/>
                <w:sz w:val="16"/>
                <w:szCs w:val="16"/>
                <w:b w:val="1"/>
                <w:bCs w:val="1"/>
                <w:color w:val="auto"/>
                <w:vertAlign w:val="superscript"/>
              </w:rPr>
              <w:t>(1)</w:t>
            </w:r>
          </w:p>
        </w:tc>
      </w:tr>
      <w:tr>
        <w:trPr>
          <w:trHeight w:val="186"/>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Buda, Texas</w:t>
            </w:r>
          </w:p>
        </w:tc>
        <w:tc>
          <w:tcPr>
            <w:tcW w:w="1020" w:type="dxa"/>
            <w:vAlign w:val="bottom"/>
          </w:tcPr>
          <w:p>
            <w:pPr>
              <w:ind w:left="100"/>
              <w:spacing w:after="0"/>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rPr>
                <w:sz w:val="20"/>
                <w:szCs w:val="20"/>
                <w:color w:val="auto"/>
              </w:rPr>
            </w:pPr>
            <w:r>
              <w:rPr>
                <w:rFonts w:ascii="Arial" w:cs="Arial" w:eastAsia="Arial" w:hAnsi="Arial"/>
                <w:sz w:val="16"/>
                <w:szCs w:val="16"/>
                <w:color w:val="auto"/>
              </w:rPr>
              <w:t>Texas Lehigh Cement</w:t>
            </w:r>
          </w:p>
        </w:tc>
        <w:tc>
          <w:tcPr>
            <w:tcW w:w="2360" w:type="dxa"/>
            <w:vAlign w:val="bottom"/>
          </w:tcPr>
          <w:p>
            <w:pPr>
              <w:ind w:left="100"/>
              <w:spacing w:after="0"/>
              <w:rPr>
                <w:sz w:val="20"/>
                <w:szCs w:val="20"/>
                <w:color w:val="auto"/>
              </w:rPr>
            </w:pPr>
            <w:r>
              <w:rPr>
                <w:rFonts w:ascii="Arial" w:cs="Arial" w:eastAsia="Arial" w:hAnsi="Arial"/>
                <w:sz w:val="16"/>
                <w:szCs w:val="16"/>
                <w:color w:val="auto"/>
              </w:rPr>
              <w:t>Texas and western</w:t>
            </w:r>
          </w:p>
        </w:tc>
        <w:tc>
          <w:tcPr>
            <w:tcW w:w="4020" w:type="dxa"/>
            <w:vAlign w:val="bottom"/>
          </w:tcPr>
          <w:p>
            <w:pPr>
              <w:ind w:left="100"/>
              <w:spacing w:after="0"/>
              <w:rPr>
                <w:sz w:val="20"/>
                <w:szCs w:val="20"/>
                <w:color w:val="auto"/>
              </w:rPr>
            </w:pPr>
            <w:r>
              <w:rPr>
                <w:rFonts w:ascii="Arial" w:cs="Arial" w:eastAsia="Arial" w:hAnsi="Arial"/>
                <w:sz w:val="16"/>
                <w:szCs w:val="16"/>
                <w:color w:val="auto"/>
              </w:rPr>
              <w:t>Corpus Christi, Texas; Houston, Texas;</w:t>
            </w:r>
          </w:p>
        </w:tc>
      </w:tr>
      <w:tr>
        <w:trPr>
          <w:trHeight w:val="189"/>
        </w:trPr>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6"/>
                <w:szCs w:val="16"/>
                <w:color w:val="auto"/>
              </w:rPr>
              <w:t>Company LP (the Joint</w:t>
            </w:r>
          </w:p>
        </w:tc>
        <w:tc>
          <w:tcPr>
            <w:tcW w:w="2360" w:type="dxa"/>
            <w:vAlign w:val="bottom"/>
          </w:tcPr>
          <w:p>
            <w:pPr>
              <w:ind w:left="100"/>
              <w:spacing w:after="0"/>
              <w:rPr>
                <w:sz w:val="20"/>
                <w:szCs w:val="20"/>
                <w:color w:val="auto"/>
              </w:rPr>
            </w:pPr>
            <w:r>
              <w:rPr>
                <w:rFonts w:ascii="Arial" w:cs="Arial" w:eastAsia="Arial" w:hAnsi="Arial"/>
                <w:sz w:val="16"/>
                <w:szCs w:val="16"/>
                <w:color w:val="auto"/>
              </w:rPr>
              <w:t>Louisiana</w:t>
            </w:r>
          </w:p>
        </w:tc>
        <w:tc>
          <w:tcPr>
            <w:tcW w:w="4020" w:type="dxa"/>
            <w:vAlign w:val="bottom"/>
          </w:tcPr>
          <w:p>
            <w:pPr>
              <w:ind w:left="100"/>
              <w:spacing w:after="0"/>
              <w:rPr>
                <w:sz w:val="20"/>
                <w:szCs w:val="20"/>
                <w:color w:val="auto"/>
              </w:rPr>
            </w:pPr>
            <w:r>
              <w:rPr>
                <w:rFonts w:ascii="Arial" w:cs="Arial" w:eastAsia="Arial" w:hAnsi="Arial"/>
                <w:sz w:val="16"/>
                <w:szCs w:val="16"/>
                <w:color w:val="auto"/>
              </w:rPr>
              <w:t>Roanoke (Fort Worth), Texas; Waco,</w:t>
            </w:r>
          </w:p>
        </w:tc>
      </w:tr>
      <w:tr>
        <w:trPr>
          <w:trHeight w:val="189"/>
        </w:trPr>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6"/>
                <w:szCs w:val="16"/>
                <w:color w:val="auto"/>
              </w:rPr>
              <w:t>Venture)</w:t>
            </w:r>
          </w:p>
        </w:tc>
        <w:tc>
          <w:tcPr>
            <w:tcW w:w="2360" w:type="dxa"/>
            <w:vAlign w:val="bottom"/>
          </w:tcPr>
          <w:p>
            <w:pPr>
              <w:spacing w:after="0"/>
              <w:rPr>
                <w:sz w:val="16"/>
                <w:szCs w:val="16"/>
                <w:color w:val="auto"/>
              </w:rPr>
            </w:pPr>
          </w:p>
        </w:tc>
        <w:tc>
          <w:tcPr>
            <w:tcW w:w="4020" w:type="dxa"/>
            <w:vAlign w:val="bottom"/>
          </w:tcPr>
          <w:p>
            <w:pPr>
              <w:ind w:left="100"/>
              <w:spacing w:after="0"/>
              <w:rPr>
                <w:sz w:val="20"/>
                <w:szCs w:val="20"/>
                <w:color w:val="auto"/>
              </w:rPr>
            </w:pPr>
            <w:r>
              <w:rPr>
                <w:rFonts w:ascii="Arial" w:cs="Arial" w:eastAsia="Arial" w:hAnsi="Arial"/>
                <w:sz w:val="16"/>
                <w:szCs w:val="16"/>
                <w:color w:val="auto"/>
              </w:rPr>
              <w:t>Texas; Houston Cement Company</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spacing w:after="0"/>
              <w:rPr>
                <w:sz w:val="18"/>
                <w:szCs w:val="18"/>
                <w:color w:val="auto"/>
              </w:rPr>
            </w:pPr>
          </w:p>
        </w:tc>
        <w:tc>
          <w:tcPr>
            <w:tcW w:w="402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(Joint Venture), Houston, Texas</w:t>
            </w:r>
          </w:p>
        </w:tc>
      </w:tr>
      <w:tr>
        <w:trPr>
          <w:trHeight w:val="189"/>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LaSalle, Illinois</w:t>
            </w:r>
          </w:p>
        </w:tc>
        <w:tc>
          <w:tcPr>
            <w:tcW w:w="1020" w:type="dxa"/>
            <w:vAlign w:val="bottom"/>
          </w:tcPr>
          <w:p>
            <w:pPr>
              <w:ind w:left="100"/>
              <w:spacing w:after="0"/>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rPr>
                <w:sz w:val="20"/>
                <w:szCs w:val="20"/>
                <w:color w:val="auto"/>
              </w:rPr>
            </w:pPr>
            <w:r>
              <w:rPr>
                <w:rFonts w:ascii="Arial" w:cs="Arial" w:eastAsia="Arial" w:hAnsi="Arial"/>
                <w:sz w:val="16"/>
                <w:szCs w:val="16"/>
                <w:color w:val="auto"/>
              </w:rPr>
              <w:t>Illinois Cement 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Illinois, Michigan and</w:t>
            </w:r>
          </w:p>
        </w:tc>
        <w:tc>
          <w:tcPr>
            <w:tcW w:w="4020" w:type="dxa"/>
            <w:vAlign w:val="bottom"/>
          </w:tcPr>
          <w:p>
            <w:pPr>
              <w:ind w:left="100"/>
              <w:spacing w:after="0"/>
              <w:rPr>
                <w:sz w:val="20"/>
                <w:szCs w:val="20"/>
                <w:color w:val="auto"/>
              </w:rPr>
            </w:pPr>
            <w:r>
              <w:rPr>
                <w:rFonts w:ascii="Arial" w:cs="Arial" w:eastAsia="Arial" w:hAnsi="Arial"/>
                <w:sz w:val="16"/>
                <w:szCs w:val="16"/>
                <w:color w:val="auto"/>
              </w:rPr>
              <w:t>Hartland, Wisconsin; South Beloit, Illinois;</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southern Wisconsin</w:t>
            </w:r>
          </w:p>
        </w:tc>
        <w:tc>
          <w:tcPr>
            <w:tcW w:w="402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Ottawa, Illinois</w:t>
            </w:r>
          </w:p>
        </w:tc>
      </w:tr>
      <w:tr>
        <w:trPr>
          <w:trHeight w:val="181"/>
        </w:trPr>
        <w:tc>
          <w:tcPr>
            <w:tcW w:w="1580" w:type="dxa"/>
            <w:vAlign w:val="bottom"/>
          </w:tcPr>
          <w:p>
            <w:pPr>
              <w:ind w:left="20"/>
              <w:spacing w:after="0" w:line="181" w:lineRule="exact"/>
              <w:rPr>
                <w:sz w:val="20"/>
                <w:szCs w:val="20"/>
                <w:color w:val="auto"/>
              </w:rPr>
            </w:pPr>
            <w:r>
              <w:rPr>
                <w:rFonts w:ascii="Arial" w:cs="Arial" w:eastAsia="Arial" w:hAnsi="Arial"/>
                <w:sz w:val="16"/>
                <w:szCs w:val="16"/>
                <w:b w:val="1"/>
                <w:bCs w:val="1"/>
                <w:color w:val="3983C5"/>
              </w:rPr>
              <w:t>Sugar Creek,</w:t>
            </w:r>
          </w:p>
        </w:tc>
        <w:tc>
          <w:tcPr>
            <w:tcW w:w="1020" w:type="dxa"/>
            <w:vAlign w:val="bottom"/>
          </w:tcPr>
          <w:p>
            <w:pPr>
              <w:ind w:left="100"/>
              <w:spacing w:after="0" w:line="181" w:lineRule="exact"/>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line="181" w:lineRule="exact"/>
              <w:rPr>
                <w:sz w:val="20"/>
                <w:szCs w:val="20"/>
                <w:color w:val="auto"/>
              </w:rPr>
            </w:pPr>
            <w:r>
              <w:rPr>
                <w:rFonts w:ascii="Arial" w:cs="Arial" w:eastAsia="Arial" w:hAnsi="Arial"/>
                <w:sz w:val="16"/>
                <w:szCs w:val="16"/>
                <w:color w:val="auto"/>
              </w:rPr>
              <w:t>Central Plains Cement</w:t>
            </w:r>
          </w:p>
        </w:tc>
        <w:tc>
          <w:tcPr>
            <w:tcW w:w="2360" w:type="dxa"/>
            <w:vAlign w:val="bottom"/>
          </w:tcPr>
          <w:p>
            <w:pPr>
              <w:ind w:left="100"/>
              <w:spacing w:after="0" w:line="181" w:lineRule="exact"/>
              <w:rPr>
                <w:sz w:val="20"/>
                <w:szCs w:val="20"/>
                <w:color w:val="auto"/>
              </w:rPr>
            </w:pPr>
            <w:r>
              <w:rPr>
                <w:rFonts w:ascii="Arial" w:cs="Arial" w:eastAsia="Arial" w:hAnsi="Arial"/>
                <w:sz w:val="16"/>
                <w:szCs w:val="16"/>
                <w:color w:val="auto"/>
              </w:rPr>
              <w:t>Western Missouri, eastern</w:t>
            </w:r>
          </w:p>
        </w:tc>
        <w:tc>
          <w:tcPr>
            <w:tcW w:w="4020" w:type="dxa"/>
            <w:vAlign w:val="bottom"/>
          </w:tcPr>
          <w:p>
            <w:pPr>
              <w:ind w:left="100"/>
              <w:spacing w:after="0" w:line="181" w:lineRule="exact"/>
              <w:rPr>
                <w:sz w:val="20"/>
                <w:szCs w:val="20"/>
                <w:color w:val="auto"/>
              </w:rPr>
            </w:pPr>
            <w:r>
              <w:rPr>
                <w:rFonts w:ascii="Arial" w:cs="Arial" w:eastAsia="Arial" w:hAnsi="Arial"/>
                <w:sz w:val="16"/>
                <w:szCs w:val="16"/>
                <w:color w:val="auto"/>
              </w:rPr>
              <w:t>Sugar Creek, Missouri; Wichita, Kansas;</w:t>
            </w:r>
          </w:p>
        </w:tc>
      </w:tr>
      <w:tr>
        <w:trPr>
          <w:trHeight w:val="197"/>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Missouri</w:t>
            </w:r>
          </w:p>
        </w:tc>
        <w:tc>
          <w:tcPr>
            <w:tcW w:w="1020" w:type="dxa"/>
            <w:vAlign w:val="bottom"/>
          </w:tcPr>
          <w:p>
            <w:pPr>
              <w:spacing w:after="0"/>
              <w:rPr>
                <w:sz w:val="17"/>
                <w:szCs w:val="17"/>
                <w:color w:val="auto"/>
              </w:rPr>
            </w:pPr>
          </w:p>
        </w:tc>
        <w:tc>
          <w:tcPr>
            <w:tcW w:w="2260" w:type="dxa"/>
            <w:vAlign w:val="bottom"/>
          </w:tcPr>
          <w:p>
            <w:pPr>
              <w:ind w:left="120"/>
              <w:spacing w:after="0"/>
              <w:rPr>
                <w:sz w:val="20"/>
                <w:szCs w:val="20"/>
                <w:color w:val="auto"/>
              </w:rPr>
            </w:pPr>
            <w:r>
              <w:rPr>
                <w:rFonts w:ascii="Arial" w:cs="Arial" w:eastAsia="Arial" w:hAnsi="Arial"/>
                <w:sz w:val="16"/>
                <w:szCs w:val="16"/>
                <w:color w:val="auto"/>
              </w:rPr>
              <w:t>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Kansas, eastern Nebraska,</w:t>
            </w:r>
          </w:p>
        </w:tc>
        <w:tc>
          <w:tcPr>
            <w:tcW w:w="4020" w:type="dxa"/>
            <w:vAlign w:val="bottom"/>
          </w:tcPr>
          <w:p>
            <w:pPr>
              <w:ind w:left="100"/>
              <w:spacing w:after="0"/>
              <w:rPr>
                <w:sz w:val="20"/>
                <w:szCs w:val="20"/>
                <w:color w:val="auto"/>
              </w:rPr>
            </w:pPr>
            <w:r>
              <w:rPr>
                <w:rFonts w:ascii="Arial" w:cs="Arial" w:eastAsia="Arial" w:hAnsi="Arial"/>
                <w:sz w:val="16"/>
                <w:szCs w:val="16"/>
                <w:color w:val="auto"/>
              </w:rPr>
              <w:t>Omaha, Nebraska; Altoona, Iowa;</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and Iowa</w:t>
            </w:r>
          </w:p>
        </w:tc>
        <w:tc>
          <w:tcPr>
            <w:tcW w:w="4020" w:type="dxa"/>
            <w:vAlign w:val="bottom"/>
            <w:tcBorders>
              <w:bottom w:val="single" w:sz="8" w:color="A6A6A6"/>
            </w:tcBorders>
          </w:tcPr>
          <w:p>
            <w:pPr>
              <w:spacing w:after="0"/>
              <w:rPr>
                <w:sz w:val="18"/>
                <w:szCs w:val="18"/>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Tulsa, Oklahoma</w:t>
            </w:r>
          </w:p>
        </w:tc>
        <w:tc>
          <w:tcPr>
            <w:tcW w:w="1020" w:type="dxa"/>
            <w:vAlign w:val="bottom"/>
          </w:tcPr>
          <w:p>
            <w:pPr>
              <w:ind w:left="100"/>
              <w:spacing w:after="0"/>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rPr>
                <w:sz w:val="20"/>
                <w:szCs w:val="20"/>
                <w:color w:val="auto"/>
              </w:rPr>
            </w:pPr>
            <w:r>
              <w:rPr>
                <w:rFonts w:ascii="Arial" w:cs="Arial" w:eastAsia="Arial" w:hAnsi="Arial"/>
                <w:sz w:val="16"/>
                <w:szCs w:val="16"/>
                <w:color w:val="auto"/>
              </w:rPr>
              <w:t>Central Plains Cement</w:t>
            </w:r>
          </w:p>
        </w:tc>
        <w:tc>
          <w:tcPr>
            <w:tcW w:w="2360" w:type="dxa"/>
            <w:vAlign w:val="bottom"/>
          </w:tcPr>
          <w:p>
            <w:pPr>
              <w:ind w:left="100"/>
              <w:spacing w:after="0"/>
              <w:rPr>
                <w:sz w:val="20"/>
                <w:szCs w:val="20"/>
                <w:color w:val="auto"/>
              </w:rPr>
            </w:pPr>
            <w:r>
              <w:rPr>
                <w:rFonts w:ascii="Arial" w:cs="Arial" w:eastAsia="Arial" w:hAnsi="Arial"/>
                <w:sz w:val="16"/>
                <w:szCs w:val="16"/>
                <w:color w:val="auto"/>
              </w:rPr>
              <w:t>Oklahoma, western</w:t>
            </w:r>
          </w:p>
        </w:tc>
        <w:tc>
          <w:tcPr>
            <w:tcW w:w="4020" w:type="dxa"/>
            <w:vAlign w:val="bottom"/>
          </w:tcPr>
          <w:p>
            <w:pPr>
              <w:ind w:left="100"/>
              <w:spacing w:after="0"/>
              <w:rPr>
                <w:sz w:val="20"/>
                <w:szCs w:val="20"/>
                <w:color w:val="auto"/>
              </w:rPr>
            </w:pPr>
            <w:r>
              <w:rPr>
                <w:rFonts w:ascii="Arial" w:cs="Arial" w:eastAsia="Arial" w:hAnsi="Arial"/>
                <w:sz w:val="16"/>
                <w:szCs w:val="16"/>
                <w:color w:val="auto"/>
              </w:rPr>
              <w:t>Oklahoma City, Oklahoma;</w:t>
            </w:r>
          </w:p>
        </w:tc>
      </w:tr>
      <w:tr>
        <w:trPr>
          <w:trHeight w:val="189"/>
        </w:trPr>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6"/>
                <w:szCs w:val="16"/>
                <w:color w:val="auto"/>
              </w:rPr>
              <w:t>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Arkansas, and southern</w:t>
            </w:r>
          </w:p>
        </w:tc>
        <w:tc>
          <w:tcPr>
            <w:tcW w:w="4020" w:type="dxa"/>
            <w:vAlign w:val="bottom"/>
          </w:tcPr>
          <w:p>
            <w:pPr>
              <w:ind w:left="100"/>
              <w:spacing w:after="0"/>
              <w:rPr>
                <w:sz w:val="20"/>
                <w:szCs w:val="20"/>
                <w:color w:val="auto"/>
              </w:rPr>
            </w:pPr>
            <w:r>
              <w:rPr>
                <w:rFonts w:ascii="Arial" w:cs="Arial" w:eastAsia="Arial" w:hAnsi="Arial"/>
                <w:sz w:val="16"/>
                <w:szCs w:val="16"/>
                <w:color w:val="auto"/>
              </w:rPr>
              <w:t>Springfield, Missouri</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Missouri</w:t>
            </w:r>
          </w:p>
        </w:tc>
        <w:tc>
          <w:tcPr>
            <w:tcW w:w="4020" w:type="dxa"/>
            <w:vAlign w:val="bottom"/>
            <w:tcBorders>
              <w:bottom w:val="single" w:sz="8" w:color="A6A6A6"/>
            </w:tcBorders>
          </w:tcPr>
          <w:p>
            <w:pPr>
              <w:spacing w:after="0"/>
              <w:rPr>
                <w:sz w:val="18"/>
                <w:szCs w:val="18"/>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Laramie, Wyoming</w:t>
            </w:r>
          </w:p>
        </w:tc>
        <w:tc>
          <w:tcPr>
            <w:tcW w:w="1020" w:type="dxa"/>
            <w:vAlign w:val="bottom"/>
          </w:tcPr>
          <w:p>
            <w:pPr>
              <w:ind w:left="100"/>
              <w:spacing w:after="0"/>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rPr>
                <w:sz w:val="20"/>
                <w:szCs w:val="20"/>
                <w:color w:val="auto"/>
              </w:rPr>
            </w:pPr>
            <w:r>
              <w:rPr>
                <w:rFonts w:ascii="Arial" w:cs="Arial" w:eastAsia="Arial" w:hAnsi="Arial"/>
                <w:sz w:val="16"/>
                <w:szCs w:val="16"/>
                <w:color w:val="auto"/>
              </w:rPr>
              <w:t>Mountain Cement 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Wyoming, Utah, Colorado,</w:t>
            </w:r>
          </w:p>
        </w:tc>
        <w:tc>
          <w:tcPr>
            <w:tcW w:w="4020" w:type="dxa"/>
            <w:vAlign w:val="bottom"/>
          </w:tcPr>
          <w:p>
            <w:pPr>
              <w:ind w:left="100"/>
              <w:spacing w:after="0"/>
              <w:rPr>
                <w:sz w:val="20"/>
                <w:szCs w:val="20"/>
                <w:color w:val="auto"/>
              </w:rPr>
            </w:pPr>
            <w:r>
              <w:rPr>
                <w:rFonts w:ascii="Arial" w:cs="Arial" w:eastAsia="Arial" w:hAnsi="Arial"/>
                <w:sz w:val="16"/>
                <w:szCs w:val="16"/>
                <w:color w:val="auto"/>
              </w:rPr>
              <w:t>Salt Lake City, Utah; Denver, Colorado;</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and western Nebraska</w:t>
            </w:r>
          </w:p>
        </w:tc>
        <w:tc>
          <w:tcPr>
            <w:tcW w:w="402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 Platte, Nebraska</w:t>
            </w:r>
          </w:p>
        </w:tc>
      </w:tr>
      <w:tr>
        <w:trPr>
          <w:trHeight w:val="160"/>
        </w:trPr>
        <w:tc>
          <w:tcPr>
            <w:tcW w:w="1580" w:type="dxa"/>
            <w:vAlign w:val="bottom"/>
          </w:tcPr>
          <w:p>
            <w:pPr>
              <w:ind w:left="20"/>
              <w:spacing w:after="0" w:line="161" w:lineRule="exact"/>
              <w:rPr>
                <w:sz w:val="20"/>
                <w:szCs w:val="20"/>
                <w:color w:val="auto"/>
              </w:rPr>
            </w:pPr>
            <w:r>
              <w:rPr>
                <w:rFonts w:ascii="Arial" w:cs="Arial" w:eastAsia="Arial" w:hAnsi="Arial"/>
                <w:sz w:val="16"/>
                <w:szCs w:val="16"/>
                <w:b w:val="1"/>
                <w:bCs w:val="1"/>
                <w:color w:val="3983C5"/>
              </w:rPr>
              <w:t>Fernley, Nevada</w:t>
            </w:r>
          </w:p>
        </w:tc>
        <w:tc>
          <w:tcPr>
            <w:tcW w:w="1020" w:type="dxa"/>
            <w:vAlign w:val="bottom"/>
          </w:tcPr>
          <w:p>
            <w:pPr>
              <w:ind w:left="100"/>
              <w:spacing w:after="0" w:line="161" w:lineRule="exact"/>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line="161" w:lineRule="exact"/>
              <w:rPr>
                <w:sz w:val="20"/>
                <w:szCs w:val="20"/>
                <w:color w:val="auto"/>
              </w:rPr>
            </w:pPr>
            <w:r>
              <w:rPr>
                <w:rFonts w:ascii="Arial" w:cs="Arial" w:eastAsia="Arial" w:hAnsi="Arial"/>
                <w:sz w:val="16"/>
                <w:szCs w:val="16"/>
                <w:color w:val="auto"/>
              </w:rPr>
              <w:t>Nevada Cement Company</w:t>
            </w:r>
          </w:p>
        </w:tc>
        <w:tc>
          <w:tcPr>
            <w:tcW w:w="2360" w:type="dxa"/>
            <w:vAlign w:val="bottom"/>
          </w:tcPr>
          <w:p>
            <w:pPr>
              <w:ind w:left="100"/>
              <w:spacing w:after="0" w:line="161" w:lineRule="exact"/>
              <w:rPr>
                <w:sz w:val="20"/>
                <w:szCs w:val="20"/>
                <w:color w:val="auto"/>
              </w:rPr>
            </w:pPr>
            <w:r>
              <w:rPr>
                <w:rFonts w:ascii="Arial" w:cs="Arial" w:eastAsia="Arial" w:hAnsi="Arial"/>
                <w:sz w:val="16"/>
                <w:szCs w:val="16"/>
                <w:color w:val="auto"/>
              </w:rPr>
              <w:t>Northern Nevada and</w:t>
            </w:r>
          </w:p>
        </w:tc>
        <w:tc>
          <w:tcPr>
            <w:tcW w:w="4020" w:type="dxa"/>
            <w:vAlign w:val="bottom"/>
          </w:tcPr>
          <w:p>
            <w:pPr>
              <w:ind w:left="100"/>
              <w:spacing w:after="0" w:line="161" w:lineRule="exact"/>
              <w:rPr>
                <w:sz w:val="20"/>
                <w:szCs w:val="20"/>
                <w:color w:val="auto"/>
              </w:rPr>
            </w:pPr>
            <w:r>
              <w:rPr>
                <w:rFonts w:ascii="Arial" w:cs="Arial" w:eastAsia="Arial" w:hAnsi="Arial"/>
                <w:sz w:val="16"/>
                <w:szCs w:val="16"/>
                <w:color w:val="auto"/>
              </w:rPr>
              <w:t>Sacramento, California;</w:t>
            </w:r>
          </w:p>
        </w:tc>
      </w:tr>
      <w:tr>
        <w:trPr>
          <w:trHeight w:val="241"/>
        </w:trPr>
        <w:tc>
          <w:tcPr>
            <w:tcW w:w="1580" w:type="dxa"/>
            <w:vAlign w:val="bottom"/>
            <w:tcBorders>
              <w:bottom w:val="single" w:sz="8" w:color="A6A6A6"/>
            </w:tcBorders>
          </w:tcPr>
          <w:p>
            <w:pPr>
              <w:spacing w:after="0"/>
              <w:rPr>
                <w:sz w:val="20"/>
                <w:szCs w:val="20"/>
                <w:color w:val="auto"/>
              </w:rPr>
            </w:pPr>
          </w:p>
        </w:tc>
        <w:tc>
          <w:tcPr>
            <w:tcW w:w="1020" w:type="dxa"/>
            <w:vAlign w:val="bottom"/>
            <w:tcBorders>
              <w:bottom w:val="single" w:sz="8" w:color="A6A6A6"/>
            </w:tcBorders>
          </w:tcPr>
          <w:p>
            <w:pPr>
              <w:spacing w:after="0"/>
              <w:rPr>
                <w:sz w:val="20"/>
                <w:szCs w:val="20"/>
                <w:color w:val="auto"/>
              </w:rPr>
            </w:pPr>
          </w:p>
        </w:tc>
        <w:tc>
          <w:tcPr>
            <w:tcW w:w="2260" w:type="dxa"/>
            <w:vAlign w:val="bottom"/>
            <w:tcBorders>
              <w:bottom w:val="single" w:sz="8" w:color="A6A6A6"/>
            </w:tcBorders>
          </w:tcPr>
          <w:p>
            <w:pPr>
              <w:spacing w:after="0"/>
              <w:rPr>
                <w:sz w:val="20"/>
                <w:szCs w:val="20"/>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northern California</w:t>
            </w:r>
          </w:p>
        </w:tc>
        <w:tc>
          <w:tcPr>
            <w:tcW w:w="402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 xml:space="preserve">Stockton, California </w:t>
            </w:r>
            <w:r>
              <w:rPr>
                <w:rFonts w:ascii="Arial" w:cs="Arial" w:eastAsia="Arial" w:hAnsi="Arial"/>
                <w:sz w:val="21"/>
                <w:szCs w:val="21"/>
                <w:color w:val="auto"/>
                <w:vertAlign w:val="superscript"/>
              </w:rPr>
              <w:t>(2)</w:t>
            </w:r>
          </w:p>
        </w:tc>
      </w:tr>
      <w:tr>
        <w:trPr>
          <w:trHeight w:val="157"/>
        </w:trPr>
        <w:tc>
          <w:tcPr>
            <w:tcW w:w="1580" w:type="dxa"/>
            <w:vAlign w:val="bottom"/>
          </w:tcPr>
          <w:p>
            <w:pPr>
              <w:ind w:left="20"/>
              <w:spacing w:after="0" w:line="158" w:lineRule="exact"/>
              <w:rPr>
                <w:sz w:val="20"/>
                <w:szCs w:val="20"/>
                <w:color w:val="auto"/>
              </w:rPr>
            </w:pPr>
            <w:r>
              <w:rPr>
                <w:rFonts w:ascii="Arial" w:cs="Arial" w:eastAsia="Arial" w:hAnsi="Arial"/>
                <w:sz w:val="16"/>
                <w:szCs w:val="16"/>
                <w:b w:val="1"/>
                <w:bCs w:val="1"/>
                <w:color w:val="3983C5"/>
              </w:rPr>
              <w:t>Louisville,</w:t>
            </w:r>
          </w:p>
        </w:tc>
        <w:tc>
          <w:tcPr>
            <w:tcW w:w="1020" w:type="dxa"/>
            <w:vAlign w:val="bottom"/>
          </w:tcPr>
          <w:p>
            <w:pPr>
              <w:ind w:left="100"/>
              <w:spacing w:after="0" w:line="158" w:lineRule="exact"/>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line="158" w:lineRule="exact"/>
              <w:rPr>
                <w:sz w:val="20"/>
                <w:szCs w:val="20"/>
                <w:color w:val="auto"/>
              </w:rPr>
            </w:pPr>
            <w:r>
              <w:rPr>
                <w:rFonts w:ascii="Arial" w:cs="Arial" w:eastAsia="Arial" w:hAnsi="Arial"/>
                <w:sz w:val="16"/>
                <w:szCs w:val="16"/>
                <w:color w:val="auto"/>
              </w:rPr>
              <w:t>Kosmos Cement Company</w:t>
            </w:r>
          </w:p>
        </w:tc>
        <w:tc>
          <w:tcPr>
            <w:tcW w:w="2360" w:type="dxa"/>
            <w:vAlign w:val="bottom"/>
          </w:tcPr>
          <w:p>
            <w:pPr>
              <w:ind w:left="100"/>
              <w:spacing w:after="0" w:line="158" w:lineRule="exact"/>
              <w:rPr>
                <w:sz w:val="20"/>
                <w:szCs w:val="20"/>
                <w:color w:val="auto"/>
              </w:rPr>
            </w:pPr>
            <w:r>
              <w:rPr>
                <w:rFonts w:ascii="Arial" w:cs="Arial" w:eastAsia="Arial" w:hAnsi="Arial"/>
                <w:sz w:val="16"/>
                <w:szCs w:val="16"/>
                <w:color w:val="auto"/>
              </w:rPr>
              <w:t>Kentucky, Ohio, Indiana, West</w:t>
            </w:r>
          </w:p>
        </w:tc>
        <w:tc>
          <w:tcPr>
            <w:tcW w:w="4020" w:type="dxa"/>
            <w:vAlign w:val="bottom"/>
          </w:tcPr>
          <w:p>
            <w:pPr>
              <w:ind w:left="100"/>
              <w:spacing w:after="0" w:line="158" w:lineRule="exact"/>
              <w:rPr>
                <w:sz w:val="20"/>
                <w:szCs w:val="20"/>
                <w:color w:val="auto"/>
              </w:rPr>
            </w:pPr>
            <w:r>
              <w:rPr>
                <w:rFonts w:ascii="Arial" w:cs="Arial" w:eastAsia="Arial" w:hAnsi="Arial"/>
                <w:sz w:val="16"/>
                <w:szCs w:val="16"/>
                <w:color w:val="auto"/>
              </w:rPr>
              <w:t>Indianapolis, Indiana; Ceredo, West Virginia;</w:t>
            </w:r>
          </w:p>
        </w:tc>
      </w:tr>
      <w:tr>
        <w:trPr>
          <w:trHeight w:val="218"/>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Kentucky</w:t>
            </w:r>
          </w:p>
        </w:tc>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Virginia, eastern Illinois,</w:t>
            </w:r>
          </w:p>
        </w:tc>
        <w:tc>
          <w:tcPr>
            <w:tcW w:w="4020" w:type="dxa"/>
            <w:vAlign w:val="bottom"/>
          </w:tcPr>
          <w:p>
            <w:pPr>
              <w:ind w:left="100"/>
              <w:spacing w:after="0" w:line="218" w:lineRule="exact"/>
              <w:rPr>
                <w:sz w:val="20"/>
                <w:szCs w:val="20"/>
                <w:color w:val="auto"/>
              </w:rPr>
            </w:pPr>
            <w:r>
              <w:rPr>
                <w:rFonts w:ascii="Arial" w:cs="Arial" w:eastAsia="Arial" w:hAnsi="Arial"/>
                <w:sz w:val="16"/>
                <w:szCs w:val="16"/>
                <w:color w:val="auto"/>
              </w:rPr>
              <w:t xml:space="preserve">Lexington, Kentucky </w:t>
            </w:r>
            <w:r>
              <w:rPr>
                <w:rFonts w:ascii="Arial" w:cs="Arial" w:eastAsia="Arial" w:hAnsi="Arial"/>
                <w:sz w:val="21"/>
                <w:szCs w:val="21"/>
                <w:color w:val="auto"/>
                <w:vertAlign w:val="superscript"/>
              </w:rPr>
              <w:t>(3)</w:t>
            </w:r>
            <w:r>
              <w:rPr>
                <w:rFonts w:ascii="Arial" w:cs="Arial" w:eastAsia="Arial" w:hAnsi="Arial"/>
                <w:sz w:val="16"/>
                <w:szCs w:val="16"/>
                <w:color w:val="auto"/>
              </w:rPr>
              <w:t>; Cincinnati, Ohio;</w:t>
            </w:r>
          </w:p>
        </w:tc>
      </w:tr>
      <w:tr>
        <w:trPr>
          <w:trHeight w:val="189"/>
        </w:trPr>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western Pennsylvania, and</w:t>
            </w:r>
          </w:p>
        </w:tc>
        <w:tc>
          <w:tcPr>
            <w:tcW w:w="4020" w:type="dxa"/>
            <w:vAlign w:val="bottom"/>
          </w:tcPr>
          <w:p>
            <w:pPr>
              <w:ind w:left="100"/>
              <w:spacing w:after="0"/>
              <w:rPr>
                <w:sz w:val="20"/>
                <w:szCs w:val="20"/>
                <w:color w:val="auto"/>
              </w:rPr>
            </w:pPr>
            <w:r>
              <w:rPr>
                <w:rFonts w:ascii="Arial" w:cs="Arial" w:eastAsia="Arial" w:hAnsi="Arial"/>
                <w:sz w:val="16"/>
                <w:szCs w:val="16"/>
                <w:color w:val="auto"/>
              </w:rPr>
              <w:t>Pittsburgh, Pennsylvania; Nashville, Tennessee</w:t>
            </w:r>
          </w:p>
        </w:tc>
      </w:tr>
      <w:tr>
        <w:trPr>
          <w:trHeight w:val="160"/>
        </w:trPr>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360" w:type="dxa"/>
            <w:vAlign w:val="bottom"/>
          </w:tcPr>
          <w:p>
            <w:pPr>
              <w:ind w:left="100"/>
              <w:spacing w:after="0" w:line="161" w:lineRule="exact"/>
              <w:rPr>
                <w:sz w:val="20"/>
                <w:szCs w:val="20"/>
                <w:color w:val="auto"/>
              </w:rPr>
            </w:pPr>
            <w:r>
              <w:rPr>
                <w:rFonts w:ascii="Arial" w:cs="Arial" w:eastAsia="Arial" w:hAnsi="Arial"/>
                <w:sz w:val="16"/>
                <w:szCs w:val="16"/>
                <w:color w:val="auto"/>
              </w:rPr>
              <w:t>northern Tennessee</w:t>
            </w:r>
          </w:p>
        </w:tc>
        <w:tc>
          <w:tcPr>
            <w:tcW w:w="4020" w:type="dxa"/>
            <w:vAlign w:val="bottom"/>
          </w:tcPr>
          <w:p>
            <w:pPr>
              <w:ind w:left="100"/>
              <w:spacing w:after="0" w:line="161" w:lineRule="exact"/>
              <w:rPr>
                <w:sz w:val="20"/>
                <w:szCs w:val="20"/>
                <w:color w:val="auto"/>
              </w:rPr>
            </w:pPr>
            <w:r>
              <w:rPr>
                <w:rFonts w:ascii="Arial" w:cs="Arial" w:eastAsia="Arial" w:hAnsi="Arial"/>
                <w:sz w:val="16"/>
                <w:szCs w:val="16"/>
                <w:color w:val="auto"/>
              </w:rPr>
              <w:t>Charleston, West Virginia;</w:t>
            </w:r>
          </w:p>
        </w:tc>
      </w:tr>
      <w:tr>
        <w:trPr>
          <w:trHeight w:val="241"/>
        </w:trPr>
        <w:tc>
          <w:tcPr>
            <w:tcW w:w="1580" w:type="dxa"/>
            <w:vAlign w:val="bottom"/>
            <w:tcBorders>
              <w:bottom w:val="single" w:sz="8" w:color="A6A6A6"/>
            </w:tcBorders>
          </w:tcPr>
          <w:p>
            <w:pPr>
              <w:spacing w:after="0"/>
              <w:rPr>
                <w:sz w:val="20"/>
                <w:szCs w:val="20"/>
                <w:color w:val="auto"/>
              </w:rPr>
            </w:pPr>
          </w:p>
        </w:tc>
        <w:tc>
          <w:tcPr>
            <w:tcW w:w="1020" w:type="dxa"/>
            <w:vAlign w:val="bottom"/>
            <w:tcBorders>
              <w:bottom w:val="single" w:sz="8" w:color="A6A6A6"/>
            </w:tcBorders>
          </w:tcPr>
          <w:p>
            <w:pPr>
              <w:spacing w:after="0"/>
              <w:rPr>
                <w:sz w:val="20"/>
                <w:szCs w:val="20"/>
                <w:color w:val="auto"/>
              </w:rPr>
            </w:pPr>
          </w:p>
        </w:tc>
        <w:tc>
          <w:tcPr>
            <w:tcW w:w="2260" w:type="dxa"/>
            <w:vAlign w:val="bottom"/>
            <w:tcBorders>
              <w:bottom w:val="single" w:sz="8" w:color="A6A6A6"/>
            </w:tcBorders>
          </w:tcPr>
          <w:p>
            <w:pPr>
              <w:spacing w:after="0"/>
              <w:rPr>
                <w:sz w:val="20"/>
                <w:szCs w:val="20"/>
                <w:color w:val="auto"/>
              </w:rPr>
            </w:pPr>
          </w:p>
        </w:tc>
        <w:tc>
          <w:tcPr>
            <w:tcW w:w="2360" w:type="dxa"/>
            <w:vAlign w:val="bottom"/>
            <w:tcBorders>
              <w:bottom w:val="single" w:sz="8" w:color="A6A6A6"/>
            </w:tcBorders>
          </w:tcPr>
          <w:p>
            <w:pPr>
              <w:spacing w:after="0"/>
              <w:rPr>
                <w:sz w:val="20"/>
                <w:szCs w:val="20"/>
                <w:color w:val="auto"/>
              </w:rPr>
            </w:pPr>
          </w:p>
        </w:tc>
        <w:tc>
          <w:tcPr>
            <w:tcW w:w="402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 xml:space="preserve">Mount Vernon, Indiana </w:t>
            </w:r>
            <w:r>
              <w:rPr>
                <w:rFonts w:ascii="Arial" w:cs="Arial" w:eastAsia="Arial" w:hAnsi="Arial"/>
                <w:sz w:val="21"/>
                <w:szCs w:val="21"/>
                <w:color w:val="auto"/>
                <w:vertAlign w:val="superscript"/>
              </w:rPr>
              <w:t>(3)</w:t>
            </w:r>
          </w:p>
        </w:tc>
      </w:tr>
      <w:tr>
        <w:trPr>
          <w:trHeight w:val="186"/>
        </w:trPr>
        <w:tc>
          <w:tcPr>
            <w:tcW w:w="1580" w:type="dxa"/>
            <w:vAlign w:val="bottom"/>
          </w:tcPr>
          <w:p>
            <w:pPr>
              <w:ind w:left="20"/>
              <w:spacing w:after="0"/>
              <w:rPr>
                <w:sz w:val="20"/>
                <w:szCs w:val="20"/>
                <w:color w:val="auto"/>
              </w:rPr>
            </w:pPr>
            <w:r>
              <w:rPr>
                <w:rFonts w:ascii="Arial" w:cs="Arial" w:eastAsia="Arial" w:hAnsi="Arial"/>
                <w:sz w:val="16"/>
                <w:szCs w:val="16"/>
                <w:b w:val="1"/>
                <w:bCs w:val="1"/>
                <w:color w:val="3983C5"/>
              </w:rPr>
              <w:t>Fairborn, Ohio</w:t>
            </w:r>
          </w:p>
        </w:tc>
        <w:tc>
          <w:tcPr>
            <w:tcW w:w="1020" w:type="dxa"/>
            <w:vAlign w:val="bottom"/>
          </w:tcPr>
          <w:p>
            <w:pPr>
              <w:ind w:left="100"/>
              <w:spacing w:after="0"/>
              <w:rPr>
                <w:sz w:val="20"/>
                <w:szCs w:val="20"/>
                <w:color w:val="auto"/>
              </w:rPr>
            </w:pPr>
            <w:r>
              <w:rPr>
                <w:rFonts w:ascii="Arial" w:cs="Arial" w:eastAsia="Arial" w:hAnsi="Arial"/>
                <w:sz w:val="16"/>
                <w:szCs w:val="16"/>
                <w:color w:val="auto"/>
              </w:rPr>
              <w:t>Cement</w:t>
            </w:r>
          </w:p>
        </w:tc>
        <w:tc>
          <w:tcPr>
            <w:tcW w:w="2260" w:type="dxa"/>
            <w:vAlign w:val="bottom"/>
          </w:tcPr>
          <w:p>
            <w:pPr>
              <w:ind w:left="120"/>
              <w:spacing w:after="0"/>
              <w:rPr>
                <w:sz w:val="20"/>
                <w:szCs w:val="20"/>
                <w:color w:val="auto"/>
              </w:rPr>
            </w:pPr>
            <w:r>
              <w:rPr>
                <w:rFonts w:ascii="Arial" w:cs="Arial" w:eastAsia="Arial" w:hAnsi="Arial"/>
                <w:sz w:val="16"/>
                <w:szCs w:val="16"/>
                <w:color w:val="auto"/>
              </w:rPr>
              <w:t>Fairborn Cement Company</w:t>
            </w:r>
          </w:p>
        </w:tc>
        <w:tc>
          <w:tcPr>
            <w:tcW w:w="2360" w:type="dxa"/>
            <w:vAlign w:val="bottom"/>
          </w:tcPr>
          <w:p>
            <w:pPr>
              <w:ind w:left="100"/>
              <w:spacing w:after="0"/>
              <w:rPr>
                <w:sz w:val="20"/>
                <w:szCs w:val="20"/>
                <w:color w:val="auto"/>
              </w:rPr>
            </w:pPr>
            <w:r>
              <w:rPr>
                <w:rFonts w:ascii="Arial" w:cs="Arial" w:eastAsia="Arial" w:hAnsi="Arial"/>
                <w:sz w:val="16"/>
                <w:szCs w:val="16"/>
                <w:color w:val="auto"/>
              </w:rPr>
              <w:t>Ohio, eastern Indiana, and</w:t>
            </w:r>
          </w:p>
        </w:tc>
        <w:tc>
          <w:tcPr>
            <w:tcW w:w="4020" w:type="dxa"/>
            <w:vAlign w:val="bottom"/>
          </w:tcPr>
          <w:p>
            <w:pPr>
              <w:ind w:left="100"/>
              <w:spacing w:after="0"/>
              <w:rPr>
                <w:sz w:val="20"/>
                <w:szCs w:val="20"/>
                <w:color w:val="auto"/>
              </w:rPr>
            </w:pPr>
            <w:r>
              <w:rPr>
                <w:rFonts w:ascii="Arial" w:cs="Arial" w:eastAsia="Arial" w:hAnsi="Arial"/>
                <w:sz w:val="16"/>
                <w:szCs w:val="16"/>
                <w:color w:val="auto"/>
              </w:rPr>
              <w:t>Columbus, Ohio</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northern Kentucky</w:t>
            </w:r>
          </w:p>
        </w:tc>
        <w:tc>
          <w:tcPr>
            <w:tcW w:w="4020" w:type="dxa"/>
            <w:vAlign w:val="bottom"/>
            <w:tcBorders>
              <w:bottom w:val="single" w:sz="8" w:color="A6A6A6"/>
            </w:tcBorders>
          </w:tcPr>
          <w:p>
            <w:pPr>
              <w:spacing w:after="0"/>
              <w:rPr>
                <w:sz w:val="18"/>
                <w:szCs w:val="18"/>
                <w:color w:val="auto"/>
              </w:rPr>
            </w:pPr>
          </w:p>
        </w:tc>
      </w:tr>
      <w:tr>
        <w:trPr>
          <w:trHeight w:val="160"/>
        </w:trPr>
        <w:tc>
          <w:tcPr>
            <w:tcW w:w="1580" w:type="dxa"/>
            <w:vAlign w:val="bottom"/>
          </w:tcPr>
          <w:p>
            <w:pPr>
              <w:ind w:left="20"/>
              <w:spacing w:after="0" w:line="161" w:lineRule="exact"/>
              <w:rPr>
                <w:sz w:val="20"/>
                <w:szCs w:val="20"/>
                <w:color w:val="auto"/>
              </w:rPr>
            </w:pPr>
            <w:r>
              <w:rPr>
                <w:rFonts w:ascii="Arial" w:cs="Arial" w:eastAsia="Arial" w:hAnsi="Arial"/>
                <w:sz w:val="16"/>
                <w:szCs w:val="16"/>
                <w:b w:val="1"/>
                <w:bCs w:val="1"/>
                <w:color w:val="3983C5"/>
              </w:rPr>
              <w:t>Chicago, Illinois</w:t>
            </w:r>
          </w:p>
        </w:tc>
        <w:tc>
          <w:tcPr>
            <w:tcW w:w="1020" w:type="dxa"/>
            <w:vAlign w:val="bottom"/>
          </w:tcPr>
          <w:p>
            <w:pPr>
              <w:ind w:left="100"/>
              <w:spacing w:after="0" w:line="161" w:lineRule="exact"/>
              <w:rPr>
                <w:sz w:val="20"/>
                <w:szCs w:val="20"/>
                <w:color w:val="auto"/>
              </w:rPr>
            </w:pPr>
            <w:r>
              <w:rPr>
                <w:rFonts w:ascii="Arial" w:cs="Arial" w:eastAsia="Arial" w:hAnsi="Arial"/>
                <w:sz w:val="16"/>
                <w:szCs w:val="16"/>
                <w:color w:val="auto"/>
              </w:rPr>
              <w:t>Slag</w:t>
            </w:r>
          </w:p>
        </w:tc>
        <w:tc>
          <w:tcPr>
            <w:tcW w:w="2260" w:type="dxa"/>
            <w:vAlign w:val="bottom"/>
          </w:tcPr>
          <w:p>
            <w:pPr>
              <w:ind w:left="120"/>
              <w:spacing w:after="0" w:line="161" w:lineRule="exact"/>
              <w:rPr>
                <w:sz w:val="20"/>
                <w:szCs w:val="20"/>
                <w:color w:val="auto"/>
              </w:rPr>
            </w:pPr>
            <w:r>
              <w:rPr>
                <w:rFonts w:ascii="Arial" w:cs="Arial" w:eastAsia="Arial" w:hAnsi="Arial"/>
                <w:sz w:val="16"/>
                <w:szCs w:val="16"/>
                <w:color w:val="auto"/>
              </w:rPr>
              <w:t>Skyway Cement Company</w:t>
            </w:r>
          </w:p>
        </w:tc>
        <w:tc>
          <w:tcPr>
            <w:tcW w:w="2360" w:type="dxa"/>
            <w:vAlign w:val="bottom"/>
          </w:tcPr>
          <w:p>
            <w:pPr>
              <w:ind w:left="100"/>
              <w:spacing w:after="0" w:line="161" w:lineRule="exact"/>
              <w:rPr>
                <w:sz w:val="20"/>
                <w:szCs w:val="20"/>
                <w:color w:val="auto"/>
              </w:rPr>
            </w:pPr>
            <w:r>
              <w:rPr>
                <w:rFonts w:ascii="Arial" w:cs="Arial" w:eastAsia="Arial" w:hAnsi="Arial"/>
                <w:sz w:val="16"/>
                <w:szCs w:val="16"/>
                <w:color w:val="auto"/>
              </w:rPr>
              <w:t>Illinois, Pennsylvania,</w:t>
            </w:r>
          </w:p>
        </w:tc>
        <w:tc>
          <w:tcPr>
            <w:tcW w:w="4020" w:type="dxa"/>
            <w:vAlign w:val="bottom"/>
          </w:tcPr>
          <w:p>
            <w:pPr>
              <w:ind w:left="100"/>
              <w:spacing w:after="0" w:line="161" w:lineRule="exact"/>
              <w:rPr>
                <w:sz w:val="20"/>
                <w:szCs w:val="20"/>
                <w:color w:val="auto"/>
              </w:rPr>
            </w:pPr>
            <w:r>
              <w:rPr>
                <w:rFonts w:ascii="Arial" w:cs="Arial" w:eastAsia="Arial" w:hAnsi="Arial"/>
                <w:sz w:val="16"/>
                <w:szCs w:val="16"/>
                <w:color w:val="auto"/>
              </w:rPr>
              <w:t>Kansas City, Missouri; Etna, Pennsylvania;</w:t>
            </w:r>
          </w:p>
        </w:tc>
      </w:tr>
      <w:tr>
        <w:trPr>
          <w:trHeight w:val="218"/>
        </w:trPr>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Iowa, Ohio, Minnesota,</w:t>
            </w:r>
          </w:p>
        </w:tc>
        <w:tc>
          <w:tcPr>
            <w:tcW w:w="4020" w:type="dxa"/>
            <w:vAlign w:val="bottom"/>
          </w:tcPr>
          <w:p>
            <w:pPr>
              <w:ind w:left="100"/>
              <w:spacing w:after="0" w:line="218" w:lineRule="exact"/>
              <w:rPr>
                <w:sz w:val="20"/>
                <w:szCs w:val="20"/>
                <w:color w:val="auto"/>
              </w:rPr>
            </w:pPr>
            <w:r>
              <w:rPr>
                <w:rFonts w:ascii="Arial" w:cs="Arial" w:eastAsia="Arial" w:hAnsi="Arial"/>
                <w:sz w:val="16"/>
                <w:szCs w:val="16"/>
                <w:color w:val="auto"/>
              </w:rPr>
              <w:t xml:space="preserve">Fairfield, Ohio </w:t>
            </w:r>
            <w:r>
              <w:rPr>
                <w:rFonts w:ascii="Arial" w:cs="Arial" w:eastAsia="Arial" w:hAnsi="Arial"/>
                <w:sz w:val="21"/>
                <w:szCs w:val="21"/>
                <w:color w:val="auto"/>
                <w:vertAlign w:val="superscript"/>
              </w:rPr>
              <w:t>(3)</w:t>
            </w:r>
          </w:p>
        </w:tc>
      </w:tr>
      <w:tr>
        <w:trPr>
          <w:trHeight w:val="210"/>
        </w:trPr>
        <w:tc>
          <w:tcPr>
            <w:tcW w:w="15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36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Missouri and Kansas</w:t>
            </w:r>
          </w:p>
        </w:tc>
        <w:tc>
          <w:tcPr>
            <w:tcW w:w="4020" w:type="dxa"/>
            <w:vAlign w:val="bottom"/>
            <w:tcBorders>
              <w:bottom w:val="single" w:sz="8" w:color="A6A6A6"/>
            </w:tcBorders>
          </w:tcPr>
          <w:p>
            <w:pPr>
              <w:spacing w:after="0"/>
              <w:rPr>
                <w:sz w:val="18"/>
                <w:szCs w:val="18"/>
                <w:color w:val="auto"/>
              </w:rPr>
            </w:pPr>
          </w:p>
        </w:tc>
      </w:tr>
    </w:tbl>
    <w:p>
      <w:pPr>
        <w:spacing w:after="0" w:line="86"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Each distribution terminal listed in this table is capable of handling cement and/or slag.</w:t>
      </w:r>
    </w:p>
    <w:p>
      <w:pPr>
        <w:spacing w:after="0" w:line="3"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As part of the Stockton Acquisition on May 3, 2023, we assumed the lease to this terminal.</w:t>
      </w:r>
    </w:p>
    <w:p>
      <w:pPr>
        <w:spacing w:after="0" w:line="16"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These facilities are being leased.</w:t>
      </w:r>
    </w:p>
    <w:p>
      <w:pPr>
        <w:spacing w:after="0" w:line="7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are leasing the terminal in Fairfield, Ohio under an initial term of four years, with two one -year options, which expire in fiscal 2025. The terminal in Lexington, Kentucky is being leased under an initial term of five years and will be up for renewal in fiscal 2024. The terminal in Mt. Vernon, Indiana is leased through fiscal 2031, and contains options that will allow the renewal of this lease for an additional twenty years. The terminal in Stockton, California is leased through 2035.</w:t>
      </w:r>
    </w:p>
    <w:p>
      <w:pPr>
        <w:spacing w:after="0" w:line="8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Cement and slag are distributed directly to our customers mostly through customer pickups, and also by common carriers from our plants or distribution terminals. We transport cement, slag, and fly ash by truck, barge, and rail to our storage and distribution terminals.</w:t>
      </w:r>
    </w:p>
    <w:p>
      <w:pPr>
        <w:spacing w:after="0" w:line="6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No single customer accounted for more than 10% of our Cement segment sales during fiscal 2023. We do not typically enter into long-term cement sales contracts or have a significant level of order backlog.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277EBF"/>
        </w:rPr>
        <w:t>Raw Materials and Fuel Supplies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principal raw material used in the production of portland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and resources we own or lease will permit each of our plants to operate at our present production capacity for at least 25 years. We are actively seeking to upgrade our extensive high-quality resource base at existing properties to reserves, or acquire additional limestone reserves close to our plants, and believe we will be able to acquire more reserves in the future. All properties have additional resources that have potential with additional engineering and evaluation to be upgraded to reserves. Other raw materials used in substantially smaller quantities than limestone are sand, clay, iron ore, and gypsum. These materials are readily available and can be obtained either from Company-owned or leased reserves, or can be purchased from outside suppliers.</w:t>
      </w:r>
    </w:p>
    <w:p>
      <w:pPr>
        <w:spacing w:after="0" w:line="8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utilize coal, petroleum coke, natural gas, and alternative fuels to fuel our cement plants. The cost of fuel and power increased throughout fiscal 2023, compared with fiscal 2022, due primarily to higher costs for solid fuels, such as coal and petroleum coke. Much of the increase in the price of these fuels was due to higher delivery costs. We expect the cost of fuel and power to continue to rise in fiscal 2024, especially the cost of solid fuels, in which the cost of both fuel and transportation is expected to increase. In keeping with our commitment to sustainability and cost management, we continue to expand the use of alternative fuels at our cement facilities.</w:t>
      </w:r>
    </w:p>
    <w:p>
      <w:pPr>
        <w:spacing w:after="0" w:line="8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have an agreement with a steel manufacturer to supply granules necessary for grinding slag. This agreement requires us to purchase up to 550,000 tons of granules, which meet certain specifications, made available by the steel manufacturer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we have not had many production interruptions under these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Environmental Matters</w:t>
      </w:r>
    </w:p>
    <w:p>
      <w:pPr>
        <w:spacing w:after="0" w:line="11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cement operations are subject to numerous federal, state, and local laws and regulations pertaining to health, safety, and the environment. Some of these laws, such as the federal Clean Air Act (CAA) and the federal Clean Water Act (CWA) (and analogous state laws) impose environmental-permitting requirements and govern the nature and amount of emissions that may be generated when conducting particular operations. Other laws, such as the federal Comprehensive Environmental Response, Compensation and Liability Act (CERCLA) (and analogous state laws) impose obligations to clean up or remediate spills of hazardous materials into the environment. Still other laws require us to reclaim certain land upon completion of extraction and mining operations in our quarries. We believe that we have obtained all the material environmental permits that are necessary to conduct our operations. We further believe that we are conducting our operations in substantial compliance with these permits. In addition, none of our manufacturing sites is listed as a CERCLA Superfund site.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environmental issues involving the cement manufacturing industry deserve special mention.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14" w:name="page15"/>
    <w:bookmarkEnd w:id="14"/>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Cement Kiln Dust </w:t>
      </w:r>
      <w:r>
        <w:rPr>
          <w:rFonts w:ascii="Arial" w:cs="Arial" w:eastAsia="Arial" w:hAnsi="Arial"/>
          <w:sz w:val="18"/>
          <w:szCs w:val="18"/>
          <w:color w:val="auto"/>
        </w:rPr>
        <w:t>– Our cement operations generate Cement Kiln Dust (CKD) as a byproduct. Because much of this CKD is unreacted raw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it is often returned to the production process. Substantially all CKD produced in connection with our ongoing operations is recycled. However, CKD was historically collected and is currently stored on-site at our Nevada, Missouri, Oklahoma and Wyoming cement plants and at a former plant site in Corpus Christi, Texas, which is no longer producing cement. Currently, CKD waste is generally excluded from the definition of hazardous waste under the federal regulations. The U.S. Environmental Protection Agency (EPA) has been evaluating the regulatory status of CKD under the Resource Conservation and Recovery Act (RCRA) since 2002, and thus far has not changed its approach. If either the EPA or the states decide to reclassify or impose new management standards on this CKD at some point in the future, we could incur additional costs to comply with those requirements with respect to our historically collected CKD. CKD that comes in contact with water might produce a leachate with an alkalinity high enough to be classified as hazardous and might also leach certain hazardous trace metals therein.</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Potential Greenhouse Gas Regulation </w:t>
      </w:r>
      <w:r>
        <w:rPr>
          <w:rFonts w:ascii="Arial" w:cs="Arial" w:eastAsia="Arial" w:hAnsi="Arial"/>
          <w:sz w:val="18"/>
          <w:szCs w:val="18"/>
          <w:color w:val="auto"/>
        </w:rPr>
        <w:t>– The potential regulation of our emission of greenhouse gases (GHGs), including carbon dioxide,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affect our cement operations because (1) the cement manufacturing process requires the combustion of large amounts of fuel to generate very high kiln temperatures; and (2) the production of carbon dioxide is a byproduct of the calcination process, whereby carbon dioxide is removed from calcium carbonate to produce calcium oxide. Curbing GHG emissions is a clear priority for the Biden administration, and as part of rejoining the Paris Agreement, President Biden announced that the United States would commit to a 50 to 52 percent reduction from 2005 levels of GHG emissions by 2030 and set the goal of reaching net-zero GHG emissions by 2050. Further, several states have individually implemented or are presently considering measures to reduce emissions of GHGs, primarily through the planned development of GHG inventories or registries, or regional GHG cap and trade programs. It is not possible at this time to predict how any future legislation that may be enacted or final EPA regulations that may be adopted to address GHG emissions would impact our business. However, any imposition of raw materials or production limitations, fuel-use or carbon taxes, or emission limitations or reductions could have a significant impact on the cement manufacturing industry and a material adverse effect on us and our results of operations.</w:t>
      </w:r>
    </w:p>
    <w:p>
      <w:pPr>
        <w:spacing w:after="0" w:line="7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i w:val="1"/>
          <w:iCs w:val="1"/>
          <w:color w:val="auto"/>
        </w:rPr>
        <w:t xml:space="preserve">Solid Waste Incineration Regulations </w:t>
      </w:r>
      <w:r>
        <w:rPr>
          <w:rFonts w:ascii="Arial" w:cs="Arial" w:eastAsia="Arial" w:hAnsi="Arial"/>
          <w:sz w:val="18"/>
          <w:szCs w:val="18"/>
          <w:color w:val="auto"/>
        </w:rPr>
        <w:t>– The EPA has promulgated revised regulations for Commercial and Industrial Solid Waste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Incineration (CISWI) units, pursuant to Section 129 of the CAA. The EPA has approved several states’ implementation plans under this rule, and has proposed a federal plan that would apply in states that have not submitted and received approval for a state plan. Compared to the Portland Cement Manufacturing Industry National Emission Standards for Hazardous Air Pollutants (PC NESHAP), the CISWI regulations contain requirements across a broader range of pollutants, and the requirement that apply for dioxin/furans for existing and new sources are somewhat more stringent.</w:t>
      </w:r>
    </w:p>
    <w:p>
      <w:pPr>
        <w:spacing w:after="0" w:line="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Air Quality Standards </w:t>
      </w:r>
      <w:r>
        <w:rPr>
          <w:rFonts w:ascii="Arial" w:cs="Arial" w:eastAsia="Arial" w:hAnsi="Arial"/>
          <w:sz w:val="18"/>
          <w:szCs w:val="18"/>
          <w:color w:val="auto"/>
        </w:rPr>
        <w:t>– The EPA is engaged in an ongoing review and implementation of the national ambient air quality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(NAAQS) for ozone. The CAA requires the EPA to review, and if necessary, revise the NAAQS every five years. In December 2020, the Trump Administration announced its decision to retain the 2015 ozone NAAQS set by the Obama Administration without change. This December 2020 final action, however, is subject to legal challenge and is currently being reviewed by the EPA pursuant to President Biden’s executive order directing federal agencies to review certain environmental actions taken by the Trump Administration.</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5" w:name="page16"/>
    <w:bookmarkEnd w:id="15"/>
    <w:p>
      <w:pPr>
        <w:ind w:right="60"/>
        <w:spacing w:after="0" w:line="243" w:lineRule="auto"/>
        <w:rPr>
          <w:sz w:val="20"/>
          <w:szCs w:val="20"/>
          <w:color w:val="auto"/>
        </w:rPr>
      </w:pPr>
      <w:r>
        <w:rPr>
          <w:rFonts w:ascii="Arial" w:cs="Arial" w:eastAsia="Arial" w:hAnsi="Arial"/>
          <w:sz w:val="18"/>
          <w:szCs w:val="18"/>
          <w:color w:val="auto"/>
        </w:rPr>
        <w:t>In addition, in February 2023, the EPA published a final rule disapproving the State Implementation Plans (SIPs) for twenty-one states, which addressed each state’s obligations to eliminate significant contributions to nonattainment, or interference with maintenance, of the 2015 ozone NAAQS in other states (“interstate transport requirements”). States subject to a SIP Disapproval under this final action relevant to our cement operations include Illinois, Kentucky, Missouri, Nevada, Ohio, Oklahoma, and Texas.</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March 2023, the EPA finalized a proposed Federal Implementation Plan (FIP) addressing twenty-six states’ interstate transport obligations. States subject to the FIP relevant to our cement operations include Illinois, Kentucky, Missouri, Nevada, Ohio, Oklahoma, and Texas. The FIP establishes nitrogen oxide (NOx) emissions limitations beginning in 2026 during the ozone season for kilns used in cement and cement product manufacturing in 20 states, including all the above-listed states. The FIP will be effective 60 days after it is published in the </w:t>
      </w:r>
      <w:r>
        <w:rPr>
          <w:rFonts w:ascii="Arial" w:cs="Arial" w:eastAsia="Arial" w:hAnsi="Arial"/>
          <w:sz w:val="18"/>
          <w:szCs w:val="18"/>
          <w:i w:val="1"/>
          <w:iCs w:val="1"/>
          <w:color w:val="auto"/>
        </w:rPr>
        <w:t>Federal</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w:t>
      </w:r>
      <w:r>
        <w:rPr>
          <w:rFonts w:ascii="Arial" w:cs="Arial" w:eastAsia="Arial" w:hAnsi="Arial"/>
          <w:sz w:val="18"/>
          <w:szCs w:val="18"/>
          <w:color w:val="auto"/>
        </w:rPr>
        <w:t>.</w:t>
      </w:r>
    </w:p>
    <w:p>
      <w:pPr>
        <w:spacing w:after="0" w:line="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Our facilities most directly affected by the disapproval by the EPA of the SIPs and the FIP finalized in March 2023 are our cement plants located in Nevada, Oklahoma and Texas. Between February and April 2023, various legal challenges were filed against the EPA’s disapproval of the SIPs for such states including Nevada, Oklahoma and Texas. We also filed our own challenges to the disapproval of the SIPs in these three states. In each of these actions, the petitioners have challenged the failure on the part of the EPA to appropriately defer to the applicable state’s analysis and determinations regarding interstate transport obligations. An adverse outcome in these actions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 These legal proceedings are in their preliminary stages, and we are unable to predict the likely outcome thereof. At present, no legal challenges have been filed against the FIP finalized by the EPA as it has not yet been published in the </w:t>
      </w:r>
      <w:r>
        <w:rPr>
          <w:rFonts w:ascii="Arial" w:cs="Arial" w:eastAsia="Arial" w:hAnsi="Arial"/>
          <w:sz w:val="18"/>
          <w:szCs w:val="18"/>
          <w:i w:val="1"/>
          <w:iCs w:val="1"/>
          <w:color w:val="auto"/>
        </w:rPr>
        <w:t>Federal Register</w:t>
      </w:r>
      <w:r>
        <w:rPr>
          <w:rFonts w:ascii="Arial" w:cs="Arial" w:eastAsia="Arial" w:hAnsi="Arial"/>
          <w:sz w:val="18"/>
          <w:szCs w:val="18"/>
          <w:color w:val="auto"/>
        </w:rPr>
        <w:t>.</w:t>
      </w:r>
    </w:p>
    <w:p>
      <w:pPr>
        <w:spacing w:after="0" w:line="79" w:lineRule="exact"/>
        <w:rPr>
          <w:sz w:val="20"/>
          <w:szCs w:val="20"/>
          <w:color w:val="auto"/>
        </w:rPr>
      </w:pPr>
    </w:p>
    <w:p>
      <w:pPr>
        <w:ind w:right="20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 We believe that our current procedures and practices in our operations, including those for handling and managing hazardous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 stringent environmental laws, or stricter interpretation of existing environmental laws, could necessitate significant capital outlays.</w:t>
      </w:r>
    </w:p>
    <w:p>
      <w:pPr>
        <w:spacing w:after="0" w:line="8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fiscal 2023, we had $3.1 million of capital expenditures related to compliance with environmental regulations applicable to our Cement operations. We anticipate spending $7.5 million during fiscal 2024.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AND AGGREGATES</w:t>
      </w:r>
    </w:p>
    <w:p>
      <w:pPr>
        <w:spacing w:after="0" w:line="114"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7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aggregates business consists of mining, extracting, producing, and selling crushed stone, sand, and gravel. Construction aggregates of suitable characteristics are employed in virtually all types of</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6" w:name="page17"/>
    <w:bookmarkEnd w:id="16"/>
    <w:p>
      <w:pPr>
        <w:ind w:right="1040"/>
        <w:spacing w:after="0" w:line="260" w:lineRule="auto"/>
        <w:rPr>
          <w:sz w:val="20"/>
          <w:szCs w:val="20"/>
          <w:color w:val="auto"/>
        </w:rPr>
      </w:pPr>
      <w:r>
        <w:rPr>
          <w:rFonts w:ascii="Arial" w:cs="Arial" w:eastAsia="Arial" w:hAnsi="Arial"/>
          <w:sz w:val="18"/>
          <w:szCs w:val="18"/>
          <w:color w:val="auto"/>
        </w:rPr>
        <w:t>construction, including the production of readymix concrete, flexible base, and asphaltic mixes used in highway construction and maintenance.</w:t>
      </w:r>
    </w:p>
    <w:p>
      <w:pPr>
        <w:spacing w:after="0" w:line="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April 22, 2022, we closed the ConAgg Acquisition, for which we paid approximately $120.2 million. The ConAgg Acquisition included three concrete readymix locations, two aggregate mining operations, three aggregate recycling locations, and approximately 24 concrete trucks. See Footnote (B) to the Audited Consolidated Financial Statements for more information regarding the ConAgg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Aggregate Resources and Reserves</w:t>
      </w:r>
    </w:p>
    <w:p>
      <w:pPr>
        <w:spacing w:after="0" w:line="114"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We conduct Aggregate operations near our concrete facilities. Aggregates are obtained principally by mining and extracting from quarries owned or leased by the Company.</w:t>
      </w:r>
    </w:p>
    <w:p>
      <w:pPr>
        <w:spacing w:after="0" w:line="6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Mineral resources and reserves for our aggregate plants consist of both sand and gravel, as well as limestone, and are defined similarly to how these reserves are defined for our Cement business. See the Limestone Resources and Reserves section in the Cement segment discussion for a more detailed description of how we define mineral resources and reserves.</w:t>
      </w:r>
    </w:p>
    <w:p>
      <w:pPr>
        <w:spacing w:after="0" w:line="7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As of March 31, 2023, we had 116.7 million tons of proven and probable aggregate reserves and 145.3 million tons of measured and indicated aggregate resources, exclusive of aggregate reserves. Approximately 39% of our reserves are owned, with the rest covered under leases expiring between 2040 and 2060. We do not consider any of our individual quarries to be material for disclosure purposes. All of our individual locations have at least 25 years of reserves.</w:t>
      </w:r>
    </w:p>
    <w:p>
      <w:pPr>
        <w:spacing w:after="0" w:line="8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following table sets forth certain information regarding our aggregates facilities as well as aggregates resources, exclusive of aggregates reserves, at March 31, 2023:</w:t>
      </w:r>
    </w:p>
    <w:p>
      <w:pPr>
        <w:spacing w:after="0" w:line="170"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 xml:space="preserve">Aggregates Resources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2540</wp:posOffset>
            </wp:positionV>
            <wp:extent cx="32835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Estimated Annual</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3"/>
          </w:tcPr>
          <w:p>
            <w:pPr>
              <w:jc w:val="right"/>
              <w:ind w:right="607"/>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Types</w:t>
            </w:r>
          </w:p>
        </w:tc>
        <w:tc>
          <w:tcPr>
            <w:tcW w:w="1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Measured &amp;</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Production Capacity</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Measured</w:t>
            </w: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Indicated</w:t>
            </w: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Inferred</w:t>
            </w:r>
          </w:p>
        </w:tc>
        <w:tc>
          <w:tcPr>
            <w:tcW w:w="0" w:type="dxa"/>
            <w:vAlign w:val="bottom"/>
          </w:tcPr>
          <w:p>
            <w:pPr>
              <w:spacing w:after="0"/>
              <w:rPr>
                <w:sz w:val="1"/>
                <w:szCs w:val="1"/>
                <w:color w:val="auto"/>
              </w:rPr>
            </w:pPr>
          </w:p>
        </w:tc>
      </w:tr>
      <w:tr>
        <w:trPr>
          <w:trHeight w:val="191"/>
        </w:trPr>
        <w:tc>
          <w:tcPr>
            <w:tcW w:w="1840" w:type="dxa"/>
            <w:vAlign w:val="bottom"/>
            <w:tcBorders>
              <w:bottom w:val="single" w:sz="8" w:color="00AAC6"/>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of Aggregates</w:t>
            </w:r>
          </w:p>
        </w:tc>
        <w:tc>
          <w:tcPr>
            <w:tcW w:w="176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(Thousand tons)</w:t>
            </w:r>
          </w:p>
        </w:tc>
        <w:tc>
          <w:tcPr>
            <w:tcW w:w="140" w:type="dxa"/>
            <w:vAlign w:val="bottom"/>
          </w:tcPr>
          <w:p>
            <w:pPr>
              <w:spacing w:after="0"/>
              <w:rPr>
                <w:sz w:val="16"/>
                <w:szCs w:val="16"/>
                <w:color w:val="auto"/>
              </w:rPr>
            </w:pPr>
          </w:p>
        </w:tc>
        <w:tc>
          <w:tcPr>
            <w:tcW w:w="1160" w:type="dxa"/>
            <w:vAlign w:val="bottom"/>
            <w:tcBorders>
              <w:bottom w:val="single" w:sz="8" w:color="00AAC6"/>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00AAC6"/>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Indicated</w:t>
            </w:r>
          </w:p>
        </w:tc>
        <w:tc>
          <w:tcPr>
            <w:tcW w:w="140" w:type="dxa"/>
            <w:vAlign w:val="bottom"/>
          </w:tcPr>
          <w:p>
            <w:pPr>
              <w:spacing w:after="0"/>
              <w:rPr>
                <w:sz w:val="16"/>
                <w:szCs w:val="16"/>
                <w:color w:val="auto"/>
              </w:rPr>
            </w:pPr>
          </w:p>
        </w:tc>
        <w:tc>
          <w:tcPr>
            <w:tcW w:w="1220" w:type="dxa"/>
            <w:vAlign w:val="bottom"/>
            <w:tcBorders>
              <w:bottom w:val="single" w:sz="8" w:color="00AAC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200" w:type="dxa"/>
            <w:vAlign w:val="bottom"/>
            <w:tcBorders>
              <w:bottom w:val="single" w:sz="8" w:color="A6A6A6"/>
            </w:tcBorders>
          </w:tcPr>
          <w:p>
            <w:pPr>
              <w:spacing w:after="0"/>
              <w:rPr>
                <w:sz w:val="18"/>
                <w:szCs w:val="18"/>
                <w:color w:val="auto"/>
              </w:rPr>
            </w:pPr>
          </w:p>
        </w:tc>
        <w:tc>
          <w:tcPr>
            <w:tcW w:w="2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 and Gravel</w:t>
            </w: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2,500</w:t>
            </w:r>
          </w:p>
        </w:tc>
        <w:tc>
          <w:tcPr>
            <w:tcW w:w="14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74,700</w:t>
            </w:r>
          </w:p>
        </w:tc>
        <w:tc>
          <w:tcPr>
            <w:tcW w:w="0" w:type="dxa"/>
            <w:vAlign w:val="bottom"/>
          </w:tcPr>
          <w:p>
            <w:pPr>
              <w:spacing w:after="0"/>
              <w:rPr>
                <w:sz w:val="1"/>
                <w:szCs w:val="1"/>
                <w:color w:val="auto"/>
              </w:rPr>
            </w:pPr>
          </w:p>
        </w:tc>
      </w:tr>
      <w:tr>
        <w:trPr>
          <w:trHeight w:val="210"/>
        </w:trPr>
        <w:tc>
          <w:tcPr>
            <w:tcW w:w="184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200" w:type="dxa"/>
            <w:vAlign w:val="bottom"/>
            <w:tcBorders>
              <w:bottom w:val="single" w:sz="8" w:color="A6A6A6"/>
            </w:tcBorders>
          </w:tcPr>
          <w:p>
            <w:pPr>
              <w:spacing w:after="0"/>
              <w:rPr>
                <w:sz w:val="18"/>
                <w:szCs w:val="18"/>
                <w:color w:val="auto"/>
              </w:rPr>
            </w:pPr>
          </w:p>
        </w:tc>
        <w:tc>
          <w:tcPr>
            <w:tcW w:w="2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w:t>
            </w: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209"/>
        </w:trPr>
        <w:tc>
          <w:tcPr>
            <w:tcW w:w="1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00" w:type="dxa"/>
            <w:vAlign w:val="bottom"/>
            <w:tcBorders>
              <w:bottom w:val="single" w:sz="8" w:color="A6A6A6"/>
            </w:tcBorders>
          </w:tcPr>
          <w:p>
            <w:pPr>
              <w:spacing w:after="0"/>
              <w:rPr>
                <w:sz w:val="18"/>
                <w:szCs w:val="18"/>
                <w:color w:val="auto"/>
              </w:rPr>
            </w:pPr>
          </w:p>
        </w:tc>
        <w:tc>
          <w:tcPr>
            <w:tcW w:w="2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Sand and Gravel</w:t>
            </w: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1,700</w:t>
            </w:r>
          </w:p>
        </w:tc>
        <w:tc>
          <w:tcPr>
            <w:tcW w:w="14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21,735</w:t>
            </w:r>
          </w:p>
        </w:tc>
        <w:tc>
          <w:tcPr>
            <w:tcW w:w="140" w:type="dxa"/>
            <w:vAlign w:val="bottom"/>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7,135</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28,870</w:t>
            </w:r>
          </w:p>
        </w:tc>
        <w:tc>
          <w:tcPr>
            <w:tcW w:w="14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7,000</w:t>
            </w:r>
          </w:p>
        </w:tc>
        <w:tc>
          <w:tcPr>
            <w:tcW w:w="0" w:type="dxa"/>
            <w:vAlign w:val="bottom"/>
          </w:tcPr>
          <w:p>
            <w:pPr>
              <w:spacing w:after="0"/>
              <w:rPr>
                <w:sz w:val="1"/>
                <w:szCs w:val="1"/>
                <w:color w:val="auto"/>
              </w:rPr>
            </w:pPr>
          </w:p>
        </w:tc>
      </w:tr>
      <w:tr>
        <w:trPr>
          <w:trHeight w:val="210"/>
        </w:trPr>
        <w:tc>
          <w:tcPr>
            <w:tcW w:w="1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Kentucky</w:t>
            </w:r>
          </w:p>
        </w:tc>
        <w:tc>
          <w:tcPr>
            <w:tcW w:w="200" w:type="dxa"/>
            <w:vAlign w:val="bottom"/>
            <w:tcBorders>
              <w:bottom w:val="single" w:sz="8" w:color="A6A6A6"/>
            </w:tcBorders>
          </w:tcPr>
          <w:p>
            <w:pPr>
              <w:spacing w:after="0"/>
              <w:rPr>
                <w:sz w:val="18"/>
                <w:szCs w:val="18"/>
                <w:color w:val="auto"/>
              </w:rPr>
            </w:pPr>
          </w:p>
        </w:tc>
        <w:tc>
          <w:tcPr>
            <w:tcW w:w="200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Sand and Gravel</w:t>
            </w:r>
          </w:p>
        </w:tc>
        <w:tc>
          <w:tcPr>
            <w:tcW w:w="17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1,000</w:t>
            </w:r>
          </w:p>
        </w:tc>
        <w:tc>
          <w:tcPr>
            <w:tcW w:w="140" w:type="dxa"/>
            <w:vAlign w:val="bottom"/>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6,340</w:t>
            </w:r>
          </w:p>
        </w:tc>
        <w:tc>
          <w:tcPr>
            <w:tcW w:w="140" w:type="dxa"/>
            <w:vAlign w:val="bottom"/>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58,410</w:t>
            </w:r>
          </w:p>
        </w:tc>
        <w:tc>
          <w:tcPr>
            <w:tcW w:w="120" w:type="dxa"/>
            <w:vAlign w:val="bottom"/>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64,750</w:t>
            </w:r>
          </w:p>
        </w:tc>
        <w:tc>
          <w:tcPr>
            <w:tcW w:w="140" w:type="dxa"/>
            <w:vAlign w:val="bottom"/>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140,820</w:t>
            </w:r>
          </w:p>
        </w:tc>
        <w:tc>
          <w:tcPr>
            <w:tcW w:w="0" w:type="dxa"/>
            <w:vAlign w:val="bottom"/>
          </w:tcPr>
          <w:p>
            <w:pPr>
              <w:spacing w:after="0"/>
              <w:rPr>
                <w:sz w:val="1"/>
                <w:szCs w:val="1"/>
                <w:color w:val="auto"/>
              </w:rPr>
            </w:pPr>
          </w:p>
        </w:tc>
      </w:tr>
      <w:tr>
        <w:trPr>
          <w:trHeight w:val="210"/>
        </w:trPr>
        <w:tc>
          <w:tcPr>
            <w:tcW w:w="184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2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5"/>
                <w:szCs w:val="15"/>
                <w:color w:val="auto"/>
              </w:rPr>
              <w:t>Sand and Gravel</w:t>
            </w:r>
          </w:p>
        </w:tc>
        <w:tc>
          <w:tcPr>
            <w:tcW w:w="1760" w:type="dxa"/>
            <w:vAlign w:val="bottom"/>
          </w:tcPr>
          <w:p>
            <w:pPr>
              <w:jc w:val="right"/>
              <w:spacing w:after="0"/>
              <w:rPr>
                <w:sz w:val="20"/>
                <w:szCs w:val="20"/>
                <w:color w:val="auto"/>
              </w:rPr>
            </w:pPr>
            <w:r>
              <w:rPr>
                <w:rFonts w:ascii="Arial" w:cs="Arial" w:eastAsia="Arial" w:hAnsi="Arial"/>
                <w:sz w:val="15"/>
                <w:szCs w:val="15"/>
                <w:color w:val="auto"/>
              </w:rPr>
              <w:t>850</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31,650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20,025</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51,675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20,515</w:t>
            </w:r>
          </w:p>
        </w:tc>
        <w:tc>
          <w:tcPr>
            <w:tcW w:w="0" w:type="dxa"/>
            <w:vAlign w:val="bottom"/>
          </w:tcPr>
          <w:p>
            <w:pPr>
              <w:spacing w:after="0"/>
              <w:rPr>
                <w:sz w:val="1"/>
                <w:szCs w:val="1"/>
                <w:color w:val="auto"/>
              </w:rPr>
            </w:pPr>
          </w:p>
        </w:tc>
      </w:tr>
      <w:tr>
        <w:trPr>
          <w:trHeight w:val="183"/>
        </w:trPr>
        <w:tc>
          <w:tcPr>
            <w:tcW w:w="1840" w:type="dxa"/>
            <w:vAlign w:val="bottom"/>
            <w:tcBorders>
              <w:top w:val="single" w:sz="8" w:color="A6A6A6"/>
            </w:tcBorders>
          </w:tcPr>
          <w:p>
            <w:pPr>
              <w:spacing w:after="0"/>
              <w:rPr>
                <w:sz w:val="15"/>
                <w:szCs w:val="15"/>
                <w:color w:val="auto"/>
              </w:rPr>
            </w:pPr>
          </w:p>
        </w:tc>
        <w:tc>
          <w:tcPr>
            <w:tcW w:w="200" w:type="dxa"/>
            <w:vAlign w:val="bottom"/>
            <w:tcBorders>
              <w:top w:val="single" w:sz="8" w:color="A6A6A6"/>
            </w:tcBorders>
          </w:tcPr>
          <w:p>
            <w:pPr>
              <w:spacing w:after="0"/>
              <w:rPr>
                <w:sz w:val="15"/>
                <w:szCs w:val="15"/>
                <w:color w:val="auto"/>
              </w:rPr>
            </w:pPr>
          </w:p>
        </w:tc>
        <w:tc>
          <w:tcPr>
            <w:tcW w:w="2000" w:type="dxa"/>
            <w:vAlign w:val="bottom"/>
            <w:tcBorders>
              <w:top w:val="single" w:sz="8" w:color="A6A6A6"/>
            </w:tcBorders>
          </w:tcPr>
          <w:p>
            <w:pPr>
              <w:spacing w:after="0"/>
              <w:rPr>
                <w:sz w:val="15"/>
                <w:szCs w:val="15"/>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6,050</w:t>
            </w:r>
          </w:p>
        </w:tc>
        <w:tc>
          <w:tcPr>
            <w:tcW w:w="14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59,725</w:t>
            </w:r>
          </w:p>
        </w:tc>
        <w:tc>
          <w:tcPr>
            <w:tcW w:w="1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85,570</w:t>
            </w:r>
          </w:p>
        </w:tc>
        <w:tc>
          <w:tcPr>
            <w:tcW w:w="1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145,295</w:t>
            </w:r>
          </w:p>
        </w:tc>
        <w:tc>
          <w:tcPr>
            <w:tcW w:w="14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268,035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Aggregate resources are reported on an in situ basis.</w:t>
      </w:r>
    </w:p>
    <w:p>
      <w:pPr>
        <w:spacing w:after="0" w:line="3"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Company currently is not operating its aggregate facility in the Kansas City area.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aggregate reserves at March 31, 2023:</w:t>
      </w:r>
    </w:p>
    <w:p>
      <w:pPr>
        <w:spacing w:after="0" w:line="168"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 xml:space="preserve">Aggregate Reserves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2540</wp:posOffset>
            </wp:positionV>
            <wp:extent cx="462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2089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jc w:val="right"/>
              <w:ind w:right="528"/>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91"/>
        </w:trPr>
        <w:tc>
          <w:tcPr>
            <w:tcW w:w="352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300" w:type="dxa"/>
            <w:vAlign w:val="bottom"/>
          </w:tcPr>
          <w:p>
            <w:pPr>
              <w:spacing w:after="0"/>
              <w:rPr>
                <w:sz w:val="16"/>
                <w:szCs w:val="16"/>
                <w:color w:val="auto"/>
              </w:rPr>
            </w:pPr>
          </w:p>
        </w:tc>
        <w:tc>
          <w:tcPr>
            <w:tcW w:w="23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Proven</w:t>
            </w:r>
          </w:p>
        </w:tc>
        <w:tc>
          <w:tcPr>
            <w:tcW w:w="120" w:type="dxa"/>
            <w:vAlign w:val="bottom"/>
          </w:tcPr>
          <w:p>
            <w:pPr>
              <w:spacing w:after="0"/>
              <w:rPr>
                <w:sz w:val="16"/>
                <w:szCs w:val="16"/>
                <w:color w:val="auto"/>
              </w:rPr>
            </w:pPr>
          </w:p>
        </w:tc>
        <w:tc>
          <w:tcPr>
            <w:tcW w:w="232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Probable</w:t>
            </w:r>
          </w:p>
        </w:tc>
        <w:tc>
          <w:tcPr>
            <w:tcW w:w="140" w:type="dxa"/>
            <w:vAlign w:val="bottom"/>
          </w:tcPr>
          <w:p>
            <w:pPr>
              <w:spacing w:after="0"/>
              <w:rPr>
                <w:sz w:val="16"/>
                <w:szCs w:val="16"/>
                <w:color w:val="auto"/>
              </w:rPr>
            </w:pPr>
          </w:p>
        </w:tc>
        <w:tc>
          <w:tcPr>
            <w:tcW w:w="2360" w:type="dxa"/>
            <w:vAlign w:val="bottom"/>
            <w:tcBorders>
              <w:bottom w:val="single" w:sz="8" w:color="00AAC6"/>
            </w:tcBorders>
          </w:tcPr>
          <w:p>
            <w:pPr>
              <w:jc w:val="right"/>
              <w:ind w:right="387"/>
              <w:spacing w:after="0"/>
              <w:rPr>
                <w:sz w:val="20"/>
                <w:szCs w:val="20"/>
                <w:color w:val="auto"/>
              </w:rPr>
            </w:pPr>
            <w:r>
              <w:rPr>
                <w:rFonts w:ascii="Arial" w:cs="Arial" w:eastAsia="Arial" w:hAnsi="Arial"/>
                <w:sz w:val="13"/>
                <w:szCs w:val="13"/>
                <w:b w:val="1"/>
                <w:bCs w:val="1"/>
                <w:color w:val="auto"/>
              </w:rPr>
              <w:t>Total Proven &amp; Probable</w:t>
            </w: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2640" w:type="dxa"/>
            <w:vAlign w:val="bottom"/>
            <w:gridSpan w:val="2"/>
          </w:tcPr>
          <w:p>
            <w:pPr>
              <w:jc w:val="right"/>
              <w:spacing w:after="0"/>
              <w:rPr>
                <w:sz w:val="20"/>
                <w:szCs w:val="20"/>
                <w:color w:val="auto"/>
              </w:rPr>
            </w:pPr>
            <w:r>
              <w:rPr>
                <w:rFonts w:ascii="Arial" w:cs="Arial" w:eastAsia="Arial" w:hAnsi="Arial"/>
                <w:sz w:val="15"/>
                <w:szCs w:val="15"/>
                <w:color w:val="auto"/>
              </w:rPr>
              <w:t>59,565</w:t>
            </w:r>
          </w:p>
        </w:tc>
        <w:tc>
          <w:tcPr>
            <w:tcW w:w="1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5"/>
                <w:szCs w:val="15"/>
                <w:color w:val="auto"/>
              </w:rPr>
              <w:t>—</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59,565</w:t>
            </w:r>
          </w:p>
        </w:tc>
      </w:tr>
      <w:tr>
        <w:trPr>
          <w:trHeight w:val="209"/>
        </w:trPr>
        <w:tc>
          <w:tcPr>
            <w:tcW w:w="352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300" w:type="dxa"/>
            <w:vAlign w:val="bottom"/>
            <w:tcBorders>
              <w:top w:val="single" w:sz="8" w:color="A6A6A6"/>
              <w:bottom w:val="single" w:sz="8" w:color="A6A6A6"/>
            </w:tcBorders>
          </w:tcPr>
          <w:p>
            <w:pPr>
              <w:spacing w:after="0"/>
              <w:rPr>
                <w:sz w:val="18"/>
                <w:szCs w:val="18"/>
                <w:color w:val="auto"/>
              </w:rPr>
            </w:pPr>
          </w:p>
        </w:tc>
        <w:tc>
          <w:tcPr>
            <w:tcW w:w="2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3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2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5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640" w:type="dxa"/>
            <w:vAlign w:val="bottom"/>
            <w:tcBorders>
              <w:bottom w:val="single" w:sz="8" w:color="A6A6A6"/>
            </w:tcBorders>
            <w:gridSpan w:val="2"/>
          </w:tcPr>
          <w:p>
            <w:pPr>
              <w:jc w:val="right"/>
              <w:spacing w:after="0"/>
              <w:rPr>
                <w:sz w:val="20"/>
                <w:szCs w:val="20"/>
                <w:color w:val="auto"/>
              </w:rPr>
            </w:pPr>
            <w:r>
              <w:rPr>
                <w:rFonts w:ascii="Arial" w:cs="Arial" w:eastAsia="Arial" w:hAnsi="Arial"/>
                <w:sz w:val="15"/>
                <w:szCs w:val="15"/>
                <w:color w:val="auto"/>
              </w:rPr>
              <w:t>1,650</w:t>
            </w:r>
          </w:p>
        </w:tc>
        <w:tc>
          <w:tcPr>
            <w:tcW w:w="120" w:type="dxa"/>
            <w:vAlign w:val="bottom"/>
          </w:tcPr>
          <w:p>
            <w:pPr>
              <w:spacing w:after="0"/>
              <w:rPr>
                <w:sz w:val="18"/>
                <w:szCs w:val="18"/>
                <w:color w:val="auto"/>
              </w:rPr>
            </w:pPr>
          </w:p>
        </w:tc>
        <w:tc>
          <w:tcPr>
            <w:tcW w:w="23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11,635</w:t>
            </w:r>
          </w:p>
        </w:tc>
        <w:tc>
          <w:tcPr>
            <w:tcW w:w="140" w:type="dxa"/>
            <w:vAlign w:val="bottom"/>
          </w:tcPr>
          <w:p>
            <w:pPr>
              <w:spacing w:after="0"/>
              <w:rPr>
                <w:sz w:val="18"/>
                <w:szCs w:val="18"/>
                <w:color w:val="auto"/>
              </w:rPr>
            </w:pPr>
          </w:p>
        </w:tc>
        <w:tc>
          <w:tcPr>
            <w:tcW w:w="23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13,285</w:t>
            </w: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2640" w:type="dxa"/>
            <w:vAlign w:val="bottom"/>
            <w:gridSpan w:val="2"/>
          </w:tcPr>
          <w:p>
            <w:pPr>
              <w:jc w:val="right"/>
              <w:spacing w:after="0"/>
              <w:rPr>
                <w:sz w:val="20"/>
                <w:szCs w:val="20"/>
                <w:color w:val="auto"/>
              </w:rPr>
            </w:pPr>
            <w:r>
              <w:rPr>
                <w:rFonts w:ascii="Arial" w:cs="Arial" w:eastAsia="Arial" w:hAnsi="Arial"/>
                <w:sz w:val="15"/>
                <w:szCs w:val="15"/>
                <w:color w:val="auto"/>
              </w:rPr>
              <w:t>30,080</w:t>
            </w:r>
          </w:p>
        </w:tc>
        <w:tc>
          <w:tcPr>
            <w:tcW w:w="2440" w:type="dxa"/>
            <w:vAlign w:val="bottom"/>
            <w:gridSpan w:val="2"/>
          </w:tcPr>
          <w:p>
            <w:pPr>
              <w:jc w:val="right"/>
              <w:spacing w:after="0"/>
              <w:rPr>
                <w:sz w:val="20"/>
                <w:szCs w:val="20"/>
                <w:color w:val="auto"/>
              </w:rPr>
            </w:pPr>
            <w:r>
              <w:rPr>
                <w:rFonts w:ascii="Arial" w:cs="Arial" w:eastAsia="Arial" w:hAnsi="Arial"/>
                <w:sz w:val="15"/>
                <w:szCs w:val="15"/>
                <w:color w:val="auto"/>
              </w:rPr>
              <w:t>13,760</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43,840</w:t>
            </w:r>
          </w:p>
        </w:tc>
      </w:tr>
      <w:tr>
        <w:trPr>
          <w:trHeight w:val="183"/>
        </w:trPr>
        <w:tc>
          <w:tcPr>
            <w:tcW w:w="3520" w:type="dxa"/>
            <w:vAlign w:val="bottom"/>
            <w:tcBorders>
              <w:top w:val="single" w:sz="8" w:color="A6A6A6"/>
            </w:tcBorders>
          </w:tcPr>
          <w:p>
            <w:pPr>
              <w:spacing w:after="0"/>
              <w:rPr>
                <w:sz w:val="15"/>
                <w:szCs w:val="15"/>
                <w:color w:val="auto"/>
              </w:rPr>
            </w:pPr>
          </w:p>
        </w:tc>
        <w:tc>
          <w:tcPr>
            <w:tcW w:w="300" w:type="dxa"/>
            <w:vAlign w:val="bottom"/>
            <w:tcBorders>
              <w:top w:val="single" w:sz="8" w:color="A6A6A6"/>
            </w:tcBorders>
          </w:tcPr>
          <w:p>
            <w:pPr>
              <w:spacing w:after="0"/>
              <w:rPr>
                <w:sz w:val="15"/>
                <w:szCs w:val="15"/>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91,295</w:t>
            </w:r>
          </w:p>
        </w:tc>
        <w:tc>
          <w:tcPr>
            <w:tcW w:w="120" w:type="dxa"/>
            <w:vAlign w:val="bottom"/>
          </w:tcPr>
          <w:p>
            <w:pPr>
              <w:spacing w:after="0"/>
              <w:rPr>
                <w:sz w:val="15"/>
                <w:szCs w:val="15"/>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25,395</w:t>
            </w:r>
          </w:p>
        </w:tc>
        <w:tc>
          <w:tcPr>
            <w:tcW w:w="140" w:type="dxa"/>
            <w:vAlign w:val="bottom"/>
          </w:tcPr>
          <w:p>
            <w:pPr>
              <w:spacing w:after="0"/>
              <w:rPr>
                <w:sz w:val="15"/>
                <w:szCs w:val="15"/>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116,690</w:t>
            </w:r>
          </w:p>
        </w:tc>
      </w:tr>
      <w:tr>
        <w:trPr>
          <w:trHeight w:val="20"/>
        </w:trPr>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Aggregate reserves are reported on saleable product basis.</w:t>
      </w:r>
    </w:p>
    <w:p>
      <w:pPr>
        <w:spacing w:after="0" w:line="3"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Company is currently not operating its aggregate facility in the Kansas City area.</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Below is a summary the annual production volumes from our aggregates quarries:</w:t>
      </w:r>
    </w:p>
    <w:p>
      <w:pPr>
        <w:spacing w:after="0" w:line="193"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Tons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23495</wp:posOffset>
            </wp:positionV>
            <wp:extent cx="462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2089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jc w:val="right"/>
              <w:ind w:right="529"/>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91"/>
        </w:trPr>
        <w:tc>
          <w:tcPr>
            <w:tcW w:w="352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300" w:type="dxa"/>
            <w:vAlign w:val="bottom"/>
          </w:tcPr>
          <w:p>
            <w:pPr>
              <w:spacing w:after="0"/>
              <w:rPr>
                <w:sz w:val="16"/>
                <w:szCs w:val="16"/>
                <w:color w:val="auto"/>
              </w:rPr>
            </w:pPr>
          </w:p>
        </w:tc>
        <w:tc>
          <w:tcPr>
            <w:tcW w:w="23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232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6"/>
                <w:szCs w:val="16"/>
                <w:color w:val="auto"/>
              </w:rPr>
            </w:pPr>
          </w:p>
        </w:tc>
        <w:tc>
          <w:tcPr>
            <w:tcW w:w="236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2021</w:t>
            </w: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2640" w:type="dxa"/>
            <w:vAlign w:val="bottom"/>
            <w:gridSpan w:val="2"/>
          </w:tcPr>
          <w:p>
            <w:pPr>
              <w:jc w:val="right"/>
              <w:spacing w:after="0"/>
              <w:rPr>
                <w:sz w:val="20"/>
                <w:szCs w:val="20"/>
                <w:color w:val="auto"/>
              </w:rPr>
            </w:pPr>
            <w:r>
              <w:rPr>
                <w:rFonts w:ascii="Arial" w:cs="Arial" w:eastAsia="Arial" w:hAnsi="Arial"/>
                <w:sz w:val="15"/>
                <w:szCs w:val="15"/>
                <w:color w:val="auto"/>
              </w:rPr>
              <w:t>1,935</w:t>
            </w:r>
          </w:p>
        </w:tc>
        <w:tc>
          <w:tcPr>
            <w:tcW w:w="2440" w:type="dxa"/>
            <w:vAlign w:val="bottom"/>
            <w:gridSpan w:val="2"/>
          </w:tcPr>
          <w:p>
            <w:pPr>
              <w:jc w:val="right"/>
              <w:spacing w:after="0"/>
              <w:rPr>
                <w:sz w:val="20"/>
                <w:szCs w:val="20"/>
                <w:color w:val="auto"/>
              </w:rPr>
            </w:pPr>
            <w:r>
              <w:rPr>
                <w:rFonts w:ascii="Arial" w:cs="Arial" w:eastAsia="Arial" w:hAnsi="Arial"/>
                <w:sz w:val="15"/>
                <w:szCs w:val="15"/>
                <w:color w:val="auto"/>
              </w:rPr>
              <w:t>1,815</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1,860</w:t>
            </w:r>
          </w:p>
        </w:tc>
      </w:tr>
      <w:tr>
        <w:trPr>
          <w:trHeight w:val="209"/>
        </w:trPr>
        <w:tc>
          <w:tcPr>
            <w:tcW w:w="352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(1)</w:t>
            </w:r>
          </w:p>
        </w:tc>
        <w:tc>
          <w:tcPr>
            <w:tcW w:w="300" w:type="dxa"/>
            <w:vAlign w:val="bottom"/>
            <w:tcBorders>
              <w:top w:val="single" w:sz="8" w:color="A6A6A6"/>
              <w:bottom w:val="single" w:sz="8" w:color="A6A6A6"/>
            </w:tcBorders>
          </w:tcPr>
          <w:p>
            <w:pPr>
              <w:spacing w:after="0"/>
              <w:rPr>
                <w:sz w:val="18"/>
                <w:szCs w:val="18"/>
                <w:color w:val="auto"/>
              </w:rPr>
            </w:pPr>
          </w:p>
        </w:tc>
        <w:tc>
          <w:tcPr>
            <w:tcW w:w="2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3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2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5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640" w:type="dxa"/>
            <w:vAlign w:val="bottom"/>
            <w:tcBorders>
              <w:bottom w:val="single" w:sz="8" w:color="A6A6A6"/>
            </w:tcBorders>
            <w:gridSpan w:val="2"/>
          </w:tcPr>
          <w:p>
            <w:pPr>
              <w:jc w:val="right"/>
              <w:spacing w:after="0"/>
              <w:rPr>
                <w:sz w:val="20"/>
                <w:szCs w:val="20"/>
                <w:color w:val="auto"/>
              </w:rPr>
            </w:pPr>
            <w:r>
              <w:rPr>
                <w:rFonts w:ascii="Arial" w:cs="Arial" w:eastAsia="Arial" w:hAnsi="Arial"/>
                <w:sz w:val="15"/>
                <w:szCs w:val="15"/>
                <w:color w:val="auto"/>
              </w:rPr>
              <w:t>460</w:t>
            </w:r>
          </w:p>
        </w:tc>
        <w:tc>
          <w:tcPr>
            <w:tcW w:w="120" w:type="dxa"/>
            <w:vAlign w:val="bottom"/>
          </w:tcPr>
          <w:p>
            <w:pPr>
              <w:spacing w:after="0"/>
              <w:rPr>
                <w:sz w:val="18"/>
                <w:szCs w:val="18"/>
                <w:color w:val="auto"/>
              </w:rPr>
            </w:pPr>
          </w:p>
        </w:tc>
        <w:tc>
          <w:tcPr>
            <w:tcW w:w="23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23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2640" w:type="dxa"/>
            <w:vAlign w:val="bottom"/>
            <w:gridSpan w:val="2"/>
          </w:tcPr>
          <w:p>
            <w:pPr>
              <w:jc w:val="right"/>
              <w:spacing w:after="0"/>
              <w:rPr>
                <w:sz w:val="20"/>
                <w:szCs w:val="20"/>
                <w:color w:val="auto"/>
              </w:rPr>
            </w:pPr>
            <w:r>
              <w:rPr>
                <w:rFonts w:ascii="Arial" w:cs="Arial" w:eastAsia="Arial" w:hAnsi="Arial"/>
                <w:sz w:val="15"/>
                <w:szCs w:val="15"/>
                <w:color w:val="auto"/>
              </w:rPr>
              <w:t>760</w:t>
            </w:r>
          </w:p>
        </w:tc>
        <w:tc>
          <w:tcPr>
            <w:tcW w:w="2440" w:type="dxa"/>
            <w:vAlign w:val="bottom"/>
            <w:gridSpan w:val="2"/>
          </w:tcPr>
          <w:p>
            <w:pPr>
              <w:jc w:val="right"/>
              <w:spacing w:after="0"/>
              <w:rPr>
                <w:sz w:val="20"/>
                <w:szCs w:val="20"/>
                <w:color w:val="auto"/>
              </w:rPr>
            </w:pPr>
            <w:r>
              <w:rPr>
                <w:rFonts w:ascii="Arial" w:cs="Arial" w:eastAsia="Arial" w:hAnsi="Arial"/>
                <w:sz w:val="15"/>
                <w:szCs w:val="15"/>
                <w:color w:val="auto"/>
              </w:rPr>
              <w:t>700</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640</w:t>
            </w:r>
          </w:p>
        </w:tc>
      </w:tr>
      <w:tr>
        <w:trPr>
          <w:trHeight w:val="183"/>
        </w:trPr>
        <w:tc>
          <w:tcPr>
            <w:tcW w:w="3520" w:type="dxa"/>
            <w:vAlign w:val="bottom"/>
            <w:tcBorders>
              <w:top w:val="single" w:sz="8" w:color="A6A6A6"/>
            </w:tcBorders>
          </w:tcPr>
          <w:p>
            <w:pPr>
              <w:spacing w:after="0"/>
              <w:rPr>
                <w:sz w:val="15"/>
                <w:szCs w:val="15"/>
                <w:color w:val="auto"/>
              </w:rPr>
            </w:pPr>
          </w:p>
        </w:tc>
        <w:tc>
          <w:tcPr>
            <w:tcW w:w="300" w:type="dxa"/>
            <w:vAlign w:val="bottom"/>
            <w:tcBorders>
              <w:top w:val="single" w:sz="8" w:color="A6A6A6"/>
            </w:tcBorders>
          </w:tcPr>
          <w:p>
            <w:pPr>
              <w:spacing w:after="0"/>
              <w:rPr>
                <w:sz w:val="15"/>
                <w:szCs w:val="15"/>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3,155</w:t>
            </w:r>
          </w:p>
        </w:tc>
        <w:tc>
          <w:tcPr>
            <w:tcW w:w="120" w:type="dxa"/>
            <w:vAlign w:val="bottom"/>
          </w:tcPr>
          <w:p>
            <w:pPr>
              <w:spacing w:after="0"/>
              <w:rPr>
                <w:sz w:val="15"/>
                <w:szCs w:val="15"/>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2,515</w:t>
            </w:r>
          </w:p>
        </w:tc>
        <w:tc>
          <w:tcPr>
            <w:tcW w:w="140" w:type="dxa"/>
            <w:vAlign w:val="bottom"/>
          </w:tcPr>
          <w:p>
            <w:pPr>
              <w:spacing w:after="0"/>
              <w:rPr>
                <w:sz w:val="15"/>
                <w:szCs w:val="15"/>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2,500</w:t>
            </w:r>
          </w:p>
        </w:tc>
      </w:tr>
      <w:tr>
        <w:trPr>
          <w:trHeight w:val="20"/>
        </w:trPr>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Company currently is not operating its aggregate facility in the Kansas City area.</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Our total measured and indicated aggregates resources increased to 145.3 million tons at March 31, 2023, compared with 20.8 million tons at March 31, 2022 due to the ConAgg Acquisition in northern Colorado, the startup of an aggregates operation in northern Kentucky, and the purchase of land in northern Nevada. Our total proven and probable reserves increased to 117.0 million tons at March 31, 2023, compared with 90.9 million tons at March 31, 2022, due to the same factors responsible for the increase in measured and indicated resources.</w:t>
      </w:r>
    </w:p>
    <w:p>
      <w:pPr>
        <w:spacing w:after="0" w:line="6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internal controls over our resource and reserve estimates have been compiled in a manner similar to those in our Cement business. See the Internal Controls section in the Cement segment discussion for a more detailed description of our internal controls over resource and reserve estimation.</w:t>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total net Aggregates sales (excluding intercompany tons sold) were 2.9 million tons in fiscal 2023 and 1.5 million tons in fiscal 2022. Total Aggregates production was 4.0 million tons in fiscal 2023 and 2.5 million tons in fiscal 2022. The increase in Aggregates sales and production in fiscal 2023, compared with fiscal 2022 was due to the ConAgg Acquisition. A portion of our total Aggregates production is used internally by our readymix Concrete operations in Texas, northern Colorado, and northern Nevada.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Plants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produce and distribute readymix concrete from company-owned sites in Central Texas; the greater Kansas City area; northern Colorado: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 northern Nevada. The following table sets forth information regarding these operations as of March 31,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4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226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Number of Plants</w:t>
            </w:r>
          </w:p>
        </w:tc>
      </w:tr>
      <w:tr>
        <w:trPr>
          <w:trHeight w:val="216"/>
        </w:trPr>
        <w:tc>
          <w:tcPr>
            <w:tcW w:w="8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2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8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Kansas City Area</w:t>
            </w:r>
          </w:p>
        </w:tc>
        <w:tc>
          <w:tcPr>
            <w:tcW w:w="2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8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2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8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Northern Nevada</w:t>
            </w:r>
          </w:p>
        </w:tc>
        <w:tc>
          <w:tcPr>
            <w:tcW w:w="2260" w:type="dxa"/>
            <w:vAlign w:val="bottom"/>
            <w:tcBorders>
              <w:bottom w:val="single" w:sz="8" w:color="00AAC6"/>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884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2260" w:type="dxa"/>
            <w:vAlign w:val="bottom"/>
            <w:tcBorders>
              <w:bottom w:val="single" w:sz="8" w:color="00AAC6"/>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0"/>
        </w:trPr>
        <w:tc>
          <w:tcPr>
            <w:tcW w:w="8840" w:type="dxa"/>
            <w:vAlign w:val="bottom"/>
            <w:tcBorders>
              <w:bottom w:val="single" w:sz="8" w:color="A6A6A6"/>
            </w:tcBorders>
          </w:tcPr>
          <w:p>
            <w:pPr>
              <w:spacing w:after="0" w:line="20" w:lineRule="exact"/>
              <w:rPr>
                <w:sz w:val="1"/>
                <w:szCs w:val="1"/>
                <w:color w:val="auto"/>
              </w:rPr>
            </w:pPr>
          </w:p>
        </w:tc>
        <w:tc>
          <w:tcPr>
            <w:tcW w:w="2260" w:type="dxa"/>
            <w:vAlign w:val="bottom"/>
            <w:tcBorders>
              <w:bottom w:val="single" w:sz="8" w:color="00AAC6"/>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Demand, Sales, and Distribution</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Demand for readymix concrete and aggregates largely depends on local levels of construction activity. Construction activity is also subject to weather conditions, the availability of financing at reasonable rates, and overall fluctuations in local economies, and therefore tends to be cyclical. We sell readymix concrete to numerous contractors and other customers in each plant’s marketing area. Our batch plants in Central Texas, the greater Kansas City area, northern Colorado, and northern Nevada are strategically located to serve each marketing area. Concrete is delivered from the batch plants primarily by company-owned trucks. We sell aggregates to building contractors and other customers engaged in a wide variety of</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18" w:name="page19"/>
    <w:bookmarkEnd w:id="18"/>
    <w:p>
      <w:pPr>
        <w:ind w:right="80"/>
        <w:spacing w:after="0" w:line="260" w:lineRule="auto"/>
        <w:rPr>
          <w:sz w:val="20"/>
          <w:szCs w:val="20"/>
          <w:color w:val="auto"/>
        </w:rPr>
      </w:pPr>
      <w:r>
        <w:rPr>
          <w:rFonts w:ascii="Arial" w:cs="Arial" w:eastAsia="Arial" w:hAnsi="Arial"/>
          <w:sz w:val="18"/>
          <w:szCs w:val="18"/>
          <w:color w:val="auto"/>
        </w:rPr>
        <w:t>construction activities. Aggregates are delivered from our plants by common carriers and customer pickup. No single customer accounted for more than 10% of fiscal 2023 segment revenue.</w:t>
      </w:r>
    </w:p>
    <w:p>
      <w:pPr>
        <w:spacing w:after="0" w:line="65"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Barriers to entry in each industry are low, except with respect to environmental permitting requirements for new aggregates production facilities and zoning of land to permit mining and extraction of aggregates.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Raw Materials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obtain cement and aggregates for our Concrete businesses from primarily related companies, as outlined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4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Percentage of Internally Supplied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1"/>
        </w:trPr>
        <w:tc>
          <w:tcPr>
            <w:tcW w:w="480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410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Cement</w:t>
            </w:r>
          </w:p>
        </w:tc>
        <w:tc>
          <w:tcPr>
            <w:tcW w:w="140" w:type="dxa"/>
            <w:vAlign w:val="bottom"/>
          </w:tcPr>
          <w:p>
            <w:pPr>
              <w:spacing w:after="0"/>
              <w:rPr>
                <w:sz w:val="16"/>
                <w:szCs w:val="16"/>
                <w:color w:val="auto"/>
              </w:rPr>
            </w:pPr>
          </w:p>
        </w:tc>
        <w:tc>
          <w:tcPr>
            <w:tcW w:w="1220" w:type="dxa"/>
            <w:vAlign w:val="bottom"/>
            <w:tcBorders>
              <w:bottom w:val="single" w:sz="8" w:color="00AAC6"/>
            </w:tcBorders>
          </w:tcPr>
          <w:p>
            <w:pPr>
              <w:spacing w:after="0"/>
              <w:rPr>
                <w:sz w:val="16"/>
                <w:szCs w:val="16"/>
                <w:color w:val="auto"/>
              </w:rPr>
            </w:pPr>
          </w:p>
        </w:tc>
        <w:tc>
          <w:tcPr>
            <w:tcW w:w="8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Aggregates</w:t>
            </w:r>
          </w:p>
        </w:tc>
        <w:tc>
          <w:tcPr>
            <w:tcW w:w="160" w:type="dxa"/>
            <w:vAlign w:val="bottom"/>
          </w:tcPr>
          <w:p>
            <w:pPr>
              <w:spacing w:after="0"/>
              <w:rPr>
                <w:sz w:val="16"/>
                <w:szCs w:val="16"/>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4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0"/>
        </w:trPr>
        <w:tc>
          <w:tcPr>
            <w:tcW w:w="4800" w:type="dxa"/>
            <w:vAlign w:val="bottom"/>
            <w:shd w:val="clear" w:color="auto" w:fill="A6A6A6"/>
          </w:tcPr>
          <w:p>
            <w:pPr>
              <w:spacing w:after="0" w:line="20" w:lineRule="exact"/>
              <w:rPr>
                <w:sz w:val="1"/>
                <w:szCs w:val="1"/>
                <w:color w:val="auto"/>
              </w:rPr>
            </w:pPr>
          </w:p>
        </w:tc>
        <w:tc>
          <w:tcPr>
            <w:tcW w:w="4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b w:val="1"/>
                <w:bCs w:val="1"/>
                <w:color w:val="00AAC6"/>
              </w:rPr>
              <w:t>Kansas City Area</w:t>
            </w:r>
          </w:p>
        </w:tc>
        <w:tc>
          <w:tcPr>
            <w:tcW w:w="5460" w:type="dxa"/>
            <w:vAlign w:val="bottom"/>
            <w:gridSpan w:val="3"/>
          </w:tcPr>
          <w:p>
            <w:pPr>
              <w:jc w:val="right"/>
              <w:ind w:right="1200"/>
              <w:spacing w:after="0"/>
              <w:rPr>
                <w:sz w:val="20"/>
                <w:szCs w:val="20"/>
                <w:color w:val="auto"/>
              </w:rPr>
            </w:pPr>
            <w:r>
              <w:rPr>
                <w:rFonts w:ascii="Arial" w:cs="Arial" w:eastAsia="Arial" w:hAnsi="Arial"/>
                <w:sz w:val="16"/>
                <w:szCs w:val="16"/>
                <w:color w:val="auto"/>
              </w:rPr>
              <w:t>100 %</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
        </w:trPr>
        <w:tc>
          <w:tcPr>
            <w:tcW w:w="4800" w:type="dxa"/>
            <w:vAlign w:val="bottom"/>
            <w:shd w:val="clear" w:color="auto" w:fill="A6A6A6"/>
          </w:tcPr>
          <w:p>
            <w:pPr>
              <w:spacing w:after="0" w:line="20" w:lineRule="exact"/>
              <w:rPr>
                <w:sz w:val="1"/>
                <w:szCs w:val="1"/>
                <w:color w:val="auto"/>
              </w:rPr>
            </w:pPr>
          </w:p>
        </w:tc>
        <w:tc>
          <w:tcPr>
            <w:tcW w:w="4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b w:val="1"/>
                <w:bCs w:val="1"/>
                <w:color w:val="00AAC6"/>
              </w:rPr>
              <w:t>Northern Colorado</w:t>
            </w:r>
          </w:p>
        </w:tc>
        <w:tc>
          <w:tcPr>
            <w:tcW w:w="5460" w:type="dxa"/>
            <w:vAlign w:val="bottom"/>
            <w:gridSpan w:val="3"/>
          </w:tcPr>
          <w:p>
            <w:pPr>
              <w:jc w:val="right"/>
              <w:ind w:right="1200"/>
              <w:spacing w:after="0"/>
              <w:rPr>
                <w:sz w:val="20"/>
                <w:szCs w:val="20"/>
                <w:color w:val="auto"/>
              </w:rPr>
            </w:pPr>
            <w:r>
              <w:rPr>
                <w:rFonts w:ascii="Arial" w:cs="Arial" w:eastAsia="Arial" w:hAnsi="Arial"/>
                <w:sz w:val="16"/>
                <w:szCs w:val="16"/>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800" w:type="dxa"/>
            <w:vAlign w:val="bottom"/>
            <w:shd w:val="clear" w:color="auto" w:fill="A6A6A6"/>
          </w:tcPr>
          <w:p>
            <w:pPr>
              <w:spacing w:after="0" w:line="20" w:lineRule="exact"/>
              <w:rPr>
                <w:sz w:val="1"/>
                <w:szCs w:val="1"/>
                <w:color w:val="auto"/>
              </w:rPr>
            </w:pPr>
          </w:p>
        </w:tc>
        <w:tc>
          <w:tcPr>
            <w:tcW w:w="4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b w:val="1"/>
                <w:bCs w:val="1"/>
                <w:color w:val="00AAC6"/>
              </w:rPr>
              <w:t>Northern Nevada</w:t>
            </w:r>
          </w:p>
        </w:tc>
        <w:tc>
          <w:tcPr>
            <w:tcW w:w="5460" w:type="dxa"/>
            <w:vAlign w:val="bottom"/>
            <w:gridSpan w:val="3"/>
          </w:tcPr>
          <w:p>
            <w:pPr>
              <w:jc w:val="right"/>
              <w:ind w:right="1200"/>
              <w:spacing w:after="0"/>
              <w:rPr>
                <w:sz w:val="20"/>
                <w:szCs w:val="20"/>
                <w:color w:val="auto"/>
              </w:rPr>
            </w:pPr>
            <w:r>
              <w:rPr>
                <w:rFonts w:ascii="Arial" w:cs="Arial" w:eastAsia="Arial" w:hAnsi="Arial"/>
                <w:sz w:val="16"/>
                <w:szCs w:val="16"/>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98 %</w:t>
            </w:r>
          </w:p>
        </w:tc>
      </w:tr>
      <w:tr>
        <w:trPr>
          <w:trHeight w:val="20"/>
        </w:trPr>
        <w:tc>
          <w:tcPr>
            <w:tcW w:w="4800" w:type="dxa"/>
            <w:vAlign w:val="bottom"/>
            <w:shd w:val="clear" w:color="auto" w:fill="A6A6A6"/>
          </w:tcPr>
          <w:p>
            <w:pPr>
              <w:spacing w:after="0" w:line="20" w:lineRule="exact"/>
              <w:rPr>
                <w:sz w:val="1"/>
                <w:szCs w:val="1"/>
                <w:color w:val="auto"/>
              </w:rPr>
            </w:pPr>
          </w:p>
        </w:tc>
        <w:tc>
          <w:tcPr>
            <w:tcW w:w="4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obtain the balance of our cement and aggregates requirements from multiple outside sources in each of these areas.</w:t>
      </w:r>
    </w:p>
    <w:p>
      <w:pPr>
        <w:spacing w:after="0" w:line="10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mine and extract limestone, sand, and gravel, the principal raw materials used in the production of aggregates, from quarries owned or leased by us and located near our plants. On average, our aggregate reserves exceed 25 years based on normalized production levels, excluding northern Kentucky. We just began mining aggregates from this site and we anticipate, after doing more drilling and analysis, that we will likely reclassify most of the measured and indicated resources to reserves in the next year or two, at which time we will have over 25 years of reserves for this location.</w:t>
      </w:r>
    </w:p>
    <w:p>
      <w:pPr>
        <w:spacing w:after="0" w:line="81" w:lineRule="exact"/>
        <w:rPr>
          <w:sz w:val="20"/>
          <w:szCs w:val="20"/>
          <w:color w:val="auto"/>
        </w:rPr>
      </w:pPr>
    </w:p>
    <w:p>
      <w:pPr>
        <w:ind w:right="1060"/>
        <w:spacing w:after="0" w:line="260" w:lineRule="auto"/>
        <w:rPr>
          <w:sz w:val="20"/>
          <w:szCs w:val="20"/>
          <w:color w:val="auto"/>
        </w:rPr>
      </w:pPr>
      <w:r>
        <w:rPr>
          <w:rFonts w:ascii="Arial" w:cs="Arial" w:eastAsia="Arial" w:hAnsi="Arial"/>
          <w:sz w:val="18"/>
          <w:szCs w:val="18"/>
          <w:color w:val="auto"/>
        </w:rPr>
        <w:t>Cost of materials and diesel fuel are the two biggest expense items for readymix concrete, and they increased by 14% and 13%, respectively, in fiscal 2023 compared with fiscal 2022. We anticipate these costs will increase again in fiscal 2024.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Environmental Matters</w:t>
      </w:r>
    </w:p>
    <w:p>
      <w:pPr>
        <w:spacing w:after="0" w:line="11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concrete and aggregates industry is subject to environmental regulations similar to those governing our Cement operations, which is included in the Environmental Matters section in the Cement segment discussion.</w:t>
      </w:r>
    </w:p>
    <w:p>
      <w:pPr>
        <w:spacing w:after="0" w:line="65"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We did not have any capital expenditures related to compliance with environmental regulations applicable to our Concrete and Aggregates operations in fiscal 2023, and we do not anticipate any material spending related to compliance with environmental regulations during fiscal 2024.</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8" w:right="31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Light Materials sector comprises the Gypsum Wallboard segment, which produces gypsum wallboard used in residential and commercial construction and repair and remodel activities, and the Recycled Paperboard segment, which produces paper primarily used in the manufacture of gypsum wallboard. Operations in this sector are concentrated in the Sun Belt of the United States, which we define as the lower half of the United States, but not California. Population in the Sun Belt is projected to grow approximately 17% between 2020 and 2050, according to the latest update in April 2023 by Moody’s Analytics. Population growth is a key long-term driver of demand for gypsum wallboard and recycled paperboard.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1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Gypsum wallboard is used to finish the interior walls and ceilings in residential, commercial, and industrial structures. Our gypsum wallboard products are marketed under the name American Gypsum.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133985</wp:posOffset>
            </wp:positionV>
            <wp:extent cx="5349240" cy="1543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 Plants, Resources and Reserves</w:t>
      </w:r>
    </w:p>
    <w:p>
      <w:pPr>
        <w:spacing w:after="0" w:line="114"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We own and operate five gypsum wallboard plants, outlined in the table below. We anticipate running all our facilities at the level required to meet customer demand, up to maximum capacity. Our gypsum wallboard is distributed in the geographic markets nearest to our production facilities.</w:t>
      </w:r>
    </w:p>
    <w:p>
      <w:pPr>
        <w:spacing w:after="0" w:line="76"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Four of our five gypsum wallboard plants are supplied with gypsum from our nearby gypsum quarries, while our wallboard plant in South Carolina is supplied with synthetic gypsum under a long-term supply contract with a third party. We have adequate access to all of our quarries.</w:t>
      </w:r>
    </w:p>
    <w:p>
      <w:pPr>
        <w:spacing w:after="0" w:line="7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Mineral resources and mineral reserves for our Gypsum Wallboard business are defined similarly to how they are defined for our Cement business. See the Limestone Resources and Reserves section in the Cement segment discussion for a more detailed description of how we define mineral resources and reserves.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0" w:name="page21"/>
    <w:bookmarkEnd w:id="20"/>
    <w:p>
      <w:pPr>
        <w:spacing w:after="0" w:line="237" w:lineRule="auto"/>
        <w:rPr>
          <w:sz w:val="20"/>
          <w:szCs w:val="20"/>
          <w:color w:val="auto"/>
        </w:rPr>
      </w:pPr>
      <w:r>
        <w:rPr>
          <w:rFonts w:ascii="Arial" w:cs="Arial" w:eastAsia="Arial" w:hAnsi="Arial"/>
          <w:sz w:val="18"/>
          <w:szCs w:val="18"/>
          <w:color w:val="auto"/>
        </w:rPr>
        <w:t>As of March 31, 2023, we had 68.5 million tons of proven and probable gypsum reserves, and 151.9 million tons of measured and indicated gypsum resources, exclusive of gypsum reserves. Approximately 45% of our reserves are owned, with the rest leased. We do not consider any of our individual quarries to be material for disclosure purposes. We obtained technical reports from a third-party QP for each of our locations during fiscal 2022 except Gypsum, Colorado, which was as of March 31, 2023. The other locations were not updated during fiscal 2023 because we did not add any additional properties, or do any additional exploration on sites during fiscal 2023. Additionally, the change in selling price did not materially increase, which further supports no material change on the estimated resource and reserve amounts calculated in fiscal 2022. The total reserves for fiscal 2023 for all locations with the exception of Gypsum, Colorado, were calculated by taking the reserves as of March 31, 2022 and adjusting them for tons mined in fiscal 2023. These technical reports obtained in fiscal 2022 (fiscal 2023 for Gypsum, Colorado) were prepared in accordance with the requirements of the Modernization of Property Disclosures for Mining Registrants set forth in subpart 1300 of Regulation S-K.</w:t>
      </w:r>
    </w:p>
    <w:p>
      <w:pPr>
        <w:spacing w:after="0" w:line="89"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The following table sets forth certain information regarding our gypsum wallboard plants and gypsum resources, exclusive of gypsum reserves, at March 31, 2023:</w:t>
      </w:r>
    </w:p>
    <w:p>
      <w:pPr>
        <w:spacing w:after="0" w:line="170"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 xml:space="preserve">Gypsum Resources </w:t>
      </w:r>
      <w:r>
        <w:rPr>
          <w:rFonts w:ascii="Arial" w:cs="Arial" w:eastAsia="Arial" w:hAnsi="Arial"/>
          <w:sz w:val="21"/>
          <w:szCs w:val="21"/>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2540</wp:posOffset>
            </wp:positionV>
            <wp:extent cx="3531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2380" w:type="dxa"/>
            <w:vAlign w:val="bottom"/>
            <w:vMerge w:val="restart"/>
          </w:tcPr>
          <w:p>
            <w:pPr>
              <w:jc w:val="right"/>
              <w:ind w:right="348"/>
              <w:spacing w:after="0"/>
              <w:rPr>
                <w:sz w:val="20"/>
                <w:szCs w:val="20"/>
                <w:color w:val="auto"/>
              </w:rPr>
            </w:pPr>
            <w:r>
              <w:rPr>
                <w:rFonts w:ascii="Arial" w:cs="Arial" w:eastAsia="Arial" w:hAnsi="Arial"/>
                <w:sz w:val="13"/>
                <w:szCs w:val="13"/>
                <w:b w:val="1"/>
                <w:bCs w:val="1"/>
                <w:color w:val="auto"/>
              </w:rPr>
              <w:t>Approximate Annual</w:t>
            </w:r>
          </w:p>
        </w:tc>
        <w:tc>
          <w:tcPr>
            <w:tcW w:w="1400" w:type="dxa"/>
            <w:vAlign w:val="bottom"/>
          </w:tcPr>
          <w:p>
            <w:pPr>
              <w:spacing w:after="0"/>
              <w:rPr>
                <w:sz w:val="13"/>
                <w:szCs w:val="13"/>
                <w:color w:val="auto"/>
              </w:rPr>
            </w:pPr>
          </w:p>
        </w:tc>
        <w:tc>
          <w:tcPr>
            <w:tcW w:w="2820" w:type="dxa"/>
            <w:vAlign w:val="bottom"/>
            <w:gridSpan w:val="2"/>
          </w:tcPr>
          <w:p>
            <w:pPr>
              <w:jc w:val="right"/>
              <w:ind w:right="1227"/>
              <w:spacing w:after="0"/>
              <w:rPr>
                <w:sz w:val="20"/>
                <w:szCs w:val="20"/>
                <w:color w:val="auto"/>
              </w:rPr>
            </w:pPr>
            <w:r>
              <w:rPr>
                <w:rFonts w:ascii="Arial" w:cs="Arial" w:eastAsia="Arial" w:hAnsi="Arial"/>
                <w:sz w:val="13"/>
                <w:szCs w:val="13"/>
                <w:color w:val="auto"/>
              </w:rPr>
              <w:t>(tons in thousands)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vMerge w:val="restart"/>
          </w:tcPr>
          <w:p>
            <w:pPr>
              <w:jc w:val="right"/>
              <w:ind w:right="427"/>
              <w:spacing w:after="0"/>
              <w:rPr>
                <w:sz w:val="20"/>
                <w:szCs w:val="20"/>
                <w:color w:val="auto"/>
              </w:rPr>
            </w:pPr>
            <w:r>
              <w:rPr>
                <w:rFonts w:ascii="Arial" w:cs="Arial" w:eastAsia="Arial" w:hAnsi="Arial"/>
                <w:sz w:val="13"/>
                <w:szCs w:val="13"/>
                <w:b w:val="1"/>
                <w:bCs w:val="1"/>
                <w:color w:val="auto"/>
              </w:rPr>
              <w:t>Total Measured &amp;</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2380" w:type="dxa"/>
            <w:vAlign w:val="bottom"/>
          </w:tcPr>
          <w:p>
            <w:pPr>
              <w:jc w:val="right"/>
              <w:ind w:right="348"/>
              <w:spacing w:after="0" w:line="130" w:lineRule="exact"/>
              <w:rPr>
                <w:sz w:val="20"/>
                <w:szCs w:val="20"/>
                <w:color w:val="auto"/>
              </w:rPr>
            </w:pPr>
            <w:r>
              <w:rPr>
                <w:rFonts w:ascii="Arial" w:cs="Arial" w:eastAsia="Arial" w:hAnsi="Arial"/>
                <w:sz w:val="13"/>
                <w:szCs w:val="13"/>
                <w:b w:val="1"/>
                <w:bCs w:val="1"/>
                <w:color w:val="auto"/>
              </w:rPr>
              <w:t>Gypsum Wallboard</w:t>
            </w:r>
          </w:p>
        </w:tc>
        <w:tc>
          <w:tcPr>
            <w:tcW w:w="1400" w:type="dxa"/>
            <w:vAlign w:val="bottom"/>
            <w:vMerge w:val="restart"/>
          </w:tcPr>
          <w:p>
            <w:pPr>
              <w:jc w:val="right"/>
              <w:ind w:right="345"/>
              <w:spacing w:after="0"/>
              <w:rPr>
                <w:sz w:val="20"/>
                <w:szCs w:val="20"/>
                <w:color w:val="auto"/>
              </w:rPr>
            </w:pPr>
            <w:r>
              <w:rPr>
                <w:rFonts w:ascii="Arial" w:cs="Arial" w:eastAsia="Arial" w:hAnsi="Arial"/>
                <w:sz w:val="13"/>
                <w:szCs w:val="13"/>
                <w:b w:val="1"/>
                <w:bCs w:val="1"/>
                <w:color w:val="auto"/>
              </w:rPr>
              <w:t>Measured</w:t>
            </w:r>
          </w:p>
        </w:tc>
        <w:tc>
          <w:tcPr>
            <w:tcW w:w="110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auto"/>
              </w:rPr>
              <w:t>Indicated</w:t>
            </w:r>
          </w:p>
        </w:tc>
        <w:tc>
          <w:tcPr>
            <w:tcW w:w="1720" w:type="dxa"/>
            <w:vAlign w:val="bottom"/>
            <w:vMerge w:val="continue"/>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Inferred</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77943C"/>
            </w:tcBorders>
            <w:vMerge w:val="continue"/>
          </w:tcPr>
          <w:p>
            <w:pPr>
              <w:spacing w:after="0"/>
              <w:rPr>
                <w:sz w:val="17"/>
                <w:szCs w:val="17"/>
                <w:color w:val="auto"/>
              </w:rPr>
            </w:pPr>
          </w:p>
        </w:tc>
        <w:tc>
          <w:tcPr>
            <w:tcW w:w="2380" w:type="dxa"/>
            <w:vAlign w:val="bottom"/>
            <w:tcBorders>
              <w:bottom w:val="single" w:sz="8" w:color="77943C"/>
            </w:tcBorders>
          </w:tcPr>
          <w:p>
            <w:pPr>
              <w:jc w:val="right"/>
              <w:ind w:right="348"/>
              <w:spacing w:after="0" w:line="175"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3"/>
                <w:szCs w:val="13"/>
                <w:color w:val="auto"/>
              </w:rPr>
              <w:t>(MMSF)</w:t>
            </w: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(3)</w:t>
            </w:r>
          </w:p>
        </w:tc>
        <w:tc>
          <w:tcPr>
            <w:tcW w:w="1400" w:type="dxa"/>
            <w:vAlign w:val="bottom"/>
            <w:tcBorders>
              <w:bottom w:val="single" w:sz="8" w:color="77943C"/>
            </w:tcBorders>
            <w:vMerge w:val="continue"/>
          </w:tcPr>
          <w:p>
            <w:pPr>
              <w:spacing w:after="0"/>
              <w:rPr>
                <w:sz w:val="17"/>
                <w:szCs w:val="17"/>
                <w:color w:val="auto"/>
              </w:rPr>
            </w:pPr>
          </w:p>
        </w:tc>
        <w:tc>
          <w:tcPr>
            <w:tcW w:w="1100" w:type="dxa"/>
            <w:vAlign w:val="bottom"/>
            <w:tcBorders>
              <w:bottom w:val="single" w:sz="8" w:color="77943C"/>
            </w:tcBorders>
            <w:vMerge w:val="continue"/>
          </w:tcPr>
          <w:p>
            <w:pPr>
              <w:spacing w:after="0"/>
              <w:rPr>
                <w:sz w:val="17"/>
                <w:szCs w:val="17"/>
                <w:color w:val="auto"/>
              </w:rPr>
            </w:pPr>
          </w:p>
        </w:tc>
        <w:tc>
          <w:tcPr>
            <w:tcW w:w="1720" w:type="dxa"/>
            <w:vAlign w:val="bottom"/>
            <w:tcBorders>
              <w:bottom w:val="single" w:sz="8" w:color="77943C"/>
            </w:tcBorders>
          </w:tcPr>
          <w:p>
            <w:pPr>
              <w:jc w:val="right"/>
              <w:ind w:right="387"/>
              <w:spacing w:after="0"/>
              <w:rPr>
                <w:sz w:val="20"/>
                <w:szCs w:val="20"/>
                <w:color w:val="auto"/>
              </w:rPr>
            </w:pPr>
            <w:r>
              <w:rPr>
                <w:rFonts w:ascii="Arial" w:cs="Arial" w:eastAsia="Arial" w:hAnsi="Arial"/>
                <w:sz w:val="13"/>
                <w:szCs w:val="13"/>
                <w:b w:val="1"/>
                <w:bCs w:val="1"/>
                <w:color w:val="auto"/>
              </w:rPr>
              <w:t>Indicated</w:t>
            </w:r>
          </w:p>
        </w:tc>
        <w:tc>
          <w:tcPr>
            <w:tcW w:w="940" w:type="dxa"/>
            <w:vAlign w:val="bottom"/>
            <w:tcBorders>
              <w:bottom w:val="single" w:sz="8" w:color="77943C"/>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2380" w:type="dxa"/>
            <w:vAlign w:val="bottom"/>
            <w:tcBorders>
              <w:bottom w:val="single" w:sz="8" w:color="A6A6A6"/>
            </w:tcBorders>
          </w:tcPr>
          <w:p>
            <w:pPr>
              <w:jc w:val="right"/>
              <w:ind w:right="348"/>
              <w:spacing w:after="0"/>
              <w:rPr>
                <w:sz w:val="20"/>
                <w:szCs w:val="20"/>
                <w:color w:val="auto"/>
              </w:rPr>
            </w:pPr>
            <w:r>
              <w:rPr>
                <w:rFonts w:ascii="Arial" w:cs="Arial" w:eastAsia="Arial" w:hAnsi="Arial"/>
                <w:sz w:val="15"/>
                <w:szCs w:val="15"/>
                <w:color w:val="auto"/>
              </w:rPr>
              <w:t>425</w:t>
            </w:r>
          </w:p>
        </w:tc>
        <w:tc>
          <w:tcPr>
            <w:tcW w:w="1400" w:type="dxa"/>
            <w:vAlign w:val="bottom"/>
            <w:tcBorders>
              <w:bottom w:val="single" w:sz="8" w:color="A6A6A6"/>
            </w:tcBorders>
          </w:tcPr>
          <w:p>
            <w:pPr>
              <w:jc w:val="right"/>
              <w:ind w:right="345"/>
              <w:spacing w:after="0"/>
              <w:rPr>
                <w:sz w:val="20"/>
                <w:szCs w:val="20"/>
                <w:color w:val="auto"/>
              </w:rPr>
            </w:pPr>
            <w:r>
              <w:rPr>
                <w:rFonts w:ascii="Arial" w:cs="Arial" w:eastAsia="Arial" w:hAnsi="Arial"/>
                <w:sz w:val="15"/>
                <w:szCs w:val="15"/>
                <w:color w:val="auto"/>
              </w:rPr>
              <w:t>41,800</w:t>
            </w:r>
          </w:p>
        </w:tc>
        <w:tc>
          <w:tcPr>
            <w:tcW w:w="1100" w:type="dxa"/>
            <w:vAlign w:val="bottom"/>
            <w:tcBorders>
              <w:bottom w:val="single" w:sz="8" w:color="A6A6A6"/>
            </w:tcBorders>
          </w:tcPr>
          <w:p>
            <w:pPr>
              <w:jc w:val="right"/>
              <w:ind w:right="67"/>
              <w:spacing w:after="0"/>
              <w:rPr>
                <w:sz w:val="20"/>
                <w:szCs w:val="20"/>
                <w:color w:val="auto"/>
              </w:rPr>
            </w:pPr>
            <w:r>
              <w:rPr>
                <w:rFonts w:ascii="Arial" w:cs="Arial" w:eastAsia="Arial" w:hAnsi="Arial"/>
                <w:sz w:val="15"/>
                <w:szCs w:val="15"/>
                <w:color w:val="auto"/>
              </w:rPr>
              <w:t>16,000</w:t>
            </w:r>
          </w:p>
        </w:tc>
        <w:tc>
          <w:tcPr>
            <w:tcW w:w="172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57,800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6,300</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(4)</w:t>
            </w:r>
          </w:p>
        </w:tc>
        <w:tc>
          <w:tcPr>
            <w:tcW w:w="2380" w:type="dxa"/>
            <w:vAlign w:val="bottom"/>
            <w:tcBorders>
              <w:bottom w:val="single" w:sz="8" w:color="A6A6A6"/>
            </w:tcBorders>
          </w:tcPr>
          <w:p>
            <w:pPr>
              <w:jc w:val="right"/>
              <w:ind w:right="348"/>
              <w:spacing w:after="0"/>
              <w:rPr>
                <w:sz w:val="20"/>
                <w:szCs w:val="20"/>
                <w:color w:val="auto"/>
              </w:rPr>
            </w:pPr>
            <w:r>
              <w:rPr>
                <w:rFonts w:ascii="Arial" w:cs="Arial" w:eastAsia="Arial" w:hAnsi="Arial"/>
                <w:sz w:val="15"/>
                <w:szCs w:val="15"/>
                <w:color w:val="auto"/>
              </w:rPr>
              <w:t>550</w:t>
            </w:r>
          </w:p>
        </w:tc>
        <w:tc>
          <w:tcPr>
            <w:tcW w:w="1400" w:type="dxa"/>
            <w:vAlign w:val="bottom"/>
            <w:tcBorders>
              <w:bottom w:val="single" w:sz="8" w:color="A6A6A6"/>
            </w:tcBorders>
          </w:tcPr>
          <w:p>
            <w:pPr>
              <w:jc w:val="right"/>
              <w:ind w:right="345"/>
              <w:spacing w:after="0"/>
              <w:rPr>
                <w:sz w:val="20"/>
                <w:szCs w:val="20"/>
                <w:color w:val="auto"/>
              </w:rPr>
            </w:pPr>
            <w:r>
              <w:rPr>
                <w:rFonts w:ascii="Arial" w:cs="Arial" w:eastAsia="Arial" w:hAnsi="Arial"/>
                <w:sz w:val="15"/>
                <w:szCs w:val="15"/>
                <w:color w:val="auto"/>
              </w:rPr>
              <w:t>n/a</w:t>
            </w:r>
          </w:p>
        </w:tc>
        <w:tc>
          <w:tcPr>
            <w:tcW w:w="1100" w:type="dxa"/>
            <w:vAlign w:val="bottom"/>
            <w:tcBorders>
              <w:bottom w:val="single" w:sz="8" w:color="A6A6A6"/>
            </w:tcBorders>
          </w:tcPr>
          <w:p>
            <w:pPr>
              <w:jc w:val="right"/>
              <w:ind w:right="67"/>
              <w:spacing w:after="0"/>
              <w:rPr>
                <w:sz w:val="20"/>
                <w:szCs w:val="20"/>
                <w:color w:val="auto"/>
              </w:rPr>
            </w:pPr>
            <w:r>
              <w:rPr>
                <w:rFonts w:ascii="Arial" w:cs="Arial" w:eastAsia="Arial" w:hAnsi="Arial"/>
                <w:sz w:val="15"/>
                <w:szCs w:val="15"/>
                <w:color w:val="auto"/>
              </w:rPr>
              <w:t>n/a</w:t>
            </w:r>
          </w:p>
        </w:tc>
        <w:tc>
          <w:tcPr>
            <w:tcW w:w="172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n/a</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Colorado</w:t>
            </w:r>
          </w:p>
        </w:tc>
        <w:tc>
          <w:tcPr>
            <w:tcW w:w="2380" w:type="dxa"/>
            <w:vAlign w:val="bottom"/>
            <w:tcBorders>
              <w:bottom w:val="single" w:sz="8" w:color="A6A6A6"/>
            </w:tcBorders>
          </w:tcPr>
          <w:p>
            <w:pPr>
              <w:jc w:val="right"/>
              <w:ind w:right="348"/>
              <w:spacing w:after="0"/>
              <w:rPr>
                <w:sz w:val="20"/>
                <w:szCs w:val="20"/>
                <w:color w:val="auto"/>
              </w:rPr>
            </w:pPr>
            <w:r>
              <w:rPr>
                <w:rFonts w:ascii="Arial" w:cs="Arial" w:eastAsia="Arial" w:hAnsi="Arial"/>
                <w:sz w:val="15"/>
                <w:szCs w:val="15"/>
                <w:color w:val="auto"/>
              </w:rPr>
              <w:t>700</w:t>
            </w:r>
          </w:p>
        </w:tc>
        <w:tc>
          <w:tcPr>
            <w:tcW w:w="1400" w:type="dxa"/>
            <w:vAlign w:val="bottom"/>
            <w:tcBorders>
              <w:bottom w:val="single" w:sz="8" w:color="A6A6A6"/>
            </w:tcBorders>
          </w:tcPr>
          <w:p>
            <w:pPr>
              <w:jc w:val="right"/>
              <w:ind w:right="345"/>
              <w:spacing w:after="0"/>
              <w:rPr>
                <w:sz w:val="20"/>
                <w:szCs w:val="20"/>
                <w:color w:val="auto"/>
              </w:rPr>
            </w:pPr>
            <w:r>
              <w:rPr>
                <w:rFonts w:ascii="Arial" w:cs="Arial" w:eastAsia="Arial" w:hAnsi="Arial"/>
                <w:sz w:val="15"/>
                <w:szCs w:val="15"/>
                <w:color w:val="auto"/>
              </w:rPr>
              <w:t>20,740</w:t>
            </w:r>
          </w:p>
        </w:tc>
        <w:tc>
          <w:tcPr>
            <w:tcW w:w="1100" w:type="dxa"/>
            <w:vAlign w:val="bottom"/>
            <w:tcBorders>
              <w:bottom w:val="single" w:sz="8" w:color="A6A6A6"/>
            </w:tcBorders>
          </w:tcPr>
          <w:p>
            <w:pPr>
              <w:jc w:val="right"/>
              <w:ind w:right="67"/>
              <w:spacing w:after="0"/>
              <w:rPr>
                <w:sz w:val="20"/>
                <w:szCs w:val="20"/>
                <w:color w:val="auto"/>
              </w:rPr>
            </w:pPr>
            <w:r>
              <w:rPr>
                <w:rFonts w:ascii="Arial" w:cs="Arial" w:eastAsia="Arial" w:hAnsi="Arial"/>
                <w:sz w:val="15"/>
                <w:szCs w:val="15"/>
                <w:color w:val="auto"/>
              </w:rPr>
              <w:t>2,780</w:t>
            </w:r>
          </w:p>
        </w:tc>
        <w:tc>
          <w:tcPr>
            <w:tcW w:w="172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23,520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Duke, Oklahoma</w:t>
            </w:r>
          </w:p>
        </w:tc>
        <w:tc>
          <w:tcPr>
            <w:tcW w:w="2380" w:type="dxa"/>
            <w:vAlign w:val="bottom"/>
            <w:tcBorders>
              <w:bottom w:val="single" w:sz="8" w:color="A6A6A6"/>
            </w:tcBorders>
          </w:tcPr>
          <w:p>
            <w:pPr>
              <w:jc w:val="right"/>
              <w:ind w:right="348"/>
              <w:spacing w:after="0"/>
              <w:rPr>
                <w:sz w:val="20"/>
                <w:szCs w:val="20"/>
                <w:color w:val="auto"/>
              </w:rPr>
            </w:pPr>
            <w:r>
              <w:rPr>
                <w:rFonts w:ascii="Arial" w:cs="Arial" w:eastAsia="Arial" w:hAnsi="Arial"/>
                <w:sz w:val="15"/>
                <w:szCs w:val="15"/>
                <w:color w:val="auto"/>
              </w:rPr>
              <w:t>1,300</w:t>
            </w:r>
          </w:p>
        </w:tc>
        <w:tc>
          <w:tcPr>
            <w:tcW w:w="1400" w:type="dxa"/>
            <w:vAlign w:val="bottom"/>
            <w:tcBorders>
              <w:bottom w:val="single" w:sz="8" w:color="A6A6A6"/>
            </w:tcBorders>
          </w:tcPr>
          <w:p>
            <w:pPr>
              <w:jc w:val="right"/>
              <w:ind w:right="345"/>
              <w:spacing w:after="0"/>
              <w:rPr>
                <w:sz w:val="20"/>
                <w:szCs w:val="20"/>
                <w:color w:val="auto"/>
              </w:rPr>
            </w:pPr>
            <w:r>
              <w:rPr>
                <w:rFonts w:ascii="Arial" w:cs="Arial" w:eastAsia="Arial" w:hAnsi="Arial"/>
                <w:sz w:val="15"/>
                <w:szCs w:val="15"/>
                <w:color w:val="auto"/>
              </w:rPr>
              <w:t>27,900</w:t>
            </w:r>
          </w:p>
        </w:tc>
        <w:tc>
          <w:tcPr>
            <w:tcW w:w="1100" w:type="dxa"/>
            <w:vAlign w:val="bottom"/>
            <w:tcBorders>
              <w:bottom w:val="single" w:sz="8" w:color="A6A6A6"/>
            </w:tcBorders>
          </w:tcPr>
          <w:p>
            <w:pPr>
              <w:jc w:val="right"/>
              <w:ind w:right="67"/>
              <w:spacing w:after="0"/>
              <w:rPr>
                <w:sz w:val="20"/>
                <w:szCs w:val="20"/>
                <w:color w:val="auto"/>
              </w:rPr>
            </w:pPr>
            <w:r>
              <w:rPr>
                <w:rFonts w:ascii="Arial" w:cs="Arial" w:eastAsia="Arial" w:hAnsi="Arial"/>
                <w:sz w:val="15"/>
                <w:szCs w:val="15"/>
                <w:color w:val="auto"/>
              </w:rPr>
              <w:t>42,700</w:t>
            </w:r>
          </w:p>
        </w:tc>
        <w:tc>
          <w:tcPr>
            <w:tcW w:w="172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70,600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59,000</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 xml:space="preserve">Georgetown, South Carolina </w:t>
            </w:r>
            <w:r>
              <w:rPr>
                <w:rFonts w:ascii="Arial" w:cs="Arial" w:eastAsia="Arial" w:hAnsi="Arial"/>
                <w:sz w:val="21"/>
                <w:szCs w:val="21"/>
                <w:b w:val="1"/>
                <w:bCs w:val="1"/>
                <w:color w:val="77943C"/>
                <w:vertAlign w:val="superscript"/>
              </w:rPr>
              <w:t>(5)</w:t>
            </w:r>
          </w:p>
        </w:tc>
        <w:tc>
          <w:tcPr>
            <w:tcW w:w="2380" w:type="dxa"/>
            <w:vAlign w:val="bottom"/>
            <w:tcBorders>
              <w:bottom w:val="single" w:sz="8" w:color="77943C"/>
            </w:tcBorders>
          </w:tcPr>
          <w:p>
            <w:pPr>
              <w:jc w:val="right"/>
              <w:ind w:right="348"/>
              <w:spacing w:after="0"/>
              <w:rPr>
                <w:sz w:val="20"/>
                <w:szCs w:val="20"/>
                <w:color w:val="auto"/>
              </w:rPr>
            </w:pPr>
            <w:r>
              <w:rPr>
                <w:rFonts w:ascii="Arial" w:cs="Arial" w:eastAsia="Arial" w:hAnsi="Arial"/>
                <w:sz w:val="15"/>
                <w:szCs w:val="15"/>
                <w:color w:val="auto"/>
              </w:rPr>
              <w:t>900</w:t>
            </w:r>
          </w:p>
        </w:tc>
        <w:tc>
          <w:tcPr>
            <w:tcW w:w="1400" w:type="dxa"/>
            <w:vAlign w:val="bottom"/>
            <w:tcBorders>
              <w:bottom w:val="single" w:sz="8" w:color="77943C"/>
            </w:tcBorders>
          </w:tcPr>
          <w:p>
            <w:pPr>
              <w:jc w:val="right"/>
              <w:ind w:right="345"/>
              <w:spacing w:after="0"/>
              <w:rPr>
                <w:sz w:val="20"/>
                <w:szCs w:val="20"/>
                <w:color w:val="auto"/>
              </w:rPr>
            </w:pPr>
            <w:r>
              <w:rPr>
                <w:rFonts w:ascii="Arial" w:cs="Arial" w:eastAsia="Arial" w:hAnsi="Arial"/>
                <w:sz w:val="15"/>
                <w:szCs w:val="15"/>
                <w:color w:val="auto"/>
              </w:rPr>
              <w:t>n/a</w:t>
            </w:r>
          </w:p>
        </w:tc>
        <w:tc>
          <w:tcPr>
            <w:tcW w:w="1100" w:type="dxa"/>
            <w:vAlign w:val="bottom"/>
            <w:tcBorders>
              <w:bottom w:val="single" w:sz="8" w:color="77943C"/>
            </w:tcBorders>
          </w:tcPr>
          <w:p>
            <w:pPr>
              <w:jc w:val="right"/>
              <w:ind w:right="67"/>
              <w:spacing w:after="0"/>
              <w:rPr>
                <w:sz w:val="20"/>
                <w:szCs w:val="20"/>
                <w:color w:val="auto"/>
              </w:rPr>
            </w:pPr>
            <w:r>
              <w:rPr>
                <w:rFonts w:ascii="Arial" w:cs="Arial" w:eastAsia="Arial" w:hAnsi="Arial"/>
                <w:sz w:val="15"/>
                <w:szCs w:val="15"/>
                <w:color w:val="auto"/>
              </w:rPr>
              <w:t>n/a</w:t>
            </w:r>
          </w:p>
        </w:tc>
        <w:tc>
          <w:tcPr>
            <w:tcW w:w="1720" w:type="dxa"/>
            <w:vAlign w:val="bottom"/>
            <w:tcBorders>
              <w:bottom w:val="single" w:sz="8" w:color="77943C"/>
            </w:tcBorders>
          </w:tcPr>
          <w:p>
            <w:pPr>
              <w:jc w:val="right"/>
              <w:ind w:right="387"/>
              <w:spacing w:after="0"/>
              <w:rPr>
                <w:sz w:val="20"/>
                <w:szCs w:val="20"/>
                <w:color w:val="auto"/>
              </w:rPr>
            </w:pPr>
            <w:r>
              <w:rPr>
                <w:rFonts w:ascii="Arial" w:cs="Arial" w:eastAsia="Arial" w:hAnsi="Arial"/>
                <w:sz w:val="15"/>
                <w:szCs w:val="15"/>
                <w:color w:val="auto"/>
              </w:rPr>
              <w:t>n/a</w:t>
            </w:r>
          </w:p>
        </w:tc>
        <w:tc>
          <w:tcPr>
            <w:tcW w:w="940" w:type="dxa"/>
            <w:vAlign w:val="bottom"/>
            <w:tcBorders>
              <w:bottom w:val="single" w:sz="8" w:color="77943C"/>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370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77943C"/>
            </w:tcBorders>
          </w:tcPr>
          <w:p>
            <w:pPr>
              <w:jc w:val="right"/>
              <w:ind w:right="348"/>
              <w:spacing w:after="0"/>
              <w:rPr>
                <w:sz w:val="20"/>
                <w:szCs w:val="20"/>
                <w:color w:val="auto"/>
              </w:rPr>
            </w:pPr>
            <w:r>
              <w:rPr>
                <w:rFonts w:ascii="Arial" w:cs="Arial" w:eastAsia="Arial" w:hAnsi="Arial"/>
                <w:sz w:val="15"/>
                <w:szCs w:val="15"/>
                <w:b w:val="1"/>
                <w:bCs w:val="1"/>
                <w:color w:val="auto"/>
              </w:rPr>
              <w:t>3,875</w:t>
            </w:r>
          </w:p>
        </w:tc>
        <w:tc>
          <w:tcPr>
            <w:tcW w:w="1400" w:type="dxa"/>
            <w:vAlign w:val="bottom"/>
            <w:tcBorders>
              <w:bottom w:val="single" w:sz="8" w:color="77943C"/>
            </w:tcBorders>
          </w:tcPr>
          <w:p>
            <w:pPr>
              <w:jc w:val="right"/>
              <w:ind w:right="345"/>
              <w:spacing w:after="0"/>
              <w:rPr>
                <w:sz w:val="20"/>
                <w:szCs w:val="20"/>
                <w:color w:val="auto"/>
              </w:rPr>
            </w:pPr>
            <w:r>
              <w:rPr>
                <w:rFonts w:ascii="Arial" w:cs="Arial" w:eastAsia="Arial" w:hAnsi="Arial"/>
                <w:sz w:val="15"/>
                <w:szCs w:val="15"/>
                <w:b w:val="1"/>
                <w:bCs w:val="1"/>
                <w:color w:val="auto"/>
              </w:rPr>
              <w:t>90,440</w:t>
            </w:r>
          </w:p>
        </w:tc>
        <w:tc>
          <w:tcPr>
            <w:tcW w:w="1100" w:type="dxa"/>
            <w:vAlign w:val="bottom"/>
            <w:tcBorders>
              <w:bottom w:val="single" w:sz="8" w:color="77943C"/>
            </w:tcBorders>
          </w:tcPr>
          <w:p>
            <w:pPr>
              <w:jc w:val="right"/>
              <w:ind w:right="67"/>
              <w:spacing w:after="0"/>
              <w:rPr>
                <w:sz w:val="20"/>
                <w:szCs w:val="20"/>
                <w:color w:val="auto"/>
              </w:rPr>
            </w:pPr>
            <w:r>
              <w:rPr>
                <w:rFonts w:ascii="Arial" w:cs="Arial" w:eastAsia="Arial" w:hAnsi="Arial"/>
                <w:sz w:val="15"/>
                <w:szCs w:val="15"/>
                <w:b w:val="1"/>
                <w:bCs w:val="1"/>
                <w:color w:val="auto"/>
              </w:rPr>
              <w:t>61,480</w:t>
            </w:r>
          </w:p>
        </w:tc>
        <w:tc>
          <w:tcPr>
            <w:tcW w:w="1720" w:type="dxa"/>
            <w:vAlign w:val="bottom"/>
            <w:tcBorders>
              <w:bottom w:val="single" w:sz="8" w:color="77943C"/>
            </w:tcBorders>
          </w:tcPr>
          <w:p>
            <w:pPr>
              <w:jc w:val="right"/>
              <w:ind w:right="387"/>
              <w:spacing w:after="0"/>
              <w:rPr>
                <w:sz w:val="20"/>
                <w:szCs w:val="20"/>
                <w:color w:val="auto"/>
              </w:rPr>
            </w:pPr>
            <w:r>
              <w:rPr>
                <w:rFonts w:ascii="Arial" w:cs="Arial" w:eastAsia="Arial" w:hAnsi="Arial"/>
                <w:sz w:val="15"/>
                <w:szCs w:val="15"/>
                <w:b w:val="1"/>
                <w:bCs w:val="1"/>
                <w:color w:val="auto"/>
              </w:rPr>
              <w:t>151,920</w:t>
            </w:r>
          </w:p>
        </w:tc>
        <w:tc>
          <w:tcPr>
            <w:tcW w:w="94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65,300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380" w:type="dxa"/>
            <w:vAlign w:val="bottom"/>
            <w:tcBorders>
              <w:bottom w:val="single" w:sz="8" w:color="77943C"/>
            </w:tcBorders>
          </w:tcPr>
          <w:p>
            <w:pPr>
              <w:spacing w:after="0" w:line="20" w:lineRule="exact"/>
              <w:rPr>
                <w:sz w:val="1"/>
                <w:szCs w:val="1"/>
                <w:color w:val="auto"/>
              </w:rPr>
            </w:pPr>
          </w:p>
        </w:tc>
        <w:tc>
          <w:tcPr>
            <w:tcW w:w="1400" w:type="dxa"/>
            <w:vAlign w:val="bottom"/>
            <w:tcBorders>
              <w:bottom w:val="single" w:sz="8" w:color="77943C"/>
            </w:tcBorders>
          </w:tcPr>
          <w:p>
            <w:pPr>
              <w:spacing w:after="0" w:line="20" w:lineRule="exact"/>
              <w:rPr>
                <w:sz w:val="1"/>
                <w:szCs w:val="1"/>
                <w:color w:val="auto"/>
              </w:rPr>
            </w:pPr>
          </w:p>
        </w:tc>
        <w:tc>
          <w:tcPr>
            <w:tcW w:w="1100" w:type="dxa"/>
            <w:vAlign w:val="bottom"/>
            <w:tcBorders>
              <w:bottom w:val="single" w:sz="8" w:color="77943C"/>
            </w:tcBorders>
          </w:tcPr>
          <w:p>
            <w:pPr>
              <w:spacing w:after="0" w:line="20" w:lineRule="exact"/>
              <w:rPr>
                <w:sz w:val="1"/>
                <w:szCs w:val="1"/>
                <w:color w:val="auto"/>
              </w:rPr>
            </w:pPr>
          </w:p>
        </w:tc>
        <w:tc>
          <w:tcPr>
            <w:tcW w:w="1720" w:type="dxa"/>
            <w:vAlign w:val="bottom"/>
            <w:tcBorders>
              <w:bottom w:val="single" w:sz="8" w:color="77943C"/>
            </w:tcBorders>
          </w:tcPr>
          <w:p>
            <w:pPr>
              <w:spacing w:after="0" w:line="20" w:lineRule="exact"/>
              <w:rPr>
                <w:sz w:val="1"/>
                <w:szCs w:val="1"/>
                <w:color w:val="auto"/>
              </w:rPr>
            </w:pPr>
          </w:p>
        </w:tc>
        <w:tc>
          <w:tcPr>
            <w:tcW w:w="940" w:type="dxa"/>
            <w:vAlign w:val="bottom"/>
            <w:tcBorders>
              <w:bottom w:val="single" w:sz="8" w:color="7794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Gypsum resources are shown on an in situ basis.</w:t>
      </w:r>
    </w:p>
    <w:p>
      <w:pPr>
        <w:spacing w:after="0" w:line="3" w:lineRule="exact"/>
        <w:rPr>
          <w:rFonts w:ascii="Arial" w:cs="Arial" w:eastAsia="Arial" w:hAnsi="Arial"/>
          <w:sz w:val="19"/>
          <w:szCs w:val="19"/>
          <w:color w:val="auto"/>
          <w:vertAlign w:val="superscript"/>
        </w:rPr>
      </w:pPr>
    </w:p>
    <w:p>
      <w:pPr>
        <w:ind w:left="240" w:right="660" w:hanging="232"/>
        <w:spacing w:after="0" w:line="216" w:lineRule="auto"/>
        <w:tabs>
          <w:tab w:leader="none" w:pos="45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$13.50 to $16.50 per ton, depending on location and market.</w:t>
      </w:r>
    </w:p>
    <w:p>
      <w:pPr>
        <w:ind w:left="440" w:hanging="432"/>
        <w:spacing w:after="0" w:line="199" w:lineRule="auto"/>
        <w:tabs>
          <w:tab w:leader="none" w:pos="4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Million Square Feet (MMSF) based on anticipated product mix.</w:t>
      </w:r>
    </w:p>
    <w:p>
      <w:pPr>
        <w:spacing w:after="0" w:line="3"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same resources serve both New Mexico plants.</w:t>
      </w:r>
    </w:p>
    <w:p>
      <w:pPr>
        <w:spacing w:after="0" w:line="16"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gypsum reserves at March 31, 2023:</w:t>
      </w:r>
    </w:p>
    <w:p>
      <w:pPr>
        <w:spacing w:after="0" w:line="22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 xml:space="preserve">Gypsum Reserves </w:t>
      </w:r>
      <w:r>
        <w:rPr>
          <w:rFonts w:ascii="Arial" w:cs="Arial" w:eastAsia="Arial" w:hAnsi="Arial"/>
          <w:sz w:val="21"/>
          <w:szCs w:val="21"/>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-5715</wp:posOffset>
            </wp:positionV>
            <wp:extent cx="3763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6364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jc w:val="right"/>
              <w:ind w:right="308"/>
              <w:spacing w:after="0"/>
              <w:rPr>
                <w:sz w:val="20"/>
                <w:szCs w:val="20"/>
                <w:color w:val="auto"/>
              </w:rPr>
            </w:pPr>
            <w:r>
              <w:rPr>
                <w:rFonts w:ascii="Arial" w:cs="Arial" w:eastAsia="Arial" w:hAnsi="Arial"/>
                <w:sz w:val="13"/>
                <w:szCs w:val="13"/>
                <w:color w:val="auto"/>
              </w:rPr>
              <w:t>(tons in thousands)</w:t>
            </w: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91"/>
        </w:trPr>
        <w:tc>
          <w:tcPr>
            <w:tcW w:w="5180" w:type="dxa"/>
            <w:vAlign w:val="bottom"/>
            <w:tcBorders>
              <w:bottom w:val="single" w:sz="8" w:color="77943C"/>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Proven</w:t>
            </w:r>
          </w:p>
        </w:tc>
        <w:tc>
          <w:tcPr>
            <w:tcW w:w="140" w:type="dxa"/>
            <w:vAlign w:val="bottom"/>
          </w:tcPr>
          <w:p>
            <w:pPr>
              <w:spacing w:after="0"/>
              <w:rPr>
                <w:sz w:val="16"/>
                <w:szCs w:val="16"/>
                <w:color w:val="auto"/>
              </w:rPr>
            </w:pP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Probable</w:t>
            </w:r>
          </w:p>
        </w:tc>
        <w:tc>
          <w:tcPr>
            <w:tcW w:w="120" w:type="dxa"/>
            <w:vAlign w:val="bottom"/>
          </w:tcPr>
          <w:p>
            <w:pPr>
              <w:spacing w:after="0"/>
              <w:rPr>
                <w:sz w:val="16"/>
                <w:szCs w:val="16"/>
                <w:color w:val="auto"/>
              </w:rPr>
            </w:pPr>
          </w:p>
        </w:tc>
        <w:tc>
          <w:tcPr>
            <w:tcW w:w="1920" w:type="dxa"/>
            <w:vAlign w:val="bottom"/>
            <w:tcBorders>
              <w:bottom w:val="single" w:sz="8" w:color="77943C"/>
            </w:tcBorders>
          </w:tcPr>
          <w:p>
            <w:pPr>
              <w:jc w:val="right"/>
              <w:ind w:right="146"/>
              <w:spacing w:after="0"/>
              <w:rPr>
                <w:sz w:val="20"/>
                <w:szCs w:val="20"/>
                <w:color w:val="auto"/>
              </w:rPr>
            </w:pPr>
            <w:r>
              <w:rPr>
                <w:rFonts w:ascii="Arial" w:cs="Arial" w:eastAsia="Arial" w:hAnsi="Arial"/>
                <w:sz w:val="13"/>
                <w:szCs w:val="13"/>
                <w:b w:val="1"/>
                <w:bCs w:val="1"/>
                <w:color w:val="auto"/>
              </w:rPr>
              <w:t>Total Proven &amp; Probable</w:t>
            </w: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1860" w:type="dxa"/>
            <w:vAlign w:val="bottom"/>
          </w:tcPr>
          <w:p>
            <w:pPr>
              <w:jc w:val="right"/>
              <w:spacing w:after="0"/>
              <w:rPr>
                <w:sz w:val="20"/>
                <w:szCs w:val="20"/>
                <w:color w:val="auto"/>
              </w:rPr>
            </w:pPr>
            <w:r>
              <w:rPr>
                <w:rFonts w:ascii="Arial" w:cs="Arial" w:eastAsia="Arial" w:hAnsi="Arial"/>
                <w:sz w:val="15"/>
                <w:szCs w:val="15"/>
                <w:color w:val="auto"/>
              </w:rPr>
              <w:t>19,880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3,650</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23,530</w:t>
            </w:r>
          </w:p>
        </w:tc>
      </w:tr>
      <w:tr>
        <w:trPr>
          <w:trHeight w:val="210"/>
        </w:trPr>
        <w:tc>
          <w:tcPr>
            <w:tcW w:w="518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(3)</w:t>
            </w:r>
          </w:p>
        </w:tc>
        <w:tc>
          <w:tcPr>
            <w:tcW w:w="1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18"/>
                <w:szCs w:val="18"/>
                <w:color w:val="auto"/>
              </w:rPr>
            </w:pPr>
          </w:p>
        </w:tc>
        <w:tc>
          <w:tcPr>
            <w:tcW w:w="1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1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r>
      <w:tr>
        <w:trPr>
          <w:trHeight w:val="210"/>
        </w:trPr>
        <w:tc>
          <w:tcPr>
            <w:tcW w:w="5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Colorado</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17,700</w:t>
            </w:r>
          </w:p>
        </w:tc>
        <w:tc>
          <w:tcPr>
            <w:tcW w:w="140" w:type="dxa"/>
            <w:vAlign w:val="bottom"/>
          </w:tcPr>
          <w:p>
            <w:pPr>
              <w:spacing w:after="0"/>
              <w:rPr>
                <w:sz w:val="18"/>
                <w:szCs w:val="18"/>
                <w:color w:val="auto"/>
              </w:rPr>
            </w:pPr>
          </w:p>
        </w:tc>
        <w:tc>
          <w:tcPr>
            <w:tcW w:w="18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2,300</w:t>
            </w:r>
          </w:p>
        </w:tc>
        <w:tc>
          <w:tcPr>
            <w:tcW w:w="120" w:type="dxa"/>
            <w:vAlign w:val="bottom"/>
          </w:tcPr>
          <w:p>
            <w:pPr>
              <w:spacing w:after="0"/>
              <w:rPr>
                <w:sz w:val="18"/>
                <w:szCs w:val="18"/>
                <w:color w:val="auto"/>
              </w:rPr>
            </w:pPr>
          </w:p>
        </w:tc>
        <w:tc>
          <w:tcPr>
            <w:tcW w:w="19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20,000</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77943C"/>
              </w:rPr>
              <w:t>Duke, Oklahoma</w:t>
            </w:r>
          </w:p>
        </w:tc>
        <w:tc>
          <w:tcPr>
            <w:tcW w:w="1860" w:type="dxa"/>
            <w:vAlign w:val="bottom"/>
          </w:tcPr>
          <w:p>
            <w:pPr>
              <w:jc w:val="right"/>
              <w:spacing w:after="0"/>
              <w:rPr>
                <w:sz w:val="20"/>
                <w:szCs w:val="20"/>
                <w:color w:val="auto"/>
              </w:rPr>
            </w:pPr>
            <w:r>
              <w:rPr>
                <w:rFonts w:ascii="Arial" w:cs="Arial" w:eastAsia="Arial" w:hAnsi="Arial"/>
                <w:sz w:val="15"/>
                <w:szCs w:val="15"/>
                <w:color w:val="auto"/>
              </w:rPr>
              <w:t>6,630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18,350</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24,980</w:t>
            </w:r>
          </w:p>
        </w:tc>
      </w:tr>
      <w:tr>
        <w:trPr>
          <w:trHeight w:val="209"/>
        </w:trPr>
        <w:tc>
          <w:tcPr>
            <w:tcW w:w="51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 xml:space="preserve">Georgetown, South Carolina </w:t>
            </w:r>
            <w:r>
              <w:rPr>
                <w:rFonts w:ascii="Arial" w:cs="Arial" w:eastAsia="Arial" w:hAnsi="Arial"/>
                <w:sz w:val="21"/>
                <w:szCs w:val="21"/>
                <w:b w:val="1"/>
                <w:bCs w:val="1"/>
                <w:color w:val="77943C"/>
                <w:vertAlign w:val="superscript"/>
              </w:rPr>
              <w:t>(4)</w:t>
            </w:r>
          </w:p>
        </w:tc>
        <w:tc>
          <w:tcPr>
            <w:tcW w:w="186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18"/>
                <w:szCs w:val="18"/>
                <w:color w:val="auto"/>
              </w:rPr>
            </w:pPr>
          </w:p>
        </w:tc>
        <w:tc>
          <w:tcPr>
            <w:tcW w:w="188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1920" w:type="dxa"/>
            <w:vAlign w:val="bottom"/>
            <w:tcBorders>
              <w:top w:val="single" w:sz="8" w:color="A6A6A6"/>
              <w:bottom w:val="single" w:sz="8" w:color="77943C"/>
            </w:tcBorders>
          </w:tcPr>
          <w:p>
            <w:pPr>
              <w:jc w:val="right"/>
              <w:spacing w:after="0"/>
              <w:rPr>
                <w:sz w:val="20"/>
                <w:szCs w:val="20"/>
                <w:color w:val="auto"/>
              </w:rPr>
            </w:pPr>
            <w:r>
              <w:rPr>
                <w:rFonts w:ascii="Arial" w:cs="Arial" w:eastAsia="Arial" w:hAnsi="Arial"/>
                <w:sz w:val="15"/>
                <w:szCs w:val="15"/>
                <w:color w:val="auto"/>
              </w:rPr>
              <w:t>n/a</w:t>
            </w:r>
          </w:p>
        </w:tc>
      </w:tr>
      <w:tr>
        <w:trPr>
          <w:trHeight w:val="183"/>
        </w:trPr>
        <w:tc>
          <w:tcPr>
            <w:tcW w:w="518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44,210</w:t>
            </w:r>
          </w:p>
        </w:tc>
        <w:tc>
          <w:tcPr>
            <w:tcW w:w="140" w:type="dxa"/>
            <w:vAlign w:val="bottom"/>
          </w:tcPr>
          <w:p>
            <w:pPr>
              <w:spacing w:after="0"/>
              <w:rPr>
                <w:sz w:val="15"/>
                <w:szCs w:val="15"/>
                <w:color w:val="auto"/>
              </w:rPr>
            </w:pP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24,300</w:t>
            </w:r>
          </w:p>
        </w:tc>
        <w:tc>
          <w:tcPr>
            <w:tcW w:w="120" w:type="dxa"/>
            <w:vAlign w:val="bottom"/>
          </w:tcPr>
          <w:p>
            <w:pPr>
              <w:spacing w:after="0"/>
              <w:rPr>
                <w:sz w:val="15"/>
                <w:szCs w:val="15"/>
                <w:color w:val="auto"/>
              </w:rPr>
            </w:pPr>
          </w:p>
        </w:tc>
        <w:tc>
          <w:tcPr>
            <w:tcW w:w="1920" w:type="dxa"/>
            <w:vAlign w:val="bottom"/>
            <w:tcBorders>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68,510</w:t>
            </w:r>
          </w:p>
        </w:tc>
      </w:tr>
      <w:tr>
        <w:trPr>
          <w:trHeight w:val="20"/>
        </w:trPr>
        <w:tc>
          <w:tcPr>
            <w:tcW w:w="5180" w:type="dxa"/>
            <w:vAlign w:val="bottom"/>
          </w:tcPr>
          <w:p>
            <w:pPr>
              <w:spacing w:after="0" w:line="20" w:lineRule="exact"/>
              <w:rPr>
                <w:sz w:val="1"/>
                <w:szCs w:val="1"/>
                <w:color w:val="auto"/>
              </w:rPr>
            </w:pPr>
          </w:p>
        </w:tc>
        <w:tc>
          <w:tcPr>
            <w:tcW w:w="1860" w:type="dxa"/>
            <w:vAlign w:val="bottom"/>
            <w:tcBorders>
              <w:bottom w:val="single" w:sz="8" w:color="77943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bottom w:val="single" w:sz="8" w:color="77943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77943C"/>
            </w:tcBorders>
          </w:tcPr>
          <w:p>
            <w:pPr>
              <w:spacing w:after="0" w:line="20" w:lineRule="exact"/>
              <w:rPr>
                <w:sz w:val="1"/>
                <w:szCs w:val="1"/>
                <w:color w:val="auto"/>
              </w:rPr>
            </w:pPr>
          </w:p>
        </w:tc>
      </w:tr>
    </w:tbl>
    <w:p>
      <w:pPr>
        <w:spacing w:after="0" w:line="86"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Gypsum reserves are shown on a recoverable basis.</w:t>
      </w:r>
    </w:p>
    <w:p>
      <w:pPr>
        <w:spacing w:after="0" w:line="16"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economic viability of our reserves were determined using average gypsum prices ranging from $13.50 to $16.50 per ton, depending on location and market.</w:t>
      </w:r>
    </w:p>
    <w:p>
      <w:pPr>
        <w:spacing w:after="0" w:line="3"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same reserves serve both New Mexico plants.</w:t>
      </w:r>
    </w:p>
    <w:p>
      <w:pPr>
        <w:spacing w:after="0" w:line="16"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2068.</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Below is a summary the annual production volumes from our gypsum quarries:</w:t>
      </w:r>
    </w:p>
    <w:p>
      <w:pPr>
        <w:spacing w:after="0" w:line="193"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Tons Mined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37636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6364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jc w:val="right"/>
              <w:ind w:right="309"/>
              <w:spacing w:after="0"/>
              <w:rPr>
                <w:sz w:val="20"/>
                <w:szCs w:val="20"/>
                <w:color w:val="auto"/>
              </w:rPr>
            </w:pPr>
            <w:r>
              <w:rPr>
                <w:rFonts w:ascii="Arial" w:cs="Arial" w:eastAsia="Arial" w:hAnsi="Arial"/>
                <w:sz w:val="13"/>
                <w:szCs w:val="13"/>
                <w:color w:val="auto"/>
              </w:rPr>
              <w:t>(tons in thousands)</w:t>
            </w: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91"/>
        </w:trPr>
        <w:tc>
          <w:tcPr>
            <w:tcW w:w="5180" w:type="dxa"/>
            <w:vAlign w:val="bottom"/>
            <w:tcBorders>
              <w:bottom w:val="single" w:sz="8" w:color="77943C"/>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186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6"/>
                <w:szCs w:val="16"/>
                <w:color w:val="auto"/>
              </w:rPr>
            </w:pPr>
          </w:p>
        </w:tc>
        <w:tc>
          <w:tcPr>
            <w:tcW w:w="188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6"/>
                <w:szCs w:val="16"/>
                <w:color w:val="auto"/>
              </w:rPr>
            </w:pPr>
          </w:p>
        </w:tc>
        <w:tc>
          <w:tcPr>
            <w:tcW w:w="192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2021</w:t>
            </w: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1860" w:type="dxa"/>
            <w:vAlign w:val="bottom"/>
          </w:tcPr>
          <w:p>
            <w:pPr>
              <w:jc w:val="right"/>
              <w:spacing w:after="0"/>
              <w:rPr>
                <w:sz w:val="20"/>
                <w:szCs w:val="20"/>
                <w:color w:val="auto"/>
              </w:rPr>
            </w:pPr>
            <w:r>
              <w:rPr>
                <w:rFonts w:ascii="Arial" w:cs="Arial" w:eastAsia="Arial" w:hAnsi="Arial"/>
                <w:sz w:val="15"/>
                <w:szCs w:val="15"/>
                <w:color w:val="auto"/>
              </w:rPr>
              <w:t>470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444</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520</w:t>
            </w:r>
          </w:p>
        </w:tc>
      </w:tr>
      <w:tr>
        <w:trPr>
          <w:trHeight w:val="209"/>
        </w:trPr>
        <w:tc>
          <w:tcPr>
            <w:tcW w:w="5180" w:type="dxa"/>
            <w:vAlign w:val="bottom"/>
            <w:tcBorders>
              <w:top w:val="single" w:sz="8" w:color="A6A6A6"/>
              <w:bottom w:val="single" w:sz="8" w:color="A6A6A6"/>
            </w:tcBorders>
          </w:tcPr>
          <w:p>
            <w:pPr>
              <w:ind w:left="20"/>
              <w:spacing w:after="0" w:line="210"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(1)</w:t>
            </w:r>
          </w:p>
        </w:tc>
        <w:tc>
          <w:tcPr>
            <w:tcW w:w="1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18"/>
                <w:szCs w:val="18"/>
                <w:color w:val="auto"/>
              </w:rPr>
            </w:pPr>
          </w:p>
        </w:tc>
        <w:tc>
          <w:tcPr>
            <w:tcW w:w="1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1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r>
      <w:tr>
        <w:trPr>
          <w:trHeight w:val="210"/>
        </w:trPr>
        <w:tc>
          <w:tcPr>
            <w:tcW w:w="5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Colorado</w:t>
            </w:r>
          </w:p>
        </w:tc>
        <w:tc>
          <w:tcPr>
            <w:tcW w:w="18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595</w:t>
            </w:r>
          </w:p>
        </w:tc>
        <w:tc>
          <w:tcPr>
            <w:tcW w:w="140" w:type="dxa"/>
            <w:vAlign w:val="bottom"/>
          </w:tcPr>
          <w:p>
            <w:pPr>
              <w:spacing w:after="0"/>
              <w:rPr>
                <w:sz w:val="18"/>
                <w:szCs w:val="18"/>
                <w:color w:val="auto"/>
              </w:rPr>
            </w:pPr>
          </w:p>
        </w:tc>
        <w:tc>
          <w:tcPr>
            <w:tcW w:w="18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496</w:t>
            </w:r>
          </w:p>
        </w:tc>
        <w:tc>
          <w:tcPr>
            <w:tcW w:w="120" w:type="dxa"/>
            <w:vAlign w:val="bottom"/>
          </w:tcPr>
          <w:p>
            <w:pPr>
              <w:spacing w:after="0"/>
              <w:rPr>
                <w:sz w:val="18"/>
                <w:szCs w:val="18"/>
                <w:color w:val="auto"/>
              </w:rPr>
            </w:pPr>
          </w:p>
        </w:tc>
        <w:tc>
          <w:tcPr>
            <w:tcW w:w="19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550</w:t>
            </w:r>
          </w:p>
        </w:tc>
      </w:tr>
      <w:tr>
        <w:trPr>
          <w:trHeight w:val="209"/>
        </w:trPr>
        <w:tc>
          <w:tcPr>
            <w:tcW w:w="5180" w:type="dxa"/>
            <w:vAlign w:val="bottom"/>
          </w:tcPr>
          <w:p>
            <w:pPr>
              <w:ind w:left="20"/>
              <w:spacing w:after="0" w:line="183" w:lineRule="exact"/>
              <w:rPr>
                <w:sz w:val="20"/>
                <w:szCs w:val="20"/>
                <w:color w:val="auto"/>
              </w:rPr>
            </w:pPr>
            <w:r>
              <w:rPr>
                <w:rFonts w:ascii="Arial" w:cs="Arial" w:eastAsia="Arial" w:hAnsi="Arial"/>
                <w:sz w:val="16"/>
                <w:szCs w:val="16"/>
                <w:b w:val="1"/>
                <w:bCs w:val="1"/>
                <w:color w:val="77943C"/>
              </w:rPr>
              <w:t>Duke, Oklahoma</w:t>
            </w:r>
          </w:p>
        </w:tc>
        <w:tc>
          <w:tcPr>
            <w:tcW w:w="1860" w:type="dxa"/>
            <w:vAlign w:val="bottom"/>
          </w:tcPr>
          <w:p>
            <w:pPr>
              <w:jc w:val="right"/>
              <w:spacing w:after="0"/>
              <w:rPr>
                <w:sz w:val="20"/>
                <w:szCs w:val="20"/>
                <w:color w:val="auto"/>
              </w:rPr>
            </w:pPr>
            <w:r>
              <w:rPr>
                <w:rFonts w:ascii="Arial" w:cs="Arial" w:eastAsia="Arial" w:hAnsi="Arial"/>
                <w:sz w:val="15"/>
                <w:szCs w:val="15"/>
                <w:color w:val="auto"/>
              </w:rPr>
              <w:t>850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607</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405</w:t>
            </w:r>
          </w:p>
        </w:tc>
      </w:tr>
      <w:tr>
        <w:trPr>
          <w:trHeight w:val="183"/>
        </w:trPr>
        <w:tc>
          <w:tcPr>
            <w:tcW w:w="5180" w:type="dxa"/>
            <w:vAlign w:val="bottom"/>
            <w:tcBorders>
              <w:top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60" w:type="dxa"/>
            <w:vAlign w:val="bottom"/>
            <w:tcBorders>
              <w:top w:val="single" w:sz="8" w:color="77943C"/>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1,915</w:t>
            </w:r>
          </w:p>
        </w:tc>
        <w:tc>
          <w:tcPr>
            <w:tcW w:w="140" w:type="dxa"/>
            <w:vAlign w:val="bottom"/>
          </w:tcPr>
          <w:p>
            <w:pPr>
              <w:spacing w:after="0"/>
              <w:rPr>
                <w:sz w:val="15"/>
                <w:szCs w:val="15"/>
                <w:color w:val="auto"/>
              </w:rPr>
            </w:pPr>
          </w:p>
        </w:tc>
        <w:tc>
          <w:tcPr>
            <w:tcW w:w="1880" w:type="dxa"/>
            <w:vAlign w:val="bottom"/>
            <w:tcBorders>
              <w:top w:val="single" w:sz="8" w:color="77943C"/>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1,547</w:t>
            </w:r>
          </w:p>
        </w:tc>
        <w:tc>
          <w:tcPr>
            <w:tcW w:w="120" w:type="dxa"/>
            <w:vAlign w:val="bottom"/>
          </w:tcPr>
          <w:p>
            <w:pPr>
              <w:spacing w:after="0"/>
              <w:rPr>
                <w:sz w:val="15"/>
                <w:szCs w:val="15"/>
                <w:color w:val="auto"/>
              </w:rPr>
            </w:pPr>
          </w:p>
        </w:tc>
        <w:tc>
          <w:tcPr>
            <w:tcW w:w="1920" w:type="dxa"/>
            <w:vAlign w:val="bottom"/>
            <w:tcBorders>
              <w:top w:val="single" w:sz="8" w:color="77943C"/>
              <w:bottom w:val="single" w:sz="8" w:color="77943C"/>
            </w:tcBorders>
          </w:tcPr>
          <w:p>
            <w:pPr>
              <w:jc w:val="right"/>
              <w:spacing w:after="0"/>
              <w:rPr>
                <w:sz w:val="20"/>
                <w:szCs w:val="20"/>
                <w:color w:val="auto"/>
              </w:rPr>
            </w:pPr>
            <w:r>
              <w:rPr>
                <w:rFonts w:ascii="Arial" w:cs="Arial" w:eastAsia="Arial" w:hAnsi="Arial"/>
                <w:sz w:val="15"/>
                <w:szCs w:val="15"/>
                <w:b w:val="1"/>
                <w:bCs w:val="1"/>
                <w:color w:val="auto"/>
              </w:rPr>
              <w:t>1,475</w:t>
            </w:r>
          </w:p>
        </w:tc>
      </w:tr>
      <w:tr>
        <w:trPr>
          <w:trHeight w:val="20"/>
        </w:trPr>
        <w:tc>
          <w:tcPr>
            <w:tcW w:w="5180" w:type="dxa"/>
            <w:vAlign w:val="bottom"/>
          </w:tcPr>
          <w:p>
            <w:pPr>
              <w:spacing w:after="0" w:line="20" w:lineRule="exact"/>
              <w:rPr>
                <w:sz w:val="1"/>
                <w:szCs w:val="1"/>
                <w:color w:val="auto"/>
              </w:rPr>
            </w:pPr>
          </w:p>
        </w:tc>
        <w:tc>
          <w:tcPr>
            <w:tcW w:w="1860" w:type="dxa"/>
            <w:vAlign w:val="bottom"/>
            <w:tcBorders>
              <w:bottom w:val="single" w:sz="8" w:color="77943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bottom w:val="single" w:sz="8" w:color="77943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77943C"/>
            </w:tcBorders>
          </w:tcPr>
          <w:p>
            <w:pPr>
              <w:spacing w:after="0" w:line="20" w:lineRule="exact"/>
              <w:rPr>
                <w:sz w:val="1"/>
                <w:szCs w:val="1"/>
                <w:color w:val="auto"/>
              </w:rPr>
            </w:pPr>
          </w:p>
        </w:tc>
      </w:tr>
    </w:tbl>
    <w:p>
      <w:pPr>
        <w:spacing w:after="0" w:line="86"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The same reserves serve both New Mexico plants.</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total measured and indicated gypsum resources were 151.9 million tons at March 31, 2023, compared with 141.9 million tons at March 31, 2022. The 7% increase in measured and indicated resources was due primarily to comfirmation of additional resources from exploration at our Gypsum, Colorado mine. Our total proven and probable reserves were 68.5 million tons at March 31, 2023, compared with 62.5 million tons at March 31, 2022. The 10% increase in proven and probable reserves was due to discovery of additional reserves from exploration at our Gypsum, Colorado mine.</w:t>
      </w:r>
    </w:p>
    <w:p>
      <w:pPr>
        <w:spacing w:after="0" w:line="18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internal controls over our gypsum resource and reserve estimates are similar to those in our Cement business. See the Internal Controls section in the Cement segment discussion for a more detailed description of our internal controls over resource and reserve estimation.</w:t>
      </w:r>
    </w:p>
    <w:p>
      <w:pPr>
        <w:spacing w:after="0" w:line="6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Our Gypsum Wallboard production totaled 3,123 MMSF in fiscal 2023 and 2,982 MMSF in fiscal 2022. Total Gypsum Wallboard sales were 3,065 MMSF in fiscal 2023 and 2,944 MMSF in fiscal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Demand, Sales, and Distribution</w:t>
      </w:r>
    </w:p>
    <w:p>
      <w:pPr>
        <w:spacing w:after="0" w:line="114"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The principal sources of demand for gypsum wallboard are (i) residential construction, (ii) repair and remodel activities, (iii) nonresidential construction, and (iv) other markets such as manufactured housing. According to the Gypsum Association, industry shipments of gypsum wallboard increased 3% to 28.2 billion square feet in calendar 2022. We estimate that residential construction and repair and remodel accounted for more than 80% of calendar 2022 industry sales.</w:t>
      </w:r>
    </w:p>
    <w:p>
      <w:pPr>
        <w:spacing w:after="0" w:line="8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Demand for gypsum wallboard closely follows construction industry cycles, particularly housing construction. Demand for wallboard can be seasonal and is generally highest from spring through the middle of autumn.</w:t>
      </w:r>
    </w:p>
    <w:p>
      <w:pPr>
        <w:spacing w:after="0" w:line="65"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We sell gypsum wallboard to numerous building-materials dealers, gypsum wallboard specialty distributors, lumber yards, home-center chains, and other customers located throughout the United States, with the exception of the Northeast. Gypsum wallboard is sold on a delivered basis, mostly by truck. We generally use third-party common carriers for deliveries. Three customers collectively accounted for approximately 45% of our Gypsum Wallboard segment sales during fiscal 2023.</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5% of our Wallboard volume sold during fiscal 2023 was delivered via rail.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22" w:name="page23"/>
    <w:bookmarkEnd w:id="22"/>
    <w:p>
      <w:pPr>
        <w:ind w:right="120"/>
        <w:spacing w:after="0" w:line="243" w:lineRule="auto"/>
        <w:rPr>
          <w:sz w:val="20"/>
          <w:szCs w:val="20"/>
          <w:color w:val="auto"/>
        </w:rPr>
      </w:pPr>
      <w:r>
        <w:rPr>
          <w:rFonts w:ascii="Arial" w:cs="Arial" w:eastAsia="Arial" w:hAnsi="Arial"/>
          <w:sz w:val="18"/>
          <w:szCs w:val="18"/>
          <w:color w:val="auto"/>
        </w:rPr>
        <w:t>There are currently six manufacturers of gypsum wallboard in the U.S., operating a total of 61 plants with a total of 71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34.9 billion square feet per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Raw Materials and Fuel Supplies</w:t>
      </w:r>
    </w:p>
    <w:p>
      <w:pPr>
        <w:spacing w:after="0" w:line="114"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We mine and extract natural gypsum, the principal raw material used in the manufacture of gypsum wallboard, from quarries owned, leased, or subject to mining claims owned by the Company and located near our plants. Our New Mexico reserves are under lease with the Pueblo of Zia. Gypsum ore reserves at the Gypsum, Colorado plant are contained within a total of 115 placer claims encompassing 2,300 acres.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Included in this are 94 unpatented mining claims, where mineral rights can be developed upon completion of permitting requirements. We are currently in the fifteenth year of a 60-year supply agreement (original 20 -year term with two 20-year extension options) with a public utility in South Carolina for synthetic gypsum, which we use at our Georgetown, South Carolina plant. If the utility is unable to generate the agreed-upon amount of gypsum, it is responsible for providing gypsum from a third party to fulfill its obligations.</w:t>
      </w:r>
    </w:p>
    <w:p>
      <w:pPr>
        <w:spacing w:after="0" w:line="8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Through our modern low-cost paperboard mill, we manufacture sufficient quantities of paper necessary for our gypsum wallboard production. Paper is a significant cost component in the manufacture of gypsum wallboard, currently representing approximately one-third of our production cost. Paper costs are expected to be relatively consistent throughout fiscal 2024. See Raw Materials and Fuel Supplies in the Recycled Paperboard section for more discussion.</w:t>
      </w:r>
    </w:p>
    <w:p>
      <w:pPr>
        <w:spacing w:after="0" w:line="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gypsum wallboard manufacturing operations use natural gas and electrical power. A significant portion of the Company’s natural gas requirements for our gypsum wallboard plants are currently provided by three gas producers under gas-supply agreements expiring in October 2023 for Colorado and South Carolina, and October 2024 for Oklahoma. If the agreements are not renewed, we anticipate being able to obtain our gas supplies from other suppliers at competitive prices. Electrical power is supplied to our New Mexico plants at standard industrial rates by a local utility. For our Albuquerque plant, we have an interruptible power supply agreement, which may expose it to some production interruptions during periods of power curtailment.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approximately 12% of our production costs in fiscal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Environmental Matters</w:t>
      </w:r>
    </w:p>
    <w:p>
      <w:pPr>
        <w:spacing w:after="0" w:line="1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gypsum wallboard industry is subject to numerous federal, state, and local laws and regulations pertaining to health, safety, and the environment. Some of these laws, such as the federal CAA and the federal CWA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Other laws require us to reclaim certain land upon completion of extraction and mining operations in our quarries. None of our Gypsum Wallboard operations is the subject of any pending local, state, or federal environmental proceedings. We do not, and have not, used asbestos in any of our gypsum wallboard products.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23" w:name="page24"/>
    <w:bookmarkEnd w:id="23"/>
    <w:p>
      <w:pPr>
        <w:ind w:right="40"/>
        <w:spacing w:after="0" w:line="237" w:lineRule="auto"/>
        <w:rPr>
          <w:sz w:val="20"/>
          <w:szCs w:val="20"/>
          <w:color w:val="auto"/>
        </w:rPr>
      </w:pPr>
      <w:r>
        <w:rPr>
          <w:rFonts w:ascii="Arial" w:cs="Arial" w:eastAsia="Arial" w:hAnsi="Arial"/>
          <w:sz w:val="18"/>
          <w:szCs w:val="18"/>
          <w:color w:val="auto"/>
        </w:rPr>
        <w:t>We use synthetic gypsum in wallboard manufactured at our Georgetown, South Carolina plant. On April 17, 2015, the EPA published its final rule addressing the storage, reuse, and disposal of coal combustion products, which include fly ash and flue gas desulfurization gypsum (synthetic gypsum). The rule, which applies only to electric utilities and independent power producers, establishes standards for the management of coal combustion residuals (CCRs) under Subtitle D of the RCRA, which is the Subtitle that regulates non-hazardous wastes. The rule imposes requirements addressing CCR surface impoundments and landfills, including location restrictions, design, and operating specifications; groundwater monitoring requirements; corrective action requirements; recordkeeping and reporting obligations; and closure requirements. Beneficial encapsulated uses of CCRs, including synthetic gypsum, are exempt from regulation. The rule became effective on October 19, 2015. Given the EPA’s decision to continue to allow CCR to be used in synthetic gypsum and to regulate CCR under the non-hazardous waste sections of RCRA, we do not expect the rule to materially affect our business, financial condition, and results of operations. The EPA proposed revisions to the final CCR rule in 2018, 2019, and 2020, none of these proposed rules seek to overturn the management of CCR as non-hazardous waste or the regulatory exemption for beneficial encapsulated use of CCR. Accordingly, we do not believe that these proposed revisions are likely to have material effects on our business, financial condition, and results of operations</w:t>
      </w:r>
    </w:p>
    <w:p>
      <w:pPr>
        <w:spacing w:after="0" w:line="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discussed in greater detail in the “Environmental Matters” section for Cement, the EPA in October 2015 strengthened the NAAQS for ozone. This resulted in lowering the primary and secondary standards from 75 parts per billion (ppb) to 70 ppb. The EPA completed its attainment/nonattainment designations for the revised standards for all areas of the United States in July 2018. In December 2020, the Trump Administration announced its decision to retain the 2015 ozone NAAQS without change. This December 2020 final action, however, is subject to legal challenge and is currently being reviewed by the EPA pursuant to President Biden’s executive order directing federal agencies to review certain environmental actions taken by the Trump Administration. The EPA has not announced whether it plans to uphold or revise the 2020 ozone NAAQS. Consequently, if areas in or surrounding our operations obtain nonattainment designations, or if the EPA chooses to revise and lower the current ozone NAAQS, our consolidated financial results and operations may be materially impacted.</w:t>
      </w:r>
    </w:p>
    <w:p>
      <w:pPr>
        <w:spacing w:after="0" w:line="8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gypsum wallboard manufacturing process combusts natural gas. It is possible that GHG emissions from our manufacturing could become subject to regulation under the CAA as the EPA begins issuing new regulations to achieve President Biden’s GHG emission reduction goals. For a more detailed discussion of this issue, see the “Environmental Matters” section of our Cement business description on pages 12-14.</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Although our Gypsum Wallboard operations could be 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80"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There were $2.0 million of capital expenditures related to compliance with environmental regulations applicable to our Gypsum Wallboard operations during fiscal 2023. We do not anticipate any material capital expenditures related to our Gypsum Wallboard operations during fiscal 2024.</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EB949"/>
        </w:rPr>
        <w:t>RECYCLED PAPERBOARD</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Recycled Paperboard manufacturing operation, which we refer to as Republic Paperboard Company, is located in Lawton, Oklahoma and has a technologically advanced paper machine designed primarily for gypsum liner production utilizing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We currently estimate the annual capacity of our paper mill to be approximately 390,000 tons.</w:t>
      </w:r>
    </w:p>
    <w:p>
      <w:pPr>
        <w:spacing w:after="0" w:line="8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Our paper machine allows the Paperboard operation to manufacture high-strength gypsum liner that is approximately 10% to 15% lighter in basis weight than what is generally available in the U.S. The low-basis weight product utilizes less recycled fiber to produce paper that, in turn, requires less energy (natural gas) to evaporate moisture from the board during the gypsum wallboard manufacturing process. The low-basis weight paper also reduces the overall finished board weight, providing our Wallboard operations with more competitive transportation costs for both the inbound and outbound segments.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Demand, Sales, and Distribution</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manufactured recycled paperboard products are sold to gypsum wallboard manufacturers and other industrial users. During fiscal 2023, approximately 45% of the recycled paperboard sold by our paper mill was consumed by the Company’s Gypsum Wallboard manufacturing operations. We have contracts with two other gypsum wallboard manufacturers that expire in the next two to three years, that represent approximately 50% of our total segment revenue, with the remaining volume shipped to other gypsum wallboard manufacturers. The loss of any of these contracts or a termination or reduction of their current production of gypsum wallboard, unless replaced by a commercially similar arrangement, could have a material adverse effect on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Raw Materials and Fuel Supplies</w:t>
      </w:r>
    </w:p>
    <w:p>
      <w:pPr>
        <w:spacing w:after="0" w:line="11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principal raw materials in recycled paperboard are recycled paper fiber (recovered waste paper), water, and specialty paper chemicals. The largest waste paper source used by the operation is old corrugated containers (known as OCC). A blend of high grades (white papers consisting of ink-free papers, such as news blank and unprinted papers) is used in the gypsum liner facing paper, white top linerboard, and white bag liner grades.</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believe that an adequate supply of recycled paper fiber will continue to be available from sources located within a reasonable proximity of the paper mill. Although we have the capability to receive rail shipments, the vast majority of the recycled fiber purchased is delivered via truck. Prices are subject to market fluctuations based on generation of material (supply), demand, and the presence of the export market. Fiber pricing, on average, increased during the first half of fiscal 2023, before declining in the second half of the fiscal year. We expect fiber prices to remain relatively consistent throughout fiscal 2024. Current gypsum liner customer contracts include price escalators that partially offset and compensate for changes in raw material fiber prices. The chemicals used in the paper making operation, including size, retention aids, biocides, and bacteria controls, are readily available from several manufacturers at competitive prices.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 w:name="page26"/>
    <w:bookmarkEnd w:id="25"/>
    <w:p>
      <w:pPr>
        <w:jc w:val="both"/>
        <w:ind w:right="60"/>
        <w:spacing w:after="0" w:line="243" w:lineRule="auto"/>
        <w:rPr>
          <w:sz w:val="20"/>
          <w:szCs w:val="20"/>
          <w:color w:val="auto"/>
        </w:rPr>
      </w:pPr>
      <w:r>
        <w:rPr>
          <w:rFonts w:ascii="Arial" w:cs="Arial" w:eastAsia="Arial" w:hAnsi="Arial"/>
          <w:sz w:val="18"/>
          <w:szCs w:val="18"/>
          <w:color w:val="auto"/>
        </w:rPr>
        <w:t>The manufacture of recycled paperboard involves the use of a large volume of water in the production process. We have an agreement with the City of Lawton municipal services for supply of water to our manufacturing facility. Electricity, natural gas, and other utilities are available to us at either contracted rates or standard industrial rates in adequate supplies. These utilities are subject to standard industrial curtailment provisions.</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Paperboard operations are generally large consumers of energy, mostly natural gas and electricity. Electricity is supplied to the paper mill by Public Service of Oklahoma (PSO), and they have requested an increase in rates for fiscal 2024. Oklahoma is a regulated state for electricity services, and all rate change requests must be presented to the Oklahoma Corporation Commission for review and approval before implementation. At this time, we are unable to estimate how much of the increase will be granted by the Oklahoma Corporation Commission. This power company has been moving its fuel source dependency to natural gas, which could affect our electricity rates in future years. Natural gas costs in fiscal 2023 were higher compared with fiscal 2022, but are expected to decline slightly in fiscal 2024 due to increased supply.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Environmental Matters</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There were no capital expenditures related to compliance with environmental regulations applicable to our Recycled Paperboard operations during fiscal 2023. We anticipate spending $10.0 million on a water treatment project during fiscal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WHERE YOU CAN FIND MORE INFORMATION</w:t>
      </w:r>
    </w:p>
    <w:p>
      <w:pPr>
        <w:spacing w:after="0" w:line="11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located at </w:t>
      </w:r>
      <w:r>
        <w:rPr>
          <w:rFonts w:ascii="Arial" w:cs="Arial" w:eastAsia="Arial" w:hAnsi="Arial"/>
          <w:sz w:val="18"/>
          <w:szCs w:val="18"/>
          <w:i w:val="1"/>
          <w:iCs w:val="1"/>
          <w:color w:val="auto"/>
        </w:rPr>
        <w:t>eaglematerials.com</w:t>
      </w:r>
      <w:r>
        <w:rPr>
          <w:rFonts w:ascii="Arial" w:cs="Arial" w:eastAsia="Arial" w:hAnsi="Arial"/>
          <w:sz w:val="18"/>
          <w:szCs w:val="18"/>
          <w:color w:val="auto"/>
        </w:rPr>
        <w:t xml:space="preserve"> as soon as reasonably practicable after they are filed with or furnished to the Securities and Exchange Commission (SEC).</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The Company also has a Code of Ethics, Human Rights Policy, Code of Vendor Conduct, and Occupational Health and Safety policies, which can be accessed on our website, as well. Additionally, our Corporate Governance Guidelines and Stock Ownership Guidelines, as well as the charters for the Audit, Compensation, and Corporate Governance Committees of the Board are also available on our website. All of these Corporate Governance and Board Committee Charter documents are available at </w:t>
      </w:r>
      <w:r>
        <w:rPr>
          <w:rFonts w:ascii="Arial" w:cs="Arial" w:eastAsia="Arial" w:hAnsi="Arial"/>
          <w:sz w:val="18"/>
          <w:szCs w:val="18"/>
          <w:i w:val="1"/>
          <w:iCs w:val="1"/>
          <w:color w:val="auto"/>
        </w:rPr>
        <w:t>ir.eaglematerials.com/corporate-governance</w:t>
      </w:r>
      <w:r>
        <w:rPr>
          <w:rFonts w:ascii="Arial" w:cs="Arial" w:eastAsia="Arial" w:hAnsi="Arial"/>
          <w:sz w:val="18"/>
          <w:szCs w:val="18"/>
          <w:color w:val="auto"/>
        </w:rPr>
        <w:t xml:space="preserve">. Our Environmental and Social Disclosure Report is available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8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This reference to our website is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8" w:right="399" w:bottom="1440" w:gutter="0" w:footer="0" w:header="0"/>
        </w:sectPr>
      </w:pPr>
    </w:p>
    <w:bookmarkStart w:id="26" w:name="page27"/>
    <w:bookmarkEnd w:id="26"/>
    <w:p>
      <w:pPr>
        <w:spacing w:after="0"/>
        <w:rPr>
          <w:sz w:val="20"/>
          <w:szCs w:val="20"/>
          <w:color w:val="auto"/>
        </w:rPr>
      </w:pPr>
      <w:r>
        <w:rPr>
          <w:rFonts w:ascii="Arial" w:cs="Arial" w:eastAsia="Arial" w:hAnsi="Arial"/>
          <w:sz w:val="23"/>
          <w:szCs w:val="23"/>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004483"/>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together with other factors described elsewhere in this Report, have affected, or may in the future affect, our business, operations, financial condition and results of operations in a material and adverse manner.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INDUSTRY RISK FACTORS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are affected by the level of demand in the construction industry.</w:t>
      </w:r>
    </w:p>
    <w:p>
      <w:pPr>
        <w:spacing w:after="0" w:line="10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Demand for our construction products and building materials is directly related to the level of activity in the construction industry, which includes residential, commercial and infrastructure construction. Our products are used in a variety of public infrastructure projects that are funded and financed by federal, state and local governments, including public construction projects and projects to build, expand and repair roads and highways. Our products are also essential to commercial and residential construction.</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we expect an increase in infrastructure spending by the federal and some state and local governments due to the passage of the Infrastructure Investment and Jobs Act in November 2021, infrastructure spending may be adversely affected by several factors. Under U.S. law, annual funding levels for highways is subject to yearly appropriation reviews. The uncertainties associated with these reviews or other factors could result in states being reluctant to undertake large multi-year highway projects. In general, there can be no assurance as to the amount and timing of appropriations for spending on federal, state or local projects. Any decrease in the amount of government funds available for such projects could have a material adverse effect on our business, financial condition, and results of operations.</w:t>
      </w:r>
    </w:p>
    <w:p>
      <w:pPr>
        <w:spacing w:after="0" w:line="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recent rise in inflation and interest rates have negatively impacted the construction industry. Among other things, the industry has experienced rising costs for materials and a decrease in demand. While we cannot predict the extent to which inflation or rising interest rates will continue or increase, any further increases could result in a reduction in residential or commercial activity, which could have a material adverse effect on our business, financial condition, and results of operations. Demand for our products sold to the residential and commercial construction industries could decline if our customers cannot obtain funding for construction projects, or due to other market factors such as labor shortages and supply chain issues.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business is seasonal in nature, and this causes our quarterly results to vary significantly.</w:t>
      </w:r>
    </w:p>
    <w:p>
      <w:pPr>
        <w:spacing w:after="0" w:line="105"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A majority of our business is seasonal with peak revenue and profits occurring primarily in the months of April through November when the weather in our markets is more suitable for construction activity. Quarterly results have varied significantly in the past and are likely to vary significantly in the future. Such variations could have a negative impact on the price of our common stock.</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5" w:right="399" w:bottom="1440" w:gutter="0" w:footer="0" w:header="0"/>
        </w:sectPr>
      </w:pPr>
    </w:p>
    <w:bookmarkStart w:id="27" w:name="page28"/>
    <w:bookmarkEnd w:id="27"/>
    <w:p>
      <w:pPr>
        <w:ind w:right="500"/>
        <w:spacing w:after="0" w:line="253" w:lineRule="auto"/>
        <w:rPr>
          <w:sz w:val="20"/>
          <w:szCs w:val="20"/>
          <w:color w:val="auto"/>
        </w:rPr>
      </w:pPr>
      <w:r>
        <w:rPr>
          <w:rFonts w:ascii="Arial" w:cs="Arial" w:eastAsia="Arial" w:hAnsi="Arial"/>
          <w:sz w:val="20"/>
          <w:szCs w:val="20"/>
          <w:i w:val="1"/>
          <w:iCs w:val="1"/>
          <w:color w:val="004483"/>
        </w:rPr>
        <w:t>We are subject to the risk of unfavorable weather conditions, particularly during peak construction periods, as well as other unexpected operational difficulties.</w:t>
      </w:r>
    </w:p>
    <w:p>
      <w:pPr>
        <w:spacing w:after="0" w:line="66" w:lineRule="exact"/>
        <w:rPr>
          <w:sz w:val="20"/>
          <w:szCs w:val="20"/>
          <w:color w:val="auto"/>
        </w:rPr>
      </w:pPr>
    </w:p>
    <w:p>
      <w:pPr>
        <w:ind w:right="360"/>
        <w:spacing w:after="0" w:line="241" w:lineRule="auto"/>
        <w:rPr>
          <w:sz w:val="20"/>
          <w:szCs w:val="20"/>
          <w:color w:val="auto"/>
        </w:rPr>
      </w:pPr>
      <w:r>
        <w:rPr>
          <w:rFonts w:ascii="Arial" w:cs="Arial" w:eastAsia="Arial" w:hAnsi="Arial"/>
          <w:sz w:val="18"/>
          <w:szCs w:val="18"/>
          <w:color w:val="auto"/>
        </w:rPr>
        <w:t>Unfavorable weather conditions, such as snow, cold weather, tornadoes, hurricanes, tropical storms, and heavy or sustained rainfall, can reduce construction activity and adversely affect demand for 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 electric power), reduce our production, or impede our ability to transport our products in an efficient and cost-effective manner.</w:t>
      </w:r>
    </w:p>
    <w:p>
      <w:pPr>
        <w:spacing w:after="0" w:line="8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Similarly, operational difficulties, such as business interruption due to required maintenance, capital improvement projects, or loss of power, can increase our costs and reduce our production. The effect of these risks is more pronounced during peak construction periods, such as the months of April through November, during which any reduction in demand or production could have a disproportionately large effect on our sales and operating profits.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and our customers participate in cyclical industries and regional markets, which are subject to industry downturns.</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changes in interest rates, demographic and population shifts, levels of infrastructure spending,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Many of our products are commodities, which are subject to significant changes in supply and demand and price fluctuations.</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(including in connection with the increased use of Portland Limestone Cement) or increases in cement imports tend to create an oversupply of such products leading to an imbalance between supply and demand, which can have a negative impact on product prices. Currently, there 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businesses face many competitors.</w:t>
      </w:r>
    </w:p>
    <w:p>
      <w:pPr>
        <w:spacing w:after="0" w:line="10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Our businesses have many domestic and international competitors, some of whom are bigger and have more resources than we do.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Concrete and Aggregates segment may compete with recycled concrete products that could be used in certain applications instead of new products and our cement</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7" w:right="359" w:bottom="1440" w:gutter="0" w:footer="0" w:header="0"/>
        </w:sectPr>
      </w:pPr>
    </w:p>
    <w:bookmarkStart w:id="28" w:name="page29"/>
    <w:bookmarkEnd w:id="28"/>
    <w:p>
      <w:pPr>
        <w:ind w:right="300"/>
        <w:spacing w:after="0" w:line="260" w:lineRule="auto"/>
        <w:rPr>
          <w:sz w:val="20"/>
          <w:szCs w:val="20"/>
          <w:color w:val="auto"/>
        </w:rPr>
      </w:pPr>
      <w:r>
        <w:rPr>
          <w:rFonts w:ascii="Arial" w:cs="Arial" w:eastAsia="Arial" w:hAnsi="Arial"/>
          <w:sz w:val="18"/>
          <w:szCs w:val="18"/>
          <w:color w:val="auto"/>
        </w:rPr>
        <w:t>operations may compete with international competitors who import products into the United States from jurisdictions with lower production and regulatory costs.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ECONOMIC, POLITICAL, AND LEGAL RISK FACTORS</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i w:val="1"/>
          <w:iCs w:val="1"/>
          <w:color w:val="004483"/>
        </w:rPr>
        <w:t>A pandemic, epidemic, or other public health emergency, such as the COVID-19 pandemic, could have a material adverse effect on our business, results of operations, financial condition, and cash flows.</w:t>
      </w:r>
    </w:p>
    <w:p>
      <w:pPr>
        <w:spacing w:after="0" w:line="6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Our operations expose us to risks associated with pandemics, epidemics or other public health emergencies, such as the COVID-19 pandemic. The COVID-19 pandemic resulted in governments in the United States and elsewhere in the world implementing or reimplementing strict measures to help control the spread of the virus, including quarantines, “shelter in place” and “stay at home” orders, travel restrictions, business curtailments, school closures, and other measures. Notwithstanding these measures, we were able to continue our operations throughout the COVID-19 pandemic. Nevertheless, the COVID-19 pandemic had negative impacts on our operations, supply chain, transportation networks and customers. The extent to which a resurgence of the COVID-19 pandemic, or any variant thereof, or any other pandemic, in our primary areas of operation may impact our employees, employee productivity, business, results of operations, financial condition or cash flows will depend on future developments, which remain highly uncertain and cannot be predicted, including, but not limited to, the duration and geographic spread of any outbreak, its severity, the actions to contain the virus or treat its impact.</w:t>
      </w:r>
    </w:p>
    <w:p>
      <w:pPr>
        <w:spacing w:after="0" w:line="65"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i w:val="1"/>
          <w:iCs w:val="1"/>
          <w:color w:val="004483"/>
        </w:rPr>
        <w:t>Our and our customers’ operations are subject to extensive governmental regulation, including environmental laws, which can be costly and burdensome.</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operations and those of our customers are subject to and affected by federal, state, and local laws and regulations with respect to such matters as land usage, street and highway usage, noise level, and health and safety and environmental matters. In many instances, various certificates, permits, or licenses are required in order for us or our customers to conduct business or carry out construction and related operations. For example, in the environmental area, certain of our waste-burning cement kilns are subject to the CISWI Rule, which is discussed above in “Environmental Matters” in the Cement section. Although we believe that we are in compliance in all material respects with applicable regulatory requirements, there can be no assurance that we will not incur material costs or liabilities in connection with the adoption of new laws or regulations, or changes to or amendments of existing laws or regulations, or that demand for our products will not be adversely affected by regulatory issues affecting our customers. Some of the states in which we operate contain at least one “area” that was designated as being in nonattainment for the 2015 ozone NAAQS or had adopted SIPs to address their interstate transportation obligations, which were disapproved by the EPA, and will be subject to a FIP finalized by the EPA that would impose stricter standards with respect to such obligations. We may be required to meet new control requirements in our facilities in these states requiring significant capital expenditures for compliance and may incur additional operating costs or need to modify or curtail the nature and scope of our operations at such facilities to meet our regulatory obligations. For further information regarding these matters, please refer to Item 1. Business - Industry Segment Information. In addition,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business, financial condition or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and in the future expect to incur, significant capital and operating expenditures to comply with such laws and regulations.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cost of complying with such laws and regulations could significantly affect our businesses.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29" w:name="page30"/>
    <w:bookmarkEnd w:id="29"/>
    <w:p>
      <w:pPr>
        <w:spacing w:after="0" w:line="253" w:lineRule="auto"/>
        <w:rPr>
          <w:sz w:val="20"/>
          <w:szCs w:val="20"/>
          <w:color w:val="auto"/>
        </w:rPr>
      </w:pPr>
      <w:r>
        <w:rPr>
          <w:rFonts w:ascii="Arial" w:cs="Arial" w:eastAsia="Arial" w:hAnsi="Arial"/>
          <w:sz w:val="20"/>
          <w:szCs w:val="20"/>
          <w:i w:val="1"/>
          <w:iCs w:val="1"/>
          <w:color w:val="004483"/>
        </w:rPr>
        <w:t>Climate change and climate change legislation or regulations may adversely affect our business, including potential physical and financial impacts.</w:t>
      </w:r>
    </w:p>
    <w:p>
      <w:pPr>
        <w:spacing w:after="0" w:line="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effects of climate change and legislation and regulation concerning GHGs could have a material adverse effect our financial condition, results of operations, and liquidity. 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addressing GHG emissions would likely have a negative impact on our business or results of operations, whether through the imposition of raw material or production limitations, fuel-use, or carbon taxes emission limitations or reductions, or otherwise. Notably, curbing GHG emissions and tackling climate change is a clear priority for President Biden’s administration.</w:t>
      </w:r>
    </w:p>
    <w:p>
      <w:pPr>
        <w:spacing w:after="0" w:line="8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Any additional regulatory restrictions on emissions of GHGs imposed by the EPA will likely impact our cement plants, each of which currently file annual reports of GHG emissions as required by the EPA reporting rule. However, it is currently impossible to estimate the cost of any such future requirements at this time. In addition, we may not be able to recover any increased operating costs, taxes or capital investments relating to GHG emission limitations at those plants from our customers in order to remain competitive in pricing in the relevant markets.</w:t>
      </w:r>
    </w:p>
    <w:p>
      <w:pPr>
        <w:spacing w:after="0" w:line="6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effects of future climate change legislation and regulation concerning GHGs are highly uncertain and difficult to estimate. However, because a chemical reaction inherent to the manufacture of portland cement releases carbon dioxide, a GHG, cement kiln operations may be disproportionately affected by future regulation of GHGs. Our cement plants, like those of other cement operators, require combustion of significant amounts of fuel to generate high kiln temperatures and create carbon dioxide as a product of the calcination process, which is an unavoidable step in making cement clinker. Accordingly, we continue to closely monitor GHG regulations and legislation and its potential impact on our cement business. There is also a potential for climate change legislation and regulation to adversely affect the cost of purchased energy and electricity.</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Other potential effects of climate change include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 financial condition and results of operations.</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may also communicate certain initiatives and goals regarding GHG and related matters in our SEC filings or in other public disclosures. These initiatives and goals may be difficult and expensive to implement or may not advance at a pace sufficient to meet our goals, and we could be criticized for the scope, accuracy, adequacy or completeness of the disclosure. Further, statements about our GHG-related initiatives and goals, and progress towards these goals, may be based on standards for measuring progress that are still developing, internal controls and processes that continue to evolve and assumptions that are subject to change in the future. If our GHG-related data, processes and reporting are inaccurate or incomplete, or if we fail to achieve progress with respect to these goals or initiatives on a timely basis or at all, our operations and financial performance could be adversely affected.</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sectPr>
      </w:pPr>
    </w:p>
    <w:bookmarkStart w:id="30" w:name="page31"/>
    <w:bookmarkEnd w:id="30"/>
    <w:p>
      <w:pPr>
        <w:ind w:right="180"/>
        <w:spacing w:after="0" w:line="253" w:lineRule="auto"/>
        <w:rPr>
          <w:sz w:val="20"/>
          <w:szCs w:val="20"/>
          <w:color w:val="auto"/>
        </w:rPr>
      </w:pPr>
      <w:r>
        <w:rPr>
          <w:rFonts w:ascii="Arial" w:cs="Arial" w:eastAsia="Arial" w:hAnsi="Arial"/>
          <w:sz w:val="20"/>
          <w:szCs w:val="20"/>
          <w:i w:val="1"/>
          <w:iCs w:val="1"/>
          <w:color w:val="004483"/>
        </w:rPr>
        <w:t>Increasing regulatory, stakeholder, and societal environmental, social, governance, and other sustainability (ESG) matters and our response to these matters could negatively affect our business.</w:t>
      </w:r>
    </w:p>
    <w:p>
      <w:pPr>
        <w:spacing w:after="0" w:line="6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subject to increasing governmental, stakeholder and societal attention to ESG matters, including, climate change, air emissions, waste management, water management, community engagement, human rights, labor, health and safety, and information disclosure. Such attention may alter the environment in which we do business and may increase the ongoing costs of compliance, assessment and reporting and adversely impact our financial condition, results of operations, and liquidity. Non-compliance with, or a failure to address, the regulatory, stakeholder and societal expectations and accompanying emerging ESG regulation and policy requirements (and related interpretations) may result in potential cost increases, fines, penalties, production restrictions, brand or reputational damage, loss of customers, failure to retain and attract talent and investor activism.</w:t>
      </w:r>
    </w:p>
    <w:p>
      <w:pPr>
        <w:spacing w:after="0" w:line="72"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i w:val="1"/>
          <w:iCs w:val="1"/>
          <w:color w:val="004483"/>
        </w:rPr>
        <w:t>We may become subject to significant cleanup, remediation, reclamation, and other liabilities under applicable environmental laws.</w:t>
      </w:r>
    </w:p>
    <w:p>
      <w:pPr>
        <w:spacing w:after="0" w:line="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operations are subject to state, federal, and local environmental laws and regulations, which, in some cases, impose strict liability for cleanup or remediation of environmental pollution and hazardous waste regardless of negligence or fault and expose us to liability for the conduct of others or for our actions, even if such actions complied with all applicable laws at the time these actions were taken. These laws and regulations also require pollution control and prevention, site restoration, reclamation, and operating permits, and/or approvals to conduct certain of our operations or expand or modify our facilities. These laws and regulations may also expose us to liability for claims of personal injury or property or natural resources damage related to alleged exposure to, or releases of, regulated or hazardous materials.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76" w:lineRule="exact"/>
        <w:rPr>
          <w:sz w:val="20"/>
          <w:szCs w:val="20"/>
          <w:color w:val="auto"/>
        </w:rPr>
      </w:pPr>
    </w:p>
    <w:p>
      <w:pPr>
        <w:ind w:right="660"/>
        <w:spacing w:after="0" w:line="253" w:lineRule="auto"/>
        <w:rPr>
          <w:sz w:val="20"/>
          <w:szCs w:val="20"/>
          <w:color w:val="auto"/>
        </w:rPr>
      </w:pPr>
      <w:r>
        <w:rPr>
          <w:rFonts w:ascii="Arial" w:cs="Arial" w:eastAsia="Arial" w:hAnsi="Arial"/>
          <w:sz w:val="20"/>
          <w:szCs w:val="20"/>
          <w:i w:val="1"/>
          <w:iCs w:val="1"/>
          <w:color w:val="004483"/>
        </w:rPr>
        <w:t>Our operations are dependent on our rights and ability to mine our properties and on our having renewed or received the required permits and approvals from governmental authorities and other third parties.</w:t>
      </w:r>
    </w:p>
    <w:p>
      <w:pPr>
        <w:spacing w:after="0" w:line="6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8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7" w:right="379" w:bottom="1440" w:gutter="0" w:footer="0" w:header="0"/>
        </w:sectPr>
      </w:pPr>
    </w:p>
    <w:bookmarkStart w:id="31" w:name="page32"/>
    <w:bookmarkEnd w:id="31"/>
    <w:p>
      <w:pPr>
        <w:jc w:val="both"/>
        <w:ind w:right="340"/>
        <w:spacing w:after="0" w:line="247" w:lineRule="auto"/>
        <w:rPr>
          <w:sz w:val="20"/>
          <w:szCs w:val="20"/>
          <w:color w:val="auto"/>
        </w:rPr>
      </w:pPr>
      <w:r>
        <w:rPr>
          <w:rFonts w:ascii="Arial" w:cs="Arial" w:eastAsia="Arial" w:hAnsi="Arial"/>
          <w:sz w:val="18"/>
          <w:szCs w:val="18"/>
          <w:color w:val="auto"/>
        </w:rPr>
        <w:t>In some instances, we have received access rights or easements from third parties, which allow for a more efficient operation than would exist without the access or easement. A third party could take action to suspend such access or easement, and any such action could be materially adverse to our results of operations or financial conditions.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may incur significant costs in connection with pending and future litigation.</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require the payment of damages that are material in amount or require changes to the nature and scope of our operations. Developments in these proceedings can lead to changes in management’s estimates of liabilities associated with these proceedings, including as a result of rulings or judgments by a judge, agency, or arbitrator, settlements, or changes in applicable law. A future adverse ruling, settlement, or unfavorable development could have a material adverse effect on our results of operations and cash flows in a particular period. In addition, the defense of these lawsuits, claims, investigations, and proceedings may divert our management’s attention from operating and managing our businesses, and we may incur significant costs in defending these matters.</w:t>
      </w:r>
    </w:p>
    <w:p>
      <w:pPr>
        <w:spacing w:after="0" w:line="72"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i w:val="1"/>
          <w:iCs w:val="1"/>
          <w:color w:val="004483"/>
        </w:rPr>
        <w:t>Our bylaws include a forum selection clause, which could limit our stockholders’ ability to obtain a favorable judicial forum for disputes with us.</w:t>
      </w:r>
    </w:p>
    <w:p>
      <w:pPr>
        <w:spacing w:after="0" w:line="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(iv) any action asserting a claim arising pursuant to any provision of the DGCL, or (v) any action asserting a claim governed by the internal affairs doctrine, will be a state or federal court located within the State of Delaware in all cases subject to the court’s having personal jurisdiction over the indispensable parties named as defendants. In addition, our bylaws provide that, unless we consent in writing to selection of an alternative forum, the sole and exclusive forum for any action asserting a claim arising under the Securities Act of 1933, as amended, will be a federal district court. Any person or entity purchasing or otherwise acquiring any interest in shares of our capital stock is deemed to have notice of and consented to the foregoing provisions. This forum selection provision in our bylaws may limit our stockholders’ ability to pursue claims in a judicial forum of their choosing for disputes with us or our directors, officers, or employees. It is also possible that, notwithstanding the forum selection clause included in our bylaws, a court could rule in specific circumstances that such a provision is inapplicable or unenforceable, which could require that we defend claims in other forums.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004483"/>
        </w:rPr>
        <w:t>CYBER RISK FACTORS</w:t>
      </w:r>
    </w:p>
    <w:p>
      <w:pPr>
        <w:spacing w:after="0" w:line="98" w:lineRule="exact"/>
        <w:rPr>
          <w:sz w:val="20"/>
          <w:szCs w:val="20"/>
          <w:color w:val="auto"/>
        </w:rPr>
      </w:pPr>
    </w:p>
    <w:p>
      <w:pPr>
        <w:ind w:right="560"/>
        <w:spacing w:after="0" w:line="253" w:lineRule="auto"/>
        <w:rPr>
          <w:sz w:val="20"/>
          <w:szCs w:val="20"/>
          <w:color w:val="auto"/>
        </w:rPr>
      </w:pPr>
      <w:r>
        <w:rPr>
          <w:rFonts w:ascii="Arial" w:cs="Arial" w:eastAsia="Arial" w:hAnsi="Arial"/>
          <w:sz w:val="20"/>
          <w:szCs w:val="20"/>
          <w:i w:val="1"/>
          <w:iCs w:val="1"/>
          <w:color w:val="004483"/>
        </w:rPr>
        <w:t>A cyber-attack or data security breach affecting our information technology systems may negatively affect our businesses, financial condition, and operating results.</w:t>
      </w:r>
    </w:p>
    <w:p>
      <w:pPr>
        <w:spacing w:after="0" w:line="6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operations rely on the secure processing, storage, and transmission of confidential, sensitive, proprietary, and other types of information relating to our business operations. We also rely on confidential and sensitive information about our customers and employees, which is maintained both in our computer systems and networks, and in the computer systems and networks of our third-party vendors. Cyber threats are rapidly evolving as data thieves and hackers have become increasingly sophisticated and carry out direct large-scale, complex automated attacks against a company or through vendor software supply chain compromises. We are not able to anticipate or prevent all such attacks and could be held liable for any resulting material security breach or data loss. Additionally, it is not always possible to deter misconduct by employees or third-party vendors.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breaches of our technology systems, or those of our vendors and customers, whether from circumvention of security systems, denial-of service attacks or other cyber-attacks, hacking, “phishing”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or such vendors’ and customers’ websites, applications, data processing and certain products and services, or disruption of other business operations. Furthermore, any such breaches could compromise the confidentiality and integrity of material information held by us (including information about our business, employees or customers), as well as sensitive personally identifiable information, the disclosure of which could lead to identity theft. Any measures that we take to avoid, detect, mitigate or recover from material incidents, may be insufficient, circumvented, or may become ineffective.</w:t>
      </w:r>
    </w:p>
    <w:p>
      <w:pPr>
        <w:spacing w:after="0" w:line="8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invested and continue to invest in risk management and information security and data privacy measures in order to protect our systems and data, including employee training, organizational investments, incident response plans, table top exercises and technical defenses. The cost and operational consequences of implementing, maintaining and enhancing further data or system protection measures could increase significantly to overcome increasingly intense, complex and sophisticated global cyber threats. Although we believe that we have taken adequate measures to protect against data breaches and system disruptions, we are not able to anticipate or prevent all such risks. Recent well-publicized security breaches at other companies have led to enhanced government and regulatory scrutiny of the measures taken by companies to protect against cyber-attacks, and may in the future result in heightened cybersecurity requirements, including additional regulatory expectations for oversight of vendors and service providers. Any material breaches of cybersecurity, including the accidental loss, inadvertent disclosure or unapproved dissemination of proprietary information or sensitive or confidential data, or media reports of perceived security vulnerabilities to the our systems, products and services or those of our third parties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 The report, rumor or assumption regarding a potential breach may have similar results, even if no breach has been attempted or occurred. Any of the foregoing may have a material adverse effect on our business, operating results and financial condition.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004483"/>
        </w:rPr>
        <w:t>FINANCIAL AND OPERATIONAL RISK FACTORS</w:t>
      </w:r>
    </w:p>
    <w:p>
      <w:pPr>
        <w:spacing w:after="0" w:line="98" w:lineRule="exact"/>
        <w:rPr>
          <w:sz w:val="20"/>
          <w:szCs w:val="20"/>
          <w:color w:val="auto"/>
        </w:rPr>
      </w:pPr>
    </w:p>
    <w:p>
      <w:pPr>
        <w:ind w:right="760"/>
        <w:spacing w:after="0" w:line="253" w:lineRule="auto"/>
        <w:rPr>
          <w:sz w:val="20"/>
          <w:szCs w:val="20"/>
          <w:color w:val="auto"/>
        </w:rPr>
      </w:pPr>
      <w:r>
        <w:rPr>
          <w:rFonts w:ascii="Arial" w:cs="Arial" w:eastAsia="Arial" w:hAnsi="Arial"/>
          <w:sz w:val="20"/>
          <w:szCs w:val="20"/>
          <w:i w:val="1"/>
          <w:iCs w:val="1"/>
          <w:color w:val="004483"/>
        </w:rPr>
        <w:t>Our Cement business is capital intensive, resulting in significant fixed and semi-fixed costs. Therefore, our earnings are sensitive to changes in volume.</w:t>
      </w:r>
    </w:p>
    <w:p>
      <w:pPr>
        <w:spacing w:after="0" w:line="6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our business. We believe that our current cash balance, along with our projected internal cash flows and our available financing resources will provide sufficient cash to support our currently anticipated operating and capital needs. However, if we are unable to generate sufficient cash to purchase and maintain the property and machinery necessary to operate our cement business, we may be required to reduce or delay planned capital expenditures or incur additional debt.</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004483"/>
        </w:rPr>
        <w:t>Any material nonpayment or nonperformance by any of our key customers could have a material adverse effect on our business and results of operations.</w:t>
      </w:r>
    </w:p>
    <w:p>
      <w:pPr>
        <w:spacing w:after="0" w:line="6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Any material nonpayment or nonperformance by any of our key customers could have a material adverse effect on our revenue and cash flows. Our contracts with our customers provide for different potential remedies in the event a customer fails to purchase the minimum contracted amount of product in a given period.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in order to allow for us to preserve the relationship with that customer.</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Volatility and disruption of financial markets could affect access to credit.</w:t>
      </w:r>
    </w:p>
    <w:p>
      <w:pPr>
        <w:spacing w:after="0" w:line="10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Difficult economic conditions can cause a contraction in the availability, and increase the cost, of credit in the marketplace. Recent inflation and rising interest rates may impact demand for our products and negatively impact our business.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results of operations are subject to significant changes in the cost and availability of fuel, energy and other raw materials.</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further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34" w:name="page35"/>
    <w:bookmarkEnd w:id="34"/>
    <w:p>
      <w:pPr>
        <w:ind w:right="240"/>
        <w:spacing w:after="0" w:line="247" w:lineRule="auto"/>
        <w:rPr>
          <w:sz w:val="20"/>
          <w:szCs w:val="20"/>
          <w:color w:val="auto"/>
        </w:rPr>
      </w:pPr>
      <w:r>
        <w:rPr>
          <w:rFonts w:ascii="Arial" w:cs="Arial" w:eastAsia="Arial" w:hAnsi="Arial"/>
          <w:sz w:val="18"/>
          <w:szCs w:val="18"/>
          <w:color w:val="auto"/>
        </w:rPr>
        <w:t>Significant price fluctuations also have the potential to give rise to disputes with contractual counterparties, which can be complex and difficult to resolve. In the event of large or rapid increases in prices, we may not be able to pass the increases through to our customers in full, which would reduce our operating margin.</w:t>
      </w:r>
    </w:p>
    <w:p>
      <w:pPr>
        <w:spacing w:after="0" w:line="66" w:lineRule="exact"/>
        <w:rPr>
          <w:sz w:val="20"/>
          <w:szCs w:val="20"/>
          <w:color w:val="auto"/>
        </w:rPr>
      </w:pPr>
    </w:p>
    <w:p>
      <w:pPr>
        <w:ind w:right="420"/>
        <w:spacing w:after="0" w:line="253" w:lineRule="auto"/>
        <w:rPr>
          <w:sz w:val="20"/>
          <w:szCs w:val="20"/>
          <w:color w:val="auto"/>
        </w:rPr>
      </w:pPr>
      <w:r>
        <w:rPr>
          <w:rFonts w:ascii="Arial" w:cs="Arial" w:eastAsia="Arial" w:hAnsi="Arial"/>
          <w:sz w:val="20"/>
          <w:szCs w:val="20"/>
          <w:i w:val="1"/>
          <w:iCs w:val="1"/>
          <w:color w:val="004483"/>
        </w:rPr>
        <w:t>Changes in the cost or availability of raw materials supplied by third parties may adversely affect our operating and financial performance.</w:t>
      </w:r>
    </w:p>
    <w:p>
      <w:pPr>
        <w:spacing w:after="0" w:line="6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generally maintain our own reserves of limestone, gypsum, aggregates, and other materials that we use to manufacture our products. Our ability to find and develop quality reserves and accurately calculate and report our reserve estimates depend upon geological interpretation and statistical inferences or assumptions drawn from drilling and sampling analysis, which are subject to inherent uncertainties. If any of these estimates proved to be inaccurate, our operations and financial condition could be adversely impacted.</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also obtain certain raw materials used to manufacture our products, such as synthetic gypsum and slag granules, from third parties who produce such materials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 Should our existing suppliers cease operations or reduce or eliminate production of these by-products, our costs to procure these materials may increase significantly, or we may be obliged to procure alternatives to replace these materials, which may not be available on commercially reasonable terms or at all. Any such developments may adversely affect our operations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production facilities may experience unexpected equipment failures, catastrophic events, and scheduled maintenance.</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manufacturing processes are complex and dependent upon critical pieces of equipment and effective maintenance programs. Such equipment may, on occasion, be out of service as a result of unanticipated events such as fires, explosions, violent weather conditions, or unexpected operational difficulties. We also have periodically scheduled shut-downs to perform maintenance on our facilities. We consume significant amounts of energy in our production process, and the availability and pricing of these resources are subject to market forces.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86" w:lineRule="exact"/>
        <w:rPr>
          <w:sz w:val="20"/>
          <w:szCs w:val="20"/>
          <w:color w:val="auto"/>
        </w:rPr>
      </w:pPr>
    </w:p>
    <w:p>
      <w:pPr>
        <w:jc w:val="both"/>
        <w:ind w:right="480"/>
        <w:spacing w:after="0" w:line="243" w:lineRule="auto"/>
        <w:rPr>
          <w:sz w:val="20"/>
          <w:szCs w:val="20"/>
          <w:color w:val="auto"/>
        </w:rPr>
      </w:pPr>
      <w:r>
        <w:rPr>
          <w:rFonts w:ascii="Arial" w:cs="Arial" w:eastAsia="Arial" w:hAnsi="Arial"/>
          <w:sz w:val="18"/>
          <w:szCs w:val="18"/>
          <w:color w:val="auto"/>
        </w:rPr>
        <w:t>Mining for raw materials involves risks such as pit wall failures, pillar or ceiling collapse, flooding and seismic events related to geologic conditions and our mining activities. Any ground control event could lead to serious injuries, loss of life, equipment damage, production delays or cessation and increased operating costs which could have a material adverse effect on our results of operations and financial condition.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bookmarkStart w:id="35" w:name="page36"/>
    <w:bookmarkEnd w:id="35"/>
    <w:p>
      <w:pPr>
        <w:ind w:right="420"/>
        <w:spacing w:after="0" w:line="253" w:lineRule="auto"/>
        <w:rPr>
          <w:sz w:val="20"/>
          <w:szCs w:val="20"/>
          <w:color w:val="auto"/>
        </w:rPr>
      </w:pPr>
      <w:r>
        <w:rPr>
          <w:rFonts w:ascii="Arial" w:cs="Arial" w:eastAsia="Arial" w:hAnsi="Arial"/>
          <w:sz w:val="20"/>
          <w:szCs w:val="20"/>
          <w:i w:val="1"/>
          <w:iCs w:val="1"/>
          <w:color w:val="004483"/>
        </w:rPr>
        <w:t>Significant changes in the cost and availability of transportation could adversely affect our business, financial condition, and results of operations.</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75" w:lineRule="exact"/>
        <w:rPr>
          <w:sz w:val="20"/>
          <w:szCs w:val="20"/>
          <w:color w:val="auto"/>
        </w:rPr>
      </w:pPr>
    </w:p>
    <w:p>
      <w:pPr>
        <w:ind w:right="540"/>
        <w:spacing w:after="0" w:line="253" w:lineRule="auto"/>
        <w:rPr>
          <w:sz w:val="20"/>
          <w:szCs w:val="20"/>
          <w:color w:val="auto"/>
        </w:rPr>
      </w:pPr>
      <w:r>
        <w:rPr>
          <w:rFonts w:ascii="Arial" w:cs="Arial" w:eastAsia="Arial" w:hAnsi="Arial"/>
          <w:sz w:val="20"/>
          <w:szCs w:val="20"/>
          <w:i w:val="1"/>
          <w:iCs w:val="1"/>
          <w:color w:val="004483"/>
        </w:rPr>
        <w:t>Our debt agreements contain restrictive covenants and require us to meet certain financial ratios and tests, which limit our flexibility and could give rise to a default if we are unable to remain in compliance.</w:t>
      </w:r>
    </w:p>
    <w:p>
      <w:pPr>
        <w:spacing w:after="0" w:line="6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outstanding debt agreements contain, among other things, covenants that limit our ability to finance future operations or capital needs or to engage in other business activities, including but not limited to our ability to:</w:t>
      </w:r>
    </w:p>
    <w:p>
      <w:pPr>
        <w:spacing w:after="0" w:line="1"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permit our consolidated subsidiaries to incur indebtedness;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sell, transfer, lease, or otherwise dispose of all substantially all of the assets of the Company and its consolidated subsidiaries;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consolidate or merge with or into another Person;</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enter into transactions with our affiliates; and</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enter into sale/leaseback transactions.</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 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7" w:right="379" w:bottom="1440" w:gutter="0" w:footer="0" w:header="0"/>
        </w:sectPr>
      </w:pPr>
    </w:p>
    <w:bookmarkStart w:id="36" w:name="page37"/>
    <w:bookmarkEnd w:id="36"/>
    <w:p>
      <w:pPr>
        <w:spacing w:after="0" w:line="253" w:lineRule="auto"/>
        <w:rPr>
          <w:sz w:val="20"/>
          <w:szCs w:val="20"/>
          <w:color w:val="auto"/>
        </w:rPr>
      </w:pPr>
      <w:r>
        <w:rPr>
          <w:rFonts w:ascii="Arial" w:cs="Arial" w:eastAsia="Arial" w:hAnsi="Arial"/>
          <w:sz w:val="20"/>
          <w:szCs w:val="20"/>
          <w:i w:val="1"/>
          <w:iCs w:val="1"/>
          <w:color w:val="004483"/>
        </w:rPr>
        <w:t>We have incurred or may incur substantial indebtedness, which could adversely affect our business, limit our ability to plan for or respond to changes in our business, and reduce our profitability.</w:t>
      </w:r>
    </w:p>
    <w:p>
      <w:pPr>
        <w:spacing w:after="0" w:line="66"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 the past, we have incurred significant indebtedness in connection with acquisition transactions or otherwise to fund the growth and development of our business. As of March 31, 2023, we have $1,099.5 million of debt outstanding.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1" w:lineRule="exact"/>
        <w:rPr>
          <w:sz w:val="20"/>
          <w:szCs w:val="20"/>
          <w:color w:val="auto"/>
        </w:rPr>
      </w:pPr>
    </w:p>
    <w:p>
      <w:pPr>
        <w:ind w:left="240" w:right="400" w:hanging="232"/>
        <w:spacing w:after="0" w:line="234" w:lineRule="auto"/>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we may be required to dedicate a substantial portion of our cash flows from operations to payments on our indebtedness, thereby reducing the availability of our cash flow for other purposes, including business development efforts, capital expenditures, or strategic acquisitions;</w:t>
      </w:r>
    </w:p>
    <w:p>
      <w:pPr>
        <w:spacing w:after="0" w:line="2" w:lineRule="exact"/>
        <w:rPr>
          <w:rFonts w:ascii="Arial" w:cs="Arial" w:eastAsia="Arial" w:hAnsi="Arial"/>
          <w:sz w:val="18"/>
          <w:szCs w:val="18"/>
          <w:color w:val="004483"/>
        </w:rPr>
      </w:pPr>
    </w:p>
    <w:p>
      <w:pPr>
        <w:ind w:left="240" w:right="120" w:hanging="232"/>
        <w:spacing w:after="0" w:line="234" w:lineRule="auto"/>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spacing w:after="0" w:line="2" w:lineRule="exact"/>
        <w:rPr>
          <w:rFonts w:ascii="Arial" w:cs="Arial" w:eastAsia="Arial" w:hAnsi="Arial"/>
          <w:sz w:val="18"/>
          <w:szCs w:val="18"/>
          <w:color w:val="004483"/>
        </w:rPr>
      </w:pPr>
    </w:p>
    <w:p>
      <w:pPr>
        <w:ind w:left="240" w:right="120" w:hanging="232"/>
        <w:spacing w:after="0" w:line="234" w:lineRule="auto"/>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spacing w:after="0" w:line="2" w:lineRule="exact"/>
        <w:rPr>
          <w:rFonts w:ascii="Arial" w:cs="Arial" w:eastAsia="Arial" w:hAnsi="Arial"/>
          <w:sz w:val="18"/>
          <w:szCs w:val="18"/>
          <w:color w:val="004483"/>
        </w:rPr>
      </w:pPr>
    </w:p>
    <w:p>
      <w:pPr>
        <w:ind w:left="240" w:right="520" w:hanging="232"/>
        <w:spacing w:after="0" w:line="246" w:lineRule="auto"/>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our flexibility in planning for, or reacting to, changes in our business and industry may be limited, thereby placing us at a competitive disadvantage compared with our competitors that have less indebtedness.</w:t>
      </w:r>
    </w:p>
    <w:p>
      <w:pPr>
        <w:spacing w:after="0" w:line="7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base rate of our debt is determined by our credit rating. If our credit rating were to decline, interest charges on this debt would increase, which would raise the cost of borrowing and lower cash flows from operations.</w:t>
      </w:r>
    </w:p>
    <w:p>
      <w:pPr>
        <w:spacing w:after="0" w:line="54"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i w:val="1"/>
          <w:iCs w:val="1"/>
          <w:color w:val="004483"/>
        </w:rPr>
        <w:t>Increases in interest rates and inflation could adversely affect our business and demand for our products, which would have a negative effect on our results of operations.</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business is significantly affected by the movement of interest rates. Interest rates have a direct impact on the level of residential, commercial, and infrastructure construction activity by impacting the cost of borrowed funds to builders. Rising interest rates could result in decreased demand for our products, which could have a material adverse effect on our business and results of operations. In addition, recent increases in interest rates have resulted in higher interest expense related to borrowings under our borrowing facilities. The recent rise in inflation has caused our cost of capital to increase, and the purchasing power of our cash resources to decline. Current or future efforts by the government to stimulate the economy may increase the risk of significant inflation, which could have a direct and indirect adverse impact on our business and results of operations.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7" w:right="359" w:bottom="1440" w:gutter="0" w:footer="0" w:header="0"/>
        </w:sectPr>
      </w:pPr>
    </w:p>
    <w:bookmarkStart w:id="37" w:name="page38"/>
    <w:bookmarkEnd w:id="37"/>
    <w:p>
      <w:pPr>
        <w:spacing w:after="0"/>
        <w:rPr>
          <w:sz w:val="20"/>
          <w:szCs w:val="20"/>
          <w:color w:val="auto"/>
        </w:rPr>
      </w:pPr>
      <w:r>
        <w:rPr>
          <w:rFonts w:ascii="Arial" w:cs="Arial" w:eastAsia="Arial" w:hAnsi="Arial"/>
          <w:sz w:val="20"/>
          <w:szCs w:val="20"/>
          <w:i w:val="1"/>
          <w:iCs w:val="1"/>
          <w:color w:val="004483"/>
        </w:rPr>
        <w:t>Increases in our effective income tax rate may harm our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may increase our future effective income tax rate, including:</w:t>
      </w:r>
    </w:p>
    <w:p>
      <w:pPr>
        <w:spacing w:after="0" w:line="8"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governmental authorities increasing taxes or eliminating deductions, particularly the depletion deduction;</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mix of earnings from depletable versus non-depletable businesses;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jurisdictions in which earnings are taxed;</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resolution of issues arising from tax audits with various tax authorities;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changes in the valuation of our deferred tax assets and liabilities;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adjustments to estimated taxes upon finalization of various tax returns;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changes in available tax credits;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changes in stock-based compensation;</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other changes in tax laws; and</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interpretation of tax laws and/or administrative practices.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net earnings and free cash flow for future periods.</w:t>
      </w:r>
    </w:p>
    <w:p>
      <w:pPr>
        <w:spacing w:after="0" w:line="93"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i w:val="1"/>
          <w:iCs w:val="1"/>
          <w:color w:val="004483"/>
        </w:rPr>
        <w:t>We depend on the recruitment and retention of qualified personnel, and our failure to attract and retain such personnel could adversely affect our businesses.</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success depends to a significant degree upon the continued services of, and on our ability to attract and retain, our key personnel and executive officers, including qualified management, operations, technical, marketing and sales, and support personnel. Competition for such personnel is intense, and we may not be successful in attracting or retaining such qualified personnel, which could negatively affect our businesses.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Failure to ensure effective transfer of knowledge and smooth transitions involving key employees could hinder our strategic planning and execution.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Disruption of our business operations due to disputes with organized labor.</w:t>
      </w:r>
    </w:p>
    <w:p>
      <w:pPr>
        <w:spacing w:after="0" w:line="10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Approximately half of our hourly employees are covered by collective bargaining agreements. Labor is a meaningful component in our ability to operate our business and can have a significant impact on the cost of operating our business. Labor shortages could restrict our ability to operate our business and increase costs to operate our business. Additionally, disputes with trade unions or the inability to renew our labor agreements may lead to work stoppages or strikes that could disrupt our business operations and lead to higher costs and/or reduced revenue and operating earnings.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GROWTH RISK FACTORS AND FORWARD-LOOKING STATEMENTS</w:t>
      </w:r>
    </w:p>
    <w:p>
      <w:pPr>
        <w:spacing w:after="0" w:line="98" w:lineRule="exact"/>
        <w:rPr>
          <w:sz w:val="20"/>
          <w:szCs w:val="20"/>
          <w:color w:val="auto"/>
        </w:rPr>
      </w:pPr>
    </w:p>
    <w:p>
      <w:pPr>
        <w:jc w:val="both"/>
        <w:ind w:right="120"/>
        <w:spacing w:after="0" w:line="258" w:lineRule="auto"/>
        <w:rPr>
          <w:sz w:val="20"/>
          <w:szCs w:val="20"/>
          <w:color w:val="auto"/>
        </w:rPr>
      </w:pPr>
      <w:r>
        <w:rPr>
          <w:rFonts w:ascii="Arial" w:cs="Arial" w:eastAsia="Arial" w:hAnsi="Arial"/>
          <w:sz w:val="19"/>
          <w:szCs w:val="19"/>
          <w:i w:val="1"/>
          <w:iCs w:val="1"/>
          <w:color w:val="004483"/>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6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7" w:right="399" w:bottom="1440" w:gutter="0" w:footer="0" w:header="0"/>
        </w:sectPr>
      </w:pPr>
    </w:p>
    <w:bookmarkStart w:id="38" w:name="page39"/>
    <w:bookmarkEnd w:id="38"/>
    <w:p>
      <w:pPr>
        <w:spacing w:after="0" w:line="241" w:lineRule="auto"/>
        <w:rPr>
          <w:sz w:val="20"/>
          <w:szCs w:val="20"/>
          <w:color w:val="auto"/>
        </w:rPr>
      </w:pPr>
      <w:r>
        <w:rPr>
          <w:rFonts w:ascii="Arial" w:cs="Arial" w:eastAsia="Arial" w:hAnsi="Arial"/>
          <w:sz w:val="18"/>
          <w:szCs w:val="18"/>
          <w:color w:val="auto"/>
        </w:rPr>
        <w:t>opportunities, we may not be successful in completing transactions for a number of reasons. Any transactions that we are able to identify and complete may involve one or more of a number of risks, including:</w:t>
      </w:r>
    </w:p>
    <w:p>
      <w:pPr>
        <w:spacing w:after="0" w:line="1" w:lineRule="exact"/>
        <w:rPr>
          <w:sz w:val="20"/>
          <w:szCs w:val="20"/>
          <w:color w:val="auto"/>
        </w:rPr>
      </w:pPr>
    </w:p>
    <w:p>
      <w:pPr>
        <w:ind w:left="240" w:right="100" w:hanging="232"/>
        <w:spacing w:after="0" w:line="234" w:lineRule="auto"/>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the diversion of management’s attention from our existing businesses to integrate the operations and personnel of the acquired business or joint venture;</w:t>
      </w:r>
    </w:p>
    <w:p>
      <w:pPr>
        <w:spacing w:after="0" w:line="1" w:lineRule="exact"/>
        <w:rPr>
          <w:rFonts w:ascii="Arial" w:cs="Arial" w:eastAsia="Arial" w:hAnsi="Arial"/>
          <w:sz w:val="18"/>
          <w:szCs w:val="18"/>
          <w:color w:val="004483"/>
        </w:rPr>
      </w:pPr>
    </w:p>
    <w:p>
      <w:pPr>
        <w:ind w:left="240" w:hanging="232"/>
        <w:spacing w:after="0"/>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possible adverse effects on our operating results during the integration process;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failure of the acquired business or joint venture to achieve expected operational, profitability, and investment return objectives;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the incurrence of significant charges, such as impairment of goodwill or intangible assets, asset devaluation, or restructuring charges;</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the assumption of unanticipated liabilities and costs for which indemnification is unavailable or inadequate;</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unforeseen difficulties encountered in operating in new geographic areas; and</w:t>
      </w:r>
    </w:p>
    <w:p>
      <w:pPr>
        <w:spacing w:after="0" w:line="9" w:lineRule="exact"/>
        <w:rPr>
          <w:rFonts w:ascii="Arial" w:cs="Arial" w:eastAsia="Arial" w:hAnsi="Arial"/>
          <w:sz w:val="18"/>
          <w:szCs w:val="18"/>
          <w:color w:val="004483"/>
        </w:rPr>
      </w:pPr>
    </w:p>
    <w:p>
      <w:pPr>
        <w:ind w:left="240" w:hanging="232"/>
        <w:spacing w:after="0"/>
        <w:tabs>
          <w:tab w:leader="none" w:pos="240" w:val="left"/>
        </w:tabs>
        <w:numPr>
          <w:ilvl w:val="0"/>
          <w:numId w:val="17"/>
        </w:numPr>
        <w:rPr>
          <w:rFonts w:ascii="Arial" w:cs="Arial" w:eastAsia="Arial" w:hAnsi="Arial"/>
          <w:sz w:val="18"/>
          <w:szCs w:val="18"/>
          <w:color w:val="004483"/>
        </w:rPr>
      </w:pPr>
      <w:r>
        <w:rPr>
          <w:rFonts w:ascii="Arial" w:cs="Arial" w:eastAsia="Arial" w:hAnsi="Arial"/>
          <w:sz w:val="18"/>
          <w:szCs w:val="18"/>
          <w:color w:val="auto"/>
        </w:rPr>
        <w:t>the inability to achieve other intended objectives of the transaction.</w:t>
      </w:r>
    </w:p>
    <w:p>
      <w:pPr>
        <w:spacing w:after="0" w:line="10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66" w:lineRule="exact"/>
        <w:rPr>
          <w:sz w:val="20"/>
          <w:szCs w:val="20"/>
          <w:color w:val="auto"/>
        </w:rPr>
      </w:pPr>
    </w:p>
    <w:p>
      <w:pPr>
        <w:ind w:right="500"/>
        <w:spacing w:after="0" w:line="253" w:lineRule="auto"/>
        <w:rPr>
          <w:sz w:val="20"/>
          <w:szCs w:val="20"/>
          <w:color w:val="auto"/>
        </w:rPr>
      </w:pPr>
      <w:r>
        <w:rPr>
          <w:rFonts w:ascii="Arial" w:cs="Arial" w:eastAsia="Arial" w:hAnsi="Arial"/>
          <w:sz w:val="20"/>
          <w:szCs w:val="20"/>
          <w:i w:val="1"/>
          <w:iCs w:val="1"/>
          <w:color w:val="004483"/>
        </w:rPr>
        <w:t>Our Cement business has grown largely through acquisitions, and there is no assurance that we will be able to continue to acquire cement plans to support future growth.</w:t>
      </w:r>
    </w:p>
    <w:p>
      <w:pPr>
        <w:spacing w:after="0" w:line="6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prior years, we have been able to increase the size and scope of our Cement business in large part through acquisitions of cement plants from third parties. There are a limited number of companies operating cement plants in the United States, and plants typically become available for purchase only 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76"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i w:val="1"/>
          <w:iCs w:val="1"/>
          <w:color w:val="004483"/>
        </w:rPr>
        <w:t>We may pursue new business opportunities and, if we do so, these opportunities will be subject to the risks typically associated with the early stages of business development or product line expansion.</w:t>
      </w:r>
    </w:p>
    <w:p>
      <w:pPr>
        <w:spacing w:after="0" w:line="6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may from time to time pursue opportunities which are natural extensions of our existing core businesses and which allow us to leverage our core competencies, existing infrastructure, and customer relationships. Our likelihood of success in pursuing and realizing these opportunities must be considered in light of the expenses, difficulties, and delays frequently encountered in connection with the early phases of business development or product line expansion, including the difficulties involved in obtaining permits; planning and constructing new facilities; transporting and storing products; establishing, maintaining, or expanding customer relationships; as well as navigating the regulatory environment in which we operate. There can be no assurance that we will be successful in the pursuit and realization of these opportunities.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8" w:right="379" w:bottom="1440" w:gutter="0" w:footer="0" w:header="0"/>
        </w:sectPr>
      </w:pPr>
    </w:p>
    <w:bookmarkStart w:id="39" w:name="page40"/>
    <w:bookmarkEnd w:id="39"/>
    <w:p>
      <w:pPr>
        <w:ind w:right="80"/>
        <w:spacing w:after="0" w:line="253" w:lineRule="auto"/>
        <w:rPr>
          <w:sz w:val="20"/>
          <w:szCs w:val="20"/>
          <w:color w:val="auto"/>
        </w:rPr>
      </w:pPr>
      <w:r>
        <w:rPr>
          <w:rFonts w:ascii="Arial" w:cs="Arial" w:eastAsia="Arial" w:hAnsi="Arial"/>
          <w:sz w:val="20"/>
          <w:szCs w:val="20"/>
          <w:i w:val="1"/>
          <w:iCs w:val="1"/>
          <w:color w:val="004483"/>
        </w:rPr>
        <w:t>This report includes various forward-looking statements, which are not facts or guarantees of future performance and which are subject to significant risks and uncertainties.</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report and other materials we have filed or will file with the SEC, as well as information included in oral statements or other written statements made or to be made by us contain or may contain forward-looking statements within the meaning of Section 27A of the Securities Act of 1933, Section 21E of the Exchange Act of 1934, and the Private Securities Litigation Reform Act of 1995. You can identify these statements by the fact that they do not relate to matters of a strictly factual or historical nature and generally discuss or relate to forecasts, estimates, or other expectations regarding future events. Generally, the words “believe,” “expect,” “intend,” “estimate,” “anticipate,” “project,” “may,” “can,” “could,” “might,” “will,” and similar expressions identify forward-looking statements, including statements related to expected operating and performing results, planned transactions, plans, and objectives of management, future developments, or conditions in the industries in which we participate, including future prices for our products, audits, and legal proceedings to which we are a party, and other trends, developments, and uncertainties that may affect our business in the future.</w:t>
      </w:r>
    </w:p>
    <w:p>
      <w:pPr>
        <w:spacing w:after="0" w:line="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Forward-looking statements are not historical facts or guarantees of future performance but instead represent only our beliefs at the time the statements were made regarding future events, which are subject to significant risks, uncertainties, and other factors, many of which are outside of our control. Any or all of the forward-looking statements made by us may turn out to be materially inaccurate. This can occur as a result of incorrect assumptions, changes in facts and circumstances, or the effects of known risks and uncertainties. Many of the risks and uncertainties mentioned in this report or other reports filed by us with the SEC, including those discussed in the risk factor section of this report, will be important in determining whether these forward-looking statements prove to be accurate. Consequently, neither our stockholders nor any other person should place undue reliance on our forward-looking statements and should recognize that actual results may differ materially from those that may be anticipated by us.</w:t>
      </w:r>
    </w:p>
    <w:p>
      <w:pPr>
        <w:spacing w:after="0" w:line="8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All forward-looking statements made in this report are made as of the date hereof, and the risk that actual results will differ materially from expectations expressed in this report will increase with the passage of time. We undertake no obligation, and disclaim any duty, to publicly update or revise any forward-looking statements, whether as a result of new information, future events, changes in our expectations, or otherwise.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7" w:right="37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Staff comments.</w:t>
      </w:r>
    </w:p>
    <w:p>
      <w:pPr>
        <w:spacing w:after="0" w:line="3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operating facilities span the U.S. They include cement plants, quarries, and related facilities; concrete and aggregates plants and quarries; gypsum wallboard plants; and a recycled paperboard mill; as well as distribution terminals and our headquarters in Dallas. All of our facilities are owned, with the exception of our headquarters in Dallas, which is leased through May 2029, and certain terminals, as discussed on page 11. None of our facilities are pledged as security for any debts. Please see the Industry Segment Information section on pages 5-24 for more information about the location of our facilities, and a summary of mineral reserves for each of our applicable businesses.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map shows the locations of our operating facilities at March 31, 2023, by type of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133985</wp:posOffset>
            </wp:positionV>
            <wp:extent cx="5306695" cy="383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06695" cy="383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Please refer to Item 1. Business – Industry Segment Information, for information regarding certain legal proceedings relating to the disapproval by the EPA in February 2023 of SIPs for the States of Nevada, Oklahoma and Texas, which addressed the obligations of such states to eliminate significant contributions to nonattainment, or interference with maintenance, of the 2015 ozone NAAQS in other states. In response to the disapproval of the SIPs for such states, both such states and we have commenced litigation against the EPA. The litigation commenced by us was filed in April 2023 in the Ninth Circuit Court of Appeals, the Tenth Circuit Court of Appeals and the Fifth Circuit Court of Appeals. These actions are in their preliminary stages, and we are unable to predict the likely outcome thereof.</w:t>
      </w:r>
    </w:p>
    <w:p>
      <w:pPr>
        <w:spacing w:after="0" w:line="86"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(K) in the Audited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2" w:name="page43"/>
    <w:bookmarkEnd w:id="42"/>
    <w:p>
      <w:pPr>
        <w:spacing w:after="0"/>
        <w:rPr>
          <w:sz w:val="20"/>
          <w:szCs w:val="20"/>
          <w:color w:val="auto"/>
        </w:rPr>
      </w:pPr>
      <w:r>
        <w:rPr>
          <w:rFonts w:ascii="Arial" w:cs="Arial" w:eastAsia="Arial" w:hAnsi="Arial"/>
          <w:sz w:val="23"/>
          <w:szCs w:val="23"/>
          <w:b w:val="1"/>
          <w:bCs w:val="1"/>
          <w:color w:val="004483"/>
        </w:rPr>
        <w:t>PART II</w:t>
      </w:r>
    </w:p>
    <w:p>
      <w:pPr>
        <w:spacing w:after="0" w:line="200" w:lineRule="exact"/>
        <w:rPr>
          <w:sz w:val="20"/>
          <w:szCs w:val="20"/>
          <w:color w:val="auto"/>
        </w:rPr>
      </w:pPr>
    </w:p>
    <w:p>
      <w:pPr>
        <w:spacing w:after="0" w:line="319" w:lineRule="exact"/>
        <w:rPr>
          <w:sz w:val="20"/>
          <w:szCs w:val="20"/>
          <w:color w:val="auto"/>
        </w:rPr>
      </w:pPr>
    </w:p>
    <w:p>
      <w:pPr>
        <w:ind w:right="120"/>
        <w:spacing w:after="0" w:line="312"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STOCK PRICES AND DIVIDENDS</w:t>
      </w:r>
    </w:p>
    <w:p>
      <w:pPr>
        <w:spacing w:after="0" w:line="11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of May 17, 2023, there were approximately 1,100 holders of record of our Common Stock which trades on the New York Stock Exchange under the symbol EXP. See Management's Discussion and Analysis of Financial Condition and Results of Operations - Dividends for a discussion of our dividend policy.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SHARE REPURCHASES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On May 17, 2022, the Board of Directors authorized us to repurchase an additional 7,500,000 shares. Including this latest authorization,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has approved the repurchase in the open market of a cumulative total of approximately 55.9 million shares of our</w:t>
      </w:r>
    </w:p>
    <w:p>
      <w:pPr>
        <w:spacing w:after="0"/>
        <w:rPr>
          <w:sz w:val="20"/>
          <w:szCs w:val="20"/>
          <w:color w:val="auto"/>
        </w:rPr>
      </w:pPr>
      <w:r>
        <w:rPr>
          <w:rFonts w:ascii="Arial" w:cs="Arial" w:eastAsia="Arial" w:hAnsi="Arial"/>
          <w:sz w:val="18"/>
          <w:szCs w:val="18"/>
          <w:color w:val="auto"/>
        </w:rPr>
        <w:t>Common Stock since we became publicly held in April 1994.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2023 and 2022, we repurchased 3,075,788 and 3,982,657 shares, respectively, at average prices of $126.05 and</w:t>
      </w:r>
    </w:p>
    <w:p>
      <w:pPr>
        <w:spacing w:after="0" w:line="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$148.08, respectively. We did not repurchase any shares in fiscal 2021. We have repurchased approximately 48.2 million shares from April 1994 through March 31, 2023.</w:t>
      </w:r>
    </w:p>
    <w:p>
      <w:pPr>
        <w:spacing w:after="0" w:line="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74"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Inflation Reduction Act of 2022</w:t>
      </w:r>
      <w:r>
        <w:rPr>
          <w:rFonts w:ascii="Arial" w:cs="Arial" w:eastAsia="Arial" w:hAnsi="Arial"/>
          <w:sz w:val="18"/>
          <w:szCs w:val="18"/>
          <w:color w:val="auto"/>
        </w:rPr>
        <w:t xml:space="preserve"> added a provision imposing a 1% excise tax on the fair value of stock repurchases by companies beginning January 1, 2023. We do not expect taxes due on future repurchases of our shares to have a material effect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Purchases of the Company's common stock during the quarter ended March 31, 2023,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8"/>
              </w:rPr>
              <w:t>Average Price Paid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91"/>
        </w:trPr>
        <w:tc>
          <w:tcPr>
            <w:tcW w:w="5280" w:type="dxa"/>
            <w:vAlign w:val="bottom"/>
            <w:tcBorders>
              <w:bottom w:val="single" w:sz="8" w:color="004483"/>
            </w:tcBorders>
            <w:vMerge w:val="continue"/>
          </w:tcPr>
          <w:p>
            <w:pPr>
              <w:spacing w:after="0"/>
              <w:rPr>
                <w:sz w:val="16"/>
                <w:szCs w:val="16"/>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4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34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40" w:type="dxa"/>
            <w:vAlign w:val="bottom"/>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b w:val="1"/>
                <w:bCs w:val="1"/>
                <w:color w:val="004483"/>
              </w:rPr>
              <w:t>January 1 through January 31, 2023</w:t>
            </w:r>
          </w:p>
        </w:tc>
        <w:tc>
          <w:tcPr>
            <w:tcW w:w="1280" w:type="dxa"/>
            <w:vAlign w:val="bottom"/>
          </w:tcPr>
          <w:p>
            <w:pPr>
              <w:jc w:val="right"/>
              <w:spacing w:after="0"/>
              <w:rPr>
                <w:sz w:val="20"/>
                <w:szCs w:val="20"/>
                <w:color w:val="auto"/>
              </w:rPr>
            </w:pPr>
            <w:r>
              <w:rPr>
                <w:rFonts w:ascii="Arial" w:cs="Arial" w:eastAsia="Arial" w:hAnsi="Arial"/>
                <w:sz w:val="16"/>
                <w:szCs w:val="16"/>
                <w:color w:val="auto"/>
              </w:rPr>
              <w:t>240,000</w:t>
            </w:r>
          </w:p>
        </w:tc>
        <w:tc>
          <w:tcPr>
            <w:tcW w:w="620" w:type="dxa"/>
            <w:vAlign w:val="bottom"/>
            <w:gridSpan w:val="3"/>
          </w:tcPr>
          <w:p>
            <w:pPr>
              <w:jc w:val="right"/>
              <w:ind w:right="16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February 1 through February 28, 2023</w:t>
            </w:r>
          </w:p>
        </w:tc>
        <w:tc>
          <w:tcPr>
            <w:tcW w:w="12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8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March 1 through March 31, 2023</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288,000</w:t>
            </w:r>
          </w:p>
        </w:tc>
        <w:tc>
          <w:tcPr>
            <w:tcW w:w="14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139.98</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80" w:type="dxa"/>
            <w:vAlign w:val="bottom"/>
            <w:tcBorders>
              <w:bottom w:val="single" w:sz="8" w:color="004483"/>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0"/>
              <w:spacing w:after="0"/>
              <w:rPr>
                <w:sz w:val="20"/>
                <w:szCs w:val="20"/>
                <w:color w:val="auto"/>
              </w:rPr>
            </w:pPr>
            <w:r>
              <w:rPr>
                <w:rFonts w:ascii="Arial" w:cs="Arial" w:eastAsia="Arial" w:hAnsi="Arial"/>
                <w:sz w:val="16"/>
                <w:szCs w:val="16"/>
                <w:b w:val="1"/>
                <w:bCs w:val="1"/>
                <w:color w:val="auto"/>
              </w:rPr>
              <w:t>Quarter 4 Totals</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528,000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004483"/>
            </w:tcBorders>
          </w:tcPr>
          <w:p>
            <w:pPr>
              <w:jc w:val="right"/>
              <w:ind w:right="168"/>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139.81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7,747,204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sales of unregistered equity securities during fiscal 2023, 2022, or 2021.</w:t>
      </w:r>
    </w:p>
    <w:p>
      <w:pPr>
        <w:spacing w:after="0" w:line="10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Equity Compensation Plan information set forth in Part III, Item 12 of this Form 10-K is hereby incorporated by reference into this Part II, Item 5.</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9"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4483"/>
        </w:rPr>
        <w:t>PERFORMANCE GRAPH</w:t>
      </w:r>
    </w:p>
    <w:p>
      <w:pPr>
        <w:spacing w:after="0" w:line="11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004483"/>
        </w:rPr>
        <w:t>The following performance graph and related information shall not be deemed soliciting material or to be filed with the Securities and Exchange Commission, nor shall such information be incorporated by reference into any future filing under the Securities Act of 1933 or the Securities Exchange Act of 1934, each as amended, except to the extent that the Company specifically incorporates it by reference into such filing.</w:t>
      </w:r>
    </w:p>
    <w:p>
      <w:pPr>
        <w:spacing w:after="0" w:line="80" w:lineRule="exact"/>
        <w:rPr>
          <w:sz w:val="20"/>
          <w:szCs w:val="20"/>
          <w:color w:val="auto"/>
        </w:rPr>
      </w:pPr>
    </w:p>
    <w:p>
      <w:pPr>
        <w:ind w:right="440"/>
        <w:spacing w:after="0" w:line="243" w:lineRule="auto"/>
        <w:rPr>
          <w:sz w:val="20"/>
          <w:szCs w:val="20"/>
          <w:color w:val="auto"/>
        </w:rPr>
      </w:pPr>
      <w:r>
        <w:rPr>
          <w:rFonts w:ascii="Arial" w:cs="Arial" w:eastAsia="Arial" w:hAnsi="Arial"/>
          <w:sz w:val="18"/>
          <w:szCs w:val="18"/>
          <w:color w:val="auto"/>
        </w:rPr>
        <w:t>The graph below compares the cumulative 5-year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indices was $100 on March 31, 2018, and tracks it through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5349240" cy="44405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0" w:type="dxa"/>
            <w:vAlign w:val="bottom"/>
            <w:tcBorders>
              <w:bottom w:val="single" w:sz="8" w:color="004483"/>
            </w:tcBorders>
          </w:tcPr>
          <w:p>
            <w:pPr>
              <w:spacing w:after="0"/>
              <w:rPr>
                <w:sz w:val="16"/>
                <w:szCs w:val="16"/>
                <w:color w:val="auto"/>
              </w:rPr>
            </w:pPr>
          </w:p>
        </w:tc>
        <w:tc>
          <w:tcPr>
            <w:tcW w:w="162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3/18</w:t>
            </w:r>
          </w:p>
        </w:tc>
        <w:tc>
          <w:tcPr>
            <w:tcW w:w="116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3/19</w:t>
            </w:r>
          </w:p>
        </w:tc>
        <w:tc>
          <w:tcPr>
            <w:tcW w:w="116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3/20</w:t>
            </w:r>
          </w:p>
        </w:tc>
        <w:tc>
          <w:tcPr>
            <w:tcW w:w="116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3/21</w:t>
            </w:r>
          </w:p>
        </w:tc>
        <w:tc>
          <w:tcPr>
            <w:tcW w:w="116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3/22</w:t>
            </w:r>
          </w:p>
        </w:tc>
        <w:tc>
          <w:tcPr>
            <w:tcW w:w="980" w:type="dxa"/>
            <w:vAlign w:val="bottom"/>
            <w:tcBorders>
              <w:bottom w:val="single" w:sz="8" w:color="004483"/>
            </w:tcBorders>
          </w:tcPr>
          <w:p>
            <w:pPr>
              <w:jc w:val="right"/>
              <w:ind w:right="64"/>
              <w:spacing w:after="0"/>
              <w:rPr>
                <w:sz w:val="20"/>
                <w:szCs w:val="20"/>
                <w:color w:val="auto"/>
              </w:rPr>
            </w:pPr>
            <w:r>
              <w:rPr>
                <w:rFonts w:ascii="Arial" w:cs="Arial" w:eastAsia="Arial" w:hAnsi="Arial"/>
                <w:sz w:val="13"/>
                <w:szCs w:val="13"/>
                <w:b w:val="1"/>
                <w:bCs w:val="1"/>
                <w:color w:val="auto"/>
              </w:rPr>
              <w:t>3/23</w:t>
            </w:r>
          </w:p>
        </w:tc>
      </w:tr>
      <w:tr>
        <w:trPr>
          <w:trHeight w:val="213"/>
        </w:trPr>
        <w:tc>
          <w:tcPr>
            <w:tcW w:w="40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Eagle Materials Inc.</w:t>
            </w:r>
          </w:p>
        </w:tc>
        <w:tc>
          <w:tcPr>
            <w:tcW w:w="162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100.00</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82.20</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57.22</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131.85</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126.81</w:t>
            </w:r>
          </w:p>
        </w:tc>
        <w:tc>
          <w:tcPr>
            <w:tcW w:w="98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146.14</w:t>
            </w:r>
          </w:p>
        </w:tc>
      </w:tr>
      <w:tr>
        <w:trPr>
          <w:trHeight w:val="210"/>
        </w:trPr>
        <w:tc>
          <w:tcPr>
            <w:tcW w:w="40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Russell 1000</w:t>
            </w:r>
          </w:p>
        </w:tc>
        <w:tc>
          <w:tcPr>
            <w:tcW w:w="162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100.00</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109.30</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100.53</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161.44</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182.86</w:t>
            </w:r>
          </w:p>
        </w:tc>
        <w:tc>
          <w:tcPr>
            <w:tcW w:w="98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167.51</w:t>
            </w:r>
          </w:p>
        </w:tc>
      </w:tr>
      <w:tr>
        <w:trPr>
          <w:trHeight w:val="210"/>
        </w:trPr>
        <w:tc>
          <w:tcPr>
            <w:tcW w:w="40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Dow Jones US Building Materials &amp; Fixtures</w:t>
            </w:r>
          </w:p>
        </w:tc>
        <w:tc>
          <w:tcPr>
            <w:tcW w:w="162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100.00</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98.54</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90.61</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176.04</w:t>
            </w:r>
          </w:p>
        </w:tc>
        <w:tc>
          <w:tcPr>
            <w:tcW w:w="116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181.57</w:t>
            </w:r>
          </w:p>
        </w:tc>
        <w:tc>
          <w:tcPr>
            <w:tcW w:w="98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172.94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SEC Release No. 33-10890 eliminated the requirement of selected financial data previously required by Item 301 of Regulation S-K.</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EXECUTIVE SUMMARY</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to build, expand, and repair roads and highways, and repair and remodel activities. Demand for our products is generally cyclical and seasonal, depending on economic and geographic conditions. We distribute our products across many United States markets,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8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Our current businesses are organized into two sectors: Heavy Materials, which includes the Cement and Concrete and Aggregates segments; and Light Materials, which includes the Gypsum Wallboard and Recycled Paperboard segments. Financial results and other information for the fiscal years ended March 31, 2023 and 2022, are presented on a consolidated basis and with respect to these business segments – Cement, Concrete and Aggregates, Gypsum Wallboard, and Recycled Paperboard.</w:t>
      </w:r>
    </w:p>
    <w:p>
      <w:pPr>
        <w:spacing w:after="0" w:line="80"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business activities are all conducted in the United States. These activities include the mining of limestone for the manufacture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8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On April 22, 2022, we finalized the ConAgg Acquisition. The purchase price of the ConAgg Acquisition was approximately $120.2 million. The ConAgg Acquisition is included in our Heavy Materials sector, in the Concrete and Aggregates segment. See Footnote (B) to the Audited Consolidated Financial Statements for more information regarding the ConAgg Acquisition.</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September 16, 2022, we acquired a cement distribution terminal located in Nashville, Tennessee (the Terminal Acquisition). The purchase price of the Terminal Acquisition was approximately $39.5 million. The Terminal Acquisition is included in our Heavy Materials sector, in the Cement business segment.</w:t>
      </w:r>
    </w:p>
    <w:p>
      <w:pPr>
        <w:spacing w:after="0" w:line="76"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Subsequent to our fiscal year end, on May 3, 2023 we acquired a cement import distribution terminal in Stockton, California (the Stockton Acquisition). The Stockton Acquisition will be included in our Heavy Materials sector, in the Cement business segment, in fiscal 2024.</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004483"/>
        </w:rPr>
        <w:t>MARKET CONDITIONS AND OUTLOOK</w:t>
      </w:r>
    </w:p>
    <w:p>
      <w:pPr>
        <w:spacing w:after="0" w:line="11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Our fiscal 2023 results were strong, with increased operating earnings in our Cement and Gypsum Wallboard segments. Our end markets generally remained resilient despite external challenges, such as increased inflation and higher interest rates. Our regional construction markets continued in most cases to outperform the national averages, and sales volume in our Gypsum Wallboard business was up 4% compared to fiscal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Demand Outlook</w:t>
      </w:r>
    </w:p>
    <w:p>
      <w:pPr>
        <w:spacing w:after="0" w:line="11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The principal end-use market for Cement is public infrastructure (i.e. roads, bridges, and highways) with residential and nonresidential construction being secondary. Our Cement business continues to maintain a nearly sold-out position. We expect demand for cement to remain strong given increased federal funding from the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for public construction and repair projects during calendar 2023; continued high allocations from state budgets for additional infrastructure projects; and growth in heavy industrial projects. Despite underlying demand growth, our ability to achieve further Cement sales volume growth from our existing facilities is limited, because our integrated cement sales network is operating at high utilization levels.</w:t>
      </w:r>
    </w:p>
    <w:p>
      <w:pPr>
        <w:spacing w:after="0" w:line="8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principal end use for Gypsum Wallboard is residential housing, consisting of both new construction (single-family and multi-family homes) as well as repair and remodel. We expect tighter U.S. fiscal policy will likely have some adverse impact on residential construction activity as a result of higher mortgage rates; however, the magnitude and duration remains unclear at this time. Gypsum Wallboard orders and shipments currently remain resilient, and we expect home construction backlogs to mitigate the impact from higher interest rates; however, we have experienced a modest decline in our wallboard shipments in the first part of fiscal 2024. Our Recycled Paperboard business sells paper primarily into the gypsum wallboard market, and demand for our paper generally follows the demand for gypsum wallboard.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Cost Outlook</w:t>
      </w:r>
    </w:p>
    <w:p>
      <w:pPr>
        <w:spacing w:after="0" w:line="110"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We believe we are well-positioned to manage our cost structure and meet our customers’ needs during the next fiscal year. Our substantial raw material reserves for our Cement, Aggregates, and Gypsum Wallboard businesses, and their proximity to our respective manufacturing facilities, support our low-cost producer position across all our business segments.</w:t>
      </w:r>
    </w:p>
    <w:p>
      <w:pPr>
        <w:spacing w:after="0" w:line="7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Energy and freight costs increased in all our businesses during fiscal 2023. While natural gas costs have recently declined and freight costs have stabilized, we expect solid fuel costs, which are the primary energy costs in manufacturing cement, to increase in fiscal 2024. These increases are expected to affect our Cement business in fiscal 2024.</w:t>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primary raw material used to produce paperboard is OCC. Prices for OCC stabilized towards the end of fiscal 2023, and are expected to remain stable during the first part of fiscal 2024. Our current customer contracts for gypsum liner include price adjustments that partially compensate for changes in raw material fiber prices. However, because these price adjustments are not realized until future quarters, material costs in our Gypsum Wallboard segment are likely to be lower in the period that these price adjustments are realized.</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4483"/>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COMPARED WITH FISCAL YEAR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320" w:type="dxa"/>
            <w:vAlign w:val="bottom"/>
            <w:shd w:val="clear" w:color="auto" w:fill="004483"/>
          </w:tcPr>
          <w:p>
            <w:pPr>
              <w:spacing w:after="0"/>
              <w:rPr>
                <w:sz w:val="14"/>
                <w:szCs w:val="14"/>
                <w:color w:val="auto"/>
              </w:rPr>
            </w:pPr>
          </w:p>
        </w:tc>
        <w:tc>
          <w:tcPr>
            <w:tcW w:w="2740" w:type="dxa"/>
            <w:vAlign w:val="bottom"/>
            <w:gridSpan w:val="4"/>
            <w:shd w:val="clear" w:color="auto" w:fill="004483"/>
          </w:tcPr>
          <w:p>
            <w:pPr>
              <w:jc w:val="right"/>
              <w:ind w:right="600"/>
              <w:spacing w:after="0"/>
              <w:rPr>
                <w:sz w:val="20"/>
                <w:szCs w:val="20"/>
                <w:color w:val="auto"/>
              </w:rPr>
            </w:pPr>
            <w:r>
              <w:rPr>
                <w:rFonts w:ascii="Arial" w:cs="Arial" w:eastAsia="Arial" w:hAnsi="Arial"/>
                <w:sz w:val="13"/>
                <w:szCs w:val="13"/>
                <w:b w:val="1"/>
                <w:bCs w:val="1"/>
                <w:color w:val="FFFFFF"/>
              </w:rPr>
              <w:t>For the Years Ended March 31,</w:t>
            </w:r>
          </w:p>
        </w:tc>
        <w:tc>
          <w:tcPr>
            <w:tcW w:w="18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1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8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2740" w:type="dxa"/>
            <w:vAlign w:val="bottom"/>
            <w:tcBorders>
              <w:bottom w:val="single" w:sz="8" w:color="004483"/>
            </w:tcBorders>
            <w:gridSpan w:val="4"/>
          </w:tcPr>
          <w:p>
            <w:pPr>
              <w:jc w:val="right"/>
              <w:ind w:right="620"/>
              <w:spacing w:after="0"/>
              <w:rPr>
                <w:sz w:val="20"/>
                <w:szCs w:val="20"/>
                <w:color w:val="auto"/>
              </w:rPr>
            </w:pPr>
            <w:r>
              <w:rPr>
                <w:rFonts w:ascii="Arial" w:cs="Arial" w:eastAsia="Arial" w:hAnsi="Arial"/>
                <w:sz w:val="13"/>
                <w:szCs w:val="13"/>
                <w:color w:val="auto"/>
              </w:rPr>
              <w:t>(in thousands, except per share)</w:t>
            </w:r>
          </w:p>
        </w:tc>
        <w:tc>
          <w:tcPr>
            <w:tcW w:w="180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004483"/>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2,148,069</w:t>
            </w:r>
          </w:p>
        </w:tc>
        <w:tc>
          <w:tcPr>
            <w:tcW w:w="4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1,861,522</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80" w:type="dxa"/>
            <w:vAlign w:val="bottom"/>
          </w:tcPr>
          <w:p>
            <w:pPr>
              <w:ind w:left="20"/>
              <w:spacing w:after="0"/>
              <w:rPr>
                <w:sz w:val="20"/>
                <w:szCs w:val="20"/>
                <w:color w:val="auto"/>
              </w:rPr>
            </w:pPr>
            <w:r>
              <w:rPr>
                <w:rFonts w:ascii="Arial" w:cs="Arial" w:eastAsia="Arial" w:hAnsi="Arial"/>
                <w:sz w:val="16"/>
                <w:szCs w:val="16"/>
                <w:color w:val="004483"/>
              </w:rPr>
              <w:t>Cost of Goods Sold</w:t>
            </w:r>
          </w:p>
        </w:tc>
        <w:tc>
          <w:tcPr>
            <w:tcW w:w="320" w:type="dxa"/>
            <w:vAlign w:val="bottom"/>
            <w:tcBorders>
              <w:bottom w:val="single" w:sz="8" w:color="004483"/>
            </w:tcBorders>
          </w:tcPr>
          <w:p>
            <w:pPr>
              <w:spacing w:after="0"/>
              <w:rPr>
                <w:sz w:val="19"/>
                <w:szCs w:val="19"/>
                <w:color w:val="auto"/>
              </w:rPr>
            </w:pPr>
          </w:p>
        </w:tc>
        <w:tc>
          <w:tcPr>
            <w:tcW w:w="112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color w:val="auto"/>
              </w:rPr>
              <w:t>(1,508,803 )</w:t>
            </w:r>
          </w:p>
        </w:tc>
        <w:tc>
          <w:tcPr>
            <w:tcW w:w="180" w:type="dxa"/>
            <w:vAlign w:val="bottom"/>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(1,341,908 )</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20" w:type="dxa"/>
            <w:vAlign w:val="bottom"/>
            <w:shd w:val="clear" w:color="auto" w:fill="004483"/>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140" w:type="dxa"/>
            <w:vAlign w:val="bottom"/>
            <w:shd w:val="clear" w:color="auto" w:fill="004483"/>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80" w:type="dxa"/>
            <w:vAlign w:val="bottom"/>
          </w:tcPr>
          <w:p>
            <w:pPr>
              <w:ind w:left="20"/>
              <w:spacing w:after="0"/>
              <w:rPr>
                <w:sz w:val="20"/>
                <w:szCs w:val="20"/>
                <w:color w:val="auto"/>
              </w:rPr>
            </w:pPr>
            <w:r>
              <w:rPr>
                <w:rFonts w:ascii="Arial" w:cs="Arial" w:eastAsia="Arial" w:hAnsi="Arial"/>
                <w:sz w:val="16"/>
                <w:szCs w:val="16"/>
                <w:color w:val="004483"/>
              </w:rPr>
              <w:t>Gross Profit</w:t>
            </w:r>
          </w:p>
        </w:tc>
        <w:tc>
          <w:tcPr>
            <w:tcW w:w="32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639,266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519,614</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320" w:type="dxa"/>
            <w:vAlign w:val="bottom"/>
          </w:tcPr>
          <w:p>
            <w:pPr>
              <w:spacing w:after="0"/>
              <w:rPr>
                <w:sz w:val="18"/>
                <w:szCs w:val="18"/>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35,474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32,488</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004483"/>
              </w:rPr>
              <w:t>Corporate General and Administrative</w:t>
            </w: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(53,630 )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(46,801 )</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26"/>
        </w:trPr>
        <w:tc>
          <w:tcPr>
            <w:tcW w:w="63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Loss on Early Retirement of Senior Notes</w:t>
            </w:r>
          </w:p>
        </w:tc>
        <w:tc>
          <w:tcPr>
            <w:tcW w:w="320" w:type="dxa"/>
            <w:vAlign w:val="bottom"/>
            <w:tcBorders>
              <w:top w:val="single" w:sz="8" w:color="A6A6A6"/>
              <w:bottom w:val="single" w:sz="8" w:color="A6A6A6"/>
            </w:tcBorders>
          </w:tcPr>
          <w:p>
            <w:pPr>
              <w:spacing w:after="0"/>
              <w:rPr>
                <w:sz w:val="19"/>
                <w:szCs w:val="19"/>
                <w:color w:val="auto"/>
              </w:rPr>
            </w:pPr>
          </w:p>
        </w:tc>
        <w:tc>
          <w:tcPr>
            <w:tcW w:w="1120" w:type="dxa"/>
            <w:vAlign w:val="bottom"/>
            <w:tcBorders>
              <w:top w:val="single" w:sz="8" w:color="A6A6A6"/>
              <w:bottom w:val="single" w:sz="8" w:color="A6A6A6"/>
            </w:tcBorders>
          </w:tcPr>
          <w:p>
            <w:pPr>
              <w:jc w:val="right"/>
              <w:ind w:right="83"/>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c>
          <w:tcPr>
            <w:tcW w:w="1800" w:type="dxa"/>
            <w:vAlign w:val="bottom"/>
            <w:tcBorders>
              <w:top w:val="single" w:sz="8" w:color="A6A6A6"/>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color w:val="004483"/>
              </w:rPr>
              <w:t>Other Nonoperating Income</w:t>
            </w:r>
          </w:p>
        </w:tc>
        <w:tc>
          <w:tcPr>
            <w:tcW w:w="320" w:type="dxa"/>
            <w:vAlign w:val="bottom"/>
          </w:tcPr>
          <w:p>
            <w:pPr>
              <w:spacing w:after="0"/>
              <w:rPr>
                <w:sz w:val="18"/>
                <w:szCs w:val="18"/>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2,654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9,073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80" w:type="dxa"/>
            <w:vAlign w:val="bottom"/>
          </w:tcPr>
          <w:p>
            <w:pPr>
              <w:ind w:left="20"/>
              <w:spacing w:after="0"/>
              <w:rPr>
                <w:sz w:val="20"/>
                <w:szCs w:val="20"/>
                <w:color w:val="auto"/>
              </w:rPr>
            </w:pPr>
            <w:r>
              <w:rPr>
                <w:rFonts w:ascii="Arial" w:cs="Arial" w:eastAsia="Arial" w:hAnsi="Arial"/>
                <w:sz w:val="16"/>
                <w:szCs w:val="16"/>
                <w:color w:val="004483"/>
              </w:rPr>
              <w:t>Interest Expense, net</w:t>
            </w:r>
          </w:p>
        </w:tc>
        <w:tc>
          <w:tcPr>
            <w:tcW w:w="320" w:type="dxa"/>
            <w:vAlign w:val="bottom"/>
            <w:tcBorders>
              <w:bottom w:val="single" w:sz="8" w:color="004483"/>
            </w:tcBorders>
          </w:tcPr>
          <w:p>
            <w:pPr>
              <w:spacing w:after="0"/>
              <w:rPr>
                <w:sz w:val="19"/>
                <w:szCs w:val="19"/>
                <w:color w:val="auto"/>
              </w:rPr>
            </w:pPr>
          </w:p>
        </w:tc>
        <w:tc>
          <w:tcPr>
            <w:tcW w:w="112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color w:val="auto"/>
              </w:rPr>
              <w:t>(35,171 )</w:t>
            </w:r>
          </w:p>
        </w:tc>
        <w:tc>
          <w:tcPr>
            <w:tcW w:w="180" w:type="dxa"/>
            <w:vAlign w:val="bottom"/>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(30,873 )</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20" w:type="dxa"/>
            <w:vAlign w:val="bottom"/>
            <w:shd w:val="clear" w:color="auto" w:fill="004483"/>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140" w:type="dxa"/>
            <w:vAlign w:val="bottom"/>
            <w:shd w:val="clear" w:color="auto" w:fill="004483"/>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004483"/>
              </w:rPr>
              <w:t>Earnings Before Income Taxes</w:t>
            </w:r>
          </w:p>
        </w:tc>
        <w:tc>
          <w:tcPr>
            <w:tcW w:w="32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588,593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475,094</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8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320" w:type="dxa"/>
            <w:vAlign w:val="bottom"/>
            <w:tcBorders>
              <w:bottom w:val="single" w:sz="8" w:color="004483"/>
            </w:tcBorders>
          </w:tcPr>
          <w:p>
            <w:pPr>
              <w:spacing w:after="0"/>
              <w:rPr>
                <w:sz w:val="19"/>
                <w:szCs w:val="19"/>
                <w:color w:val="auto"/>
              </w:rPr>
            </w:pPr>
          </w:p>
        </w:tc>
        <w:tc>
          <w:tcPr>
            <w:tcW w:w="112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color w:val="auto"/>
              </w:rPr>
              <w:t>(127,053 )</w:t>
            </w:r>
          </w:p>
        </w:tc>
        <w:tc>
          <w:tcPr>
            <w:tcW w:w="180" w:type="dxa"/>
            <w:vAlign w:val="bottom"/>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(100,847 )</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1120" w:type="dxa"/>
            <w:vAlign w:val="bottom"/>
            <w:shd w:val="clear" w:color="auto" w:fill="004483"/>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1140" w:type="dxa"/>
            <w:vAlign w:val="bottom"/>
            <w:shd w:val="clear" w:color="auto" w:fill="004483"/>
          </w:tcPr>
          <w:p>
            <w:pPr>
              <w:spacing w:after="0" w:line="20" w:lineRule="exact"/>
              <w:rPr>
                <w:sz w:val="1"/>
                <w:szCs w:val="1"/>
                <w:color w:val="auto"/>
              </w:rPr>
            </w:pPr>
          </w:p>
        </w:tc>
        <w:tc>
          <w:tcPr>
            <w:tcW w:w="18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tcPr>
          <w:p>
            <w:pPr>
              <w:ind w:left="20"/>
              <w:spacing w:after="0"/>
              <w:rPr>
                <w:sz w:val="20"/>
                <w:szCs w:val="20"/>
                <w:color w:val="auto"/>
              </w:rPr>
            </w:pPr>
            <w:r>
              <w:rPr>
                <w:rFonts w:ascii="Arial" w:cs="Arial" w:eastAsia="Arial" w:hAnsi="Arial"/>
                <w:sz w:val="16"/>
                <w:szCs w:val="16"/>
                <w:b w:val="1"/>
                <w:bCs w:val="1"/>
                <w:color w:val="004483"/>
              </w:rPr>
              <w:t>Net Earnings</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83"/>
              <w:spacing w:after="0"/>
              <w:rPr>
                <w:sz w:val="20"/>
                <w:szCs w:val="20"/>
                <w:color w:val="auto"/>
              </w:rPr>
            </w:pPr>
            <w:r>
              <w:rPr>
                <w:rFonts w:ascii="Arial" w:cs="Arial" w:eastAsia="Arial" w:hAnsi="Arial"/>
                <w:sz w:val="16"/>
                <w:szCs w:val="16"/>
                <w:b w:val="1"/>
                <w:bCs w:val="1"/>
                <w:color w:val="auto"/>
              </w:rPr>
              <w:t>461,540</w:t>
            </w:r>
          </w:p>
        </w:tc>
        <w:tc>
          <w:tcPr>
            <w:tcW w:w="180" w:type="dxa"/>
            <w:vAlign w:val="bottom"/>
          </w:tcPr>
          <w:p>
            <w:pPr>
              <w:spacing w:after="0"/>
              <w:rPr>
                <w:sz w:val="18"/>
                <w:szCs w:val="18"/>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374,247</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23 %</w:t>
            </w:r>
          </w:p>
        </w:tc>
        <w:tc>
          <w:tcPr>
            <w:tcW w:w="0" w:type="dxa"/>
            <w:vAlign w:val="bottom"/>
          </w:tcPr>
          <w:p>
            <w:pPr>
              <w:spacing w:after="0"/>
              <w:rPr>
                <w:sz w:val="1"/>
                <w:szCs w:val="1"/>
                <w:color w:val="auto"/>
              </w:rPr>
            </w:pPr>
          </w:p>
        </w:tc>
      </w:tr>
      <w:tr>
        <w:trPr>
          <w:trHeight w:val="20"/>
        </w:trPr>
        <w:tc>
          <w:tcPr>
            <w:tcW w:w="638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800" w:type="dxa"/>
            <w:vAlign w:val="bottom"/>
            <w:tcBorders>
              <w:bottom w:val="single" w:sz="8" w:color="A6A6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tcPr>
          <w:p>
            <w:pPr>
              <w:ind w:left="20"/>
              <w:spacing w:after="0"/>
              <w:rPr>
                <w:sz w:val="20"/>
                <w:szCs w:val="20"/>
                <w:color w:val="auto"/>
              </w:rPr>
            </w:pPr>
            <w:r>
              <w:rPr>
                <w:rFonts w:ascii="Arial" w:cs="Arial" w:eastAsia="Arial" w:hAnsi="Arial"/>
                <w:sz w:val="16"/>
                <w:szCs w:val="16"/>
                <w:b w:val="1"/>
                <w:bCs w:val="1"/>
                <w:color w:val="004483"/>
              </w:rPr>
              <w:t>Diluted Earnings per Share</w:t>
            </w: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83"/>
              <w:spacing w:after="0"/>
              <w:rPr>
                <w:sz w:val="20"/>
                <w:szCs w:val="20"/>
                <w:color w:val="auto"/>
              </w:rPr>
            </w:pPr>
            <w:r>
              <w:rPr>
                <w:rFonts w:ascii="Arial" w:cs="Arial" w:eastAsia="Arial" w:hAnsi="Arial"/>
                <w:sz w:val="16"/>
                <w:szCs w:val="16"/>
                <w:b w:val="1"/>
                <w:bCs w:val="1"/>
                <w:color w:val="auto"/>
              </w:rPr>
              <w:t>12.46</w:t>
            </w:r>
          </w:p>
        </w:tc>
        <w:tc>
          <w:tcPr>
            <w:tcW w:w="180" w:type="dxa"/>
            <w:vAlign w:val="bottom"/>
          </w:tcPr>
          <w:p>
            <w:pPr>
              <w:spacing w:after="0"/>
              <w:rPr>
                <w:sz w:val="17"/>
                <w:szCs w:val="17"/>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9.14</w:t>
            </w:r>
          </w:p>
        </w:tc>
        <w:tc>
          <w:tcPr>
            <w:tcW w:w="1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36 %</w:t>
            </w:r>
          </w:p>
        </w:tc>
        <w:tc>
          <w:tcPr>
            <w:tcW w:w="0" w:type="dxa"/>
            <w:vAlign w:val="bottom"/>
          </w:tcPr>
          <w:p>
            <w:pPr>
              <w:spacing w:after="0"/>
              <w:rPr>
                <w:sz w:val="1"/>
                <w:szCs w:val="1"/>
                <w:color w:val="auto"/>
              </w:rPr>
            </w:pPr>
          </w:p>
        </w:tc>
      </w:tr>
      <w:tr>
        <w:trPr>
          <w:trHeight w:val="20"/>
        </w:trPr>
        <w:tc>
          <w:tcPr>
            <w:tcW w:w="638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800" w:type="dxa"/>
            <w:vAlign w:val="bottom"/>
            <w:tcBorders>
              <w:bottom w:val="single" w:sz="8" w:color="A6A6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REVENUE</w:t>
      </w:r>
    </w:p>
    <w:p>
      <w:pPr>
        <w:spacing w:after="0" w:line="11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Revenue increased in fiscal 2023 by $286.6 million, or 15%, to $2,148.1 million. The ConAgg Acquisition contributed $44.5 million of Revenue during fiscal 2023. Excluding the ConAgg Acquisition, Revenue increased $ 242.1 million, or 13%, largely because of higher gross sales prices of approximately $261.8 million, partially offset by lower Sales Volume of $19.7 million. All of our segments contributed to the higher gross sales prices, while lower Sales Volumes primarily related to the Cement and Recycled Paperboard segments. See individual segment disclosure in the Fiscal Year 2023 vs Fiscal Year 2022 Results by Segment section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COST OF GOODS SOLD</w:t>
      </w:r>
    </w:p>
    <w:p>
      <w:pPr>
        <w:spacing w:after="0" w:line="11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Cost of Goods Sold increased by $ 166.9 million, or 12%, to $1,508.8 million in fiscal 2023. The ConAgg Acquisition contributed $42.9 million of Cost of Goods Sold during fiscal 2023. Excluding the ConAgg Acquisition, Cost of Goods Sold increased $124.0 million, or 9%. The increase in Cost of Goods Sold was due to higher operating costs of $143.4 million, partially offset by lower Sales Volume of $19.4 million. Operating costs increased in all of our businesses, except Recycled Paperboard, which is discussed in the Fiscal Year 2023 vs Fiscal Year 2022 Results by Segment section.</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4483"/>
        </w:rPr>
        <w:t>GROSS PROFIT</w:t>
      </w:r>
    </w:p>
    <w:p>
      <w:pPr>
        <w:spacing w:after="0" w:line="114"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Gross Profit increased by 23% to $639.3 million in fiscal 2023. The increase in Gross Profit was mainly due to higher gross sales prices, partially offset by higher operating costs, as noted above. The gross margin increased to 30% in fiscal 2023 from 28% in fiscal 2022, primarily because of higher gross sales prices.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EQUITY IN EARNINGS OF UNCONSOLIDATED JOINT VENTURE</w:t>
      </w:r>
    </w:p>
    <w:p>
      <w:pPr>
        <w:spacing w:after="0" w:line="11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Equity in Earnings of Unconsolidated Joint Venture increased by $3.0 million, or 9%. The increase was mostly due to higher gross sales prices of $20.7 million. This was partially offset by lower Sales Volume and higher operating costs of approximately $3.5 million and $14.2 million, respectively. The higher operating costs were due primarily to increased maintenance, energy, and purchased cement costs, which reduced operating earnings by approximately $5.8 million, $0.6 million, and $6.5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CORPORATE GENERAL AND ADMINISTRATIVE</w:t>
      </w:r>
    </w:p>
    <w:p>
      <w:pPr>
        <w:spacing w:after="0" w:line="11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Corporate General and Administrative expenses increased by approximately $6.8 million, or 15%, to $53.6 million in fiscal 2023. The increase was due primarily to higher salary and incentive compensation, legal and professional fees, and information and technology upgrades of approximately $4.1 million, $0.6 million, and $1.1 million, respectively. The increase in salary and incentive compensation was mostly due to executive retirements during the year, as well as increased earnings, while the increase in legal and professional expense was due to acquisitions during the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LOSS ON EARLY RETIREMENT OF SENIOR NOTES</w:t>
      </w:r>
    </w:p>
    <w:p>
      <w:pPr>
        <w:spacing w:after="0" w:line="114"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(G) to the Audited Consolidated Financial Statements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NONOPERATING INCOME</w:t>
      </w:r>
    </w:p>
    <w:p>
      <w:pPr>
        <w:spacing w:after="0" w:line="11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Other Nonoperating Income was $2.7 million in fiscal 2023, compared with $9.1 million in fiscal 2022. Other Nonoperating Income consists of a variety of items that are nonsegment operating in nature, including lease and rental income, investment income, asset sales, and other miscellaneous income and cost items, such as large nonroutine sales of excess raw materials or energy.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INTEREST EXPENSE, NET</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Interest Expense, net increased by approximately $4.3 million, or 14%, during fiscal 2023. The increase was primarily related to higher interest expense on our Revolving Credit Facility, including the Term Loan, of approximately $12.0 million. The increased interest on our Revolving Credit Facility, including the Term Loan, was partially offset by lower loan amortization expense of approximately $7.4 million. The reduction in loan amortization expense was primarily due to a $6.1 million write-off of debt issuance costs in July 2021 related to our 4.500% Unsecured Senior Notes due in 2026 and our Term Loan. See Footnote (G) to the Audited Consolidated Financial Statements for more information.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4483"/>
        </w:rPr>
        <w:t>EARNINGS BEFORE INCOME TAXES</w:t>
      </w:r>
    </w:p>
    <w:p>
      <w:pPr>
        <w:spacing w:after="0" w:line="11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Earnings Before Income Taxes increased to $588.6 million during fiscal 2023, primarily because of higher Gross Profit and Equity in Earnings of Unconsolidated Joint Venture, and lower Loss on Early Retirement of Senior Notes. This was partially offset by higher Corporate General and Administrative expenses and Interest Expense, and lower Other Nonoperating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INCOME TAX EXPENSE</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Income Tax Expense for fiscal 2023 increased to $127.1 million from $100.8 million for fiscal 2022. The effective tax rate was 22%, compared with 21% in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NET EARNINGS AND DILUTED EARNINGS PER SHARE</w:t>
      </w:r>
    </w:p>
    <w:p>
      <w:pPr>
        <w:spacing w:after="0" w:line="11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Net Earnings increased 23% in fiscal 2023 to $461.5 million. Diluted Earnings per Share in fiscal 2023 was $12.46, compared with $9.14 for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FISCAL YEAR 2023 vs FISCAL YEAR 2022 RESULTS BY SEGMENT</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following presents results within our two business sectors in fiscal 2023 and fiscal 2022. Revenue and operating results are organized by sector and discussed by individual business segment within each respective business sector.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 xml:space="preserve">CEMENT </w:t>
      </w:r>
      <w:r>
        <w:rPr>
          <w:rFonts w:ascii="Arial" w:cs="Arial" w:eastAsia="Arial" w:hAnsi="Arial"/>
          <w:sz w:val="24"/>
          <w:szCs w:val="24"/>
          <w:b w:val="1"/>
          <w:bCs w:val="1"/>
          <w:color w:val="277EBF"/>
          <w:vertAlign w:val="superscript"/>
        </w:rPr>
        <w:t>(1)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2860" w:type="dxa"/>
            <w:vAlign w:val="bottom"/>
            <w:gridSpan w:val="6"/>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rPr>
              <w:t>For the Years Ended March 31,</w:t>
            </w:r>
          </w:p>
        </w:tc>
        <w:tc>
          <w:tcPr>
            <w:tcW w:w="18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004483"/>
            </w:tcBorders>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40" w:type="dxa"/>
            <w:vAlign w:val="bottom"/>
            <w:tcBorders>
              <w:bottom w:val="single" w:sz="8" w:color="17385E"/>
            </w:tcBorders>
          </w:tcPr>
          <w:p>
            <w:pPr>
              <w:spacing w:after="0"/>
              <w:rPr>
                <w:sz w:val="15"/>
                <w:szCs w:val="15"/>
                <w:color w:val="auto"/>
              </w:rPr>
            </w:pPr>
          </w:p>
        </w:tc>
        <w:tc>
          <w:tcPr>
            <w:tcW w:w="200" w:type="dxa"/>
            <w:vAlign w:val="bottom"/>
            <w:tcBorders>
              <w:bottom w:val="single" w:sz="8" w:color="17385E"/>
            </w:tcBorders>
          </w:tcPr>
          <w:p>
            <w:pPr>
              <w:spacing w:after="0"/>
              <w:rPr>
                <w:sz w:val="15"/>
                <w:szCs w:val="15"/>
                <w:color w:val="auto"/>
              </w:rPr>
            </w:pPr>
          </w:p>
        </w:tc>
        <w:tc>
          <w:tcPr>
            <w:tcW w:w="2720" w:type="dxa"/>
            <w:vAlign w:val="bottom"/>
            <w:tcBorders>
              <w:bottom w:val="single" w:sz="8" w:color="17385E"/>
            </w:tcBorders>
            <w:gridSpan w:val="5"/>
          </w:tcPr>
          <w:p>
            <w:pPr>
              <w:jc w:val="right"/>
              <w:ind w:right="221"/>
              <w:spacing w:after="0"/>
              <w:rPr>
                <w:sz w:val="20"/>
                <w:szCs w:val="20"/>
                <w:color w:val="auto"/>
              </w:rPr>
            </w:pPr>
            <w:r>
              <w:rPr>
                <w:rFonts w:ascii="Arial" w:cs="Arial" w:eastAsia="Arial" w:hAnsi="Arial"/>
                <w:sz w:val="13"/>
                <w:szCs w:val="13"/>
                <w:color w:val="auto"/>
              </w:rPr>
              <w:t>(in thousands, except per ton information)</w:t>
            </w:r>
          </w:p>
        </w:tc>
        <w:tc>
          <w:tcPr>
            <w:tcW w:w="140" w:type="dxa"/>
            <w:vAlign w:val="bottom"/>
          </w:tcPr>
          <w:p>
            <w:pPr>
              <w:spacing w:after="0"/>
              <w:rPr>
                <w:sz w:val="15"/>
                <w:szCs w:val="15"/>
                <w:color w:val="auto"/>
              </w:rPr>
            </w:pPr>
          </w:p>
        </w:tc>
        <w:tc>
          <w:tcPr>
            <w:tcW w:w="160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3983C5"/>
              </w:rPr>
              <w:t>Revenue, including Intersegment and Joint Venture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1,074,070</w:t>
            </w:r>
          </w:p>
        </w:tc>
        <w:tc>
          <w:tcPr>
            <w:tcW w:w="140" w:type="dxa"/>
            <w:vAlign w:val="bottom"/>
          </w:tcPr>
          <w:p>
            <w:pPr>
              <w:spacing w:after="0"/>
              <w:rPr>
                <w:sz w:val="18"/>
                <w:szCs w:val="18"/>
                <w:color w:val="auto"/>
              </w:rPr>
            </w:pP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1,007,094</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3983C5"/>
              </w:rPr>
              <w:t>Less Intersegment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(32,915 )</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(22,915 )</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40" w:type="dxa"/>
            <w:vAlign w:val="bottom"/>
          </w:tcPr>
          <w:p>
            <w:pPr>
              <w:ind w:left="20"/>
              <w:spacing w:after="0"/>
              <w:rPr>
                <w:sz w:val="20"/>
                <w:szCs w:val="20"/>
                <w:color w:val="auto"/>
              </w:rPr>
            </w:pPr>
            <w:r>
              <w:rPr>
                <w:rFonts w:ascii="Arial" w:cs="Arial" w:eastAsia="Arial" w:hAnsi="Arial"/>
                <w:sz w:val="16"/>
                <w:szCs w:val="16"/>
                <w:color w:val="3983C5"/>
              </w:rPr>
              <w:t>Less Joint Venture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(113,518 )</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(103,899 )</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96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3983C5"/>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927,637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880,280</w:t>
            </w:r>
          </w:p>
        </w:tc>
        <w:tc>
          <w:tcPr>
            <w:tcW w:w="14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3"/>
        </w:trPr>
        <w:tc>
          <w:tcPr>
            <w:tcW w:w="644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110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3983C5"/>
              </w:rPr>
              <w:t>Sales Volume (M Tons)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7,534</w:t>
            </w:r>
          </w:p>
        </w:tc>
        <w:tc>
          <w:tcPr>
            <w:tcW w:w="14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3983C5"/>
              </w:rPr>
              <w:t>Freight and Delivery Costs billed to Customers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(60,288 )</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(60,620 )</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tcPr>
          <w:p>
            <w:pPr>
              <w:ind w:left="20"/>
              <w:spacing w:after="0" w:line="213" w:lineRule="exact"/>
              <w:rPr>
                <w:sz w:val="20"/>
                <w:szCs w:val="20"/>
                <w:color w:val="auto"/>
              </w:rPr>
            </w:pPr>
            <w:r>
              <w:rPr>
                <w:rFonts w:ascii="Arial" w:cs="Arial" w:eastAsia="Arial" w:hAnsi="Arial"/>
                <w:sz w:val="16"/>
                <w:szCs w:val="16"/>
                <w:color w:val="3983C5"/>
              </w:rPr>
              <w:t xml:space="preserve">Average Net Sales Price, per ton </w:t>
            </w:r>
            <w:r>
              <w:rPr>
                <w:rFonts w:ascii="Arial" w:cs="Arial" w:eastAsia="Arial" w:hAnsi="Arial"/>
                <w:sz w:val="21"/>
                <w:szCs w:val="21"/>
                <w:color w:val="3983C5"/>
                <w:vertAlign w:val="superscript"/>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134.36</w:t>
            </w:r>
          </w:p>
        </w:tc>
        <w:tc>
          <w:tcPr>
            <w:tcW w:w="140" w:type="dxa"/>
            <w:vAlign w:val="bottom"/>
          </w:tcPr>
          <w:p>
            <w:pPr>
              <w:spacing w:after="0"/>
              <w:rPr>
                <w:sz w:val="18"/>
                <w:szCs w:val="18"/>
                <w:color w:val="auto"/>
              </w:rPr>
            </w:pP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119.13</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3983C5"/>
              </w:rPr>
              <w:t>Operating Margin, per ton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39.08</w:t>
            </w:r>
          </w:p>
        </w:tc>
        <w:tc>
          <w:tcPr>
            <w:tcW w:w="140" w:type="dxa"/>
            <w:vAlign w:val="bottom"/>
          </w:tcPr>
          <w:p>
            <w:pPr>
              <w:spacing w:after="0"/>
              <w:rPr>
                <w:sz w:val="17"/>
                <w:szCs w:val="17"/>
                <w:color w:val="auto"/>
              </w:rPr>
            </w:pP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34.45</w:t>
            </w:r>
          </w:p>
        </w:tc>
        <w:tc>
          <w:tcPr>
            <w:tcW w:w="14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3983C5"/>
              </w:rPr>
              <w:t>Operating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278,762</w:t>
            </w:r>
          </w:p>
        </w:tc>
        <w:tc>
          <w:tcPr>
            <w:tcW w:w="140" w:type="dxa"/>
            <w:vAlign w:val="bottom"/>
          </w:tcPr>
          <w:p>
            <w:pPr>
              <w:spacing w:after="0"/>
              <w:rPr>
                <w:sz w:val="18"/>
                <w:szCs w:val="18"/>
                <w:color w:val="auto"/>
              </w:rPr>
            </w:pP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259,556</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-1859280</wp:posOffset>
            </wp:positionV>
            <wp:extent cx="85725" cy="18599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859915"/>
                    </a:xfrm>
                    <a:prstGeom prst="rect">
                      <a:avLst/>
                    </a:prstGeom>
                    <a:noFill/>
                  </pic:spPr>
                </pic:pic>
              </a:graphicData>
            </a:graphic>
          </wp:anchor>
        </w:drawing>
      </w:r>
    </w:p>
    <w:p>
      <w:pPr>
        <w:spacing w:after="0" w:line="51"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4"/>
          <w:szCs w:val="24"/>
          <w:color w:val="auto"/>
          <w:vertAlign w:val="subscript"/>
        </w:rPr>
      </w:pPr>
      <w:r>
        <w:rPr>
          <w:rFonts w:ascii="Arial" w:cs="Arial" w:eastAsia="Arial" w:hAnsi="Arial"/>
          <w:sz w:val="12"/>
          <w:szCs w:val="12"/>
          <w:color w:val="auto"/>
        </w:rPr>
        <w:t>Total of wholly owned subsidiaries and proportionately consolidated 50% interest of the Joint Venture’s results.</w:t>
      </w:r>
    </w:p>
    <w:p>
      <w:pPr>
        <w:spacing w:after="0" w:line="41" w:lineRule="exact"/>
        <w:rPr>
          <w:rFonts w:ascii="Arial" w:cs="Arial" w:eastAsia="Arial" w:hAnsi="Arial"/>
          <w:sz w:val="24"/>
          <w:szCs w:val="24"/>
          <w:color w:val="auto"/>
          <w:vertAlign w:val="subscript"/>
        </w:rPr>
      </w:pPr>
    </w:p>
    <w:p>
      <w:pPr>
        <w:ind w:left="380" w:hanging="372"/>
        <w:spacing w:after="0" w:line="183" w:lineRule="auto"/>
        <w:tabs>
          <w:tab w:leader="none" w:pos="380" w:val="left"/>
        </w:tabs>
        <w:numPr>
          <w:ilvl w:val="0"/>
          <w:numId w:val="18"/>
        </w:numPr>
        <w:rPr>
          <w:rFonts w:ascii="Arial" w:cs="Arial" w:eastAsia="Arial" w:hAnsi="Arial"/>
          <w:sz w:val="23"/>
          <w:szCs w:val="23"/>
          <w:color w:val="auto"/>
          <w:vertAlign w:val="subscript"/>
        </w:rPr>
      </w:pPr>
      <w:r>
        <w:rPr>
          <w:rFonts w:ascii="Arial" w:cs="Arial" w:eastAsia="Arial" w:hAnsi="Arial"/>
          <w:sz w:val="12"/>
          <w:szCs w:val="12"/>
          <w:color w:val="auto"/>
        </w:rPr>
        <w:t>Net of freight, including the Joint Venture.</w:t>
      </w:r>
    </w:p>
    <w:p>
      <w:pPr>
        <w:spacing w:after="0" w:line="18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Cement Revenue was $1,074.1 million for fiscal 2023, a 7% increase over fiscal 2022. Cement Revenue increased by approximately $67.0 million, primarily as a result of higher gross sales prices, which improved Cement Revenue by approximately $109.0 million, partially offset by lower Sales Volume, which reduced Revenue by $42.0 million.</w:t>
      </w:r>
    </w:p>
    <w:p>
      <w:pPr>
        <w:spacing w:after="0" w:line="76"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Cement Operating Earnings increased 7% to $278.8 million for fiscal 2023. The increase was due to higher gross sales prices, which positively affected Operating Earnings by approximately $109.0 million. This was partially offset by lower Sales Volume and higher operating expenses, which reduced Operating Earnings by $14.0 million and $75.8 million, respectively. The rise in operating expenses was mostly due to maintenance, energy and purchased cement costs of approximately $25.7 million, $41.4 million and $4.5 million, respectively. The Operating Margin remained flat at 26%, with higher gross sales prices being offset by increased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AAC6"/>
        </w:rPr>
        <w:t>CONCRETE AND AGGREGATES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2820" w:type="dxa"/>
            <w:vAlign w:val="bottom"/>
            <w:gridSpan w:val="5"/>
            <w:shd w:val="clear" w:color="auto" w:fill="004483"/>
          </w:tcPr>
          <w:p>
            <w:pPr>
              <w:ind w:left="300"/>
              <w:spacing w:after="0"/>
              <w:rPr>
                <w:sz w:val="20"/>
                <w:szCs w:val="20"/>
                <w:color w:val="auto"/>
              </w:rPr>
            </w:pPr>
            <w:r>
              <w:rPr>
                <w:rFonts w:ascii="Arial" w:cs="Arial" w:eastAsia="Arial" w:hAnsi="Arial"/>
                <w:sz w:val="13"/>
                <w:szCs w:val="13"/>
                <w:b w:val="1"/>
                <w:bCs w:val="1"/>
                <w:color w:val="FFFFFF"/>
              </w:rPr>
              <w:t>For the Years Ended March 31,</w:t>
            </w:r>
          </w:p>
        </w:tc>
        <w:tc>
          <w:tcPr>
            <w:tcW w:w="18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004483"/>
            </w:tcBorders>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380" w:type="dxa"/>
            <w:vAlign w:val="bottom"/>
            <w:tcBorders>
              <w:bottom w:val="single" w:sz="8" w:color="17385E"/>
            </w:tcBorders>
          </w:tcPr>
          <w:p>
            <w:pPr>
              <w:spacing w:after="0"/>
              <w:rPr>
                <w:sz w:val="15"/>
                <w:szCs w:val="15"/>
                <w:color w:val="auto"/>
              </w:rPr>
            </w:pPr>
          </w:p>
        </w:tc>
        <w:tc>
          <w:tcPr>
            <w:tcW w:w="240" w:type="dxa"/>
            <w:vAlign w:val="bottom"/>
            <w:tcBorders>
              <w:bottom w:val="single" w:sz="8" w:color="17385E"/>
            </w:tcBorders>
          </w:tcPr>
          <w:p>
            <w:pPr>
              <w:spacing w:after="0"/>
              <w:rPr>
                <w:sz w:val="15"/>
                <w:szCs w:val="15"/>
                <w:color w:val="auto"/>
              </w:rPr>
            </w:pPr>
          </w:p>
        </w:tc>
        <w:tc>
          <w:tcPr>
            <w:tcW w:w="2680" w:type="dxa"/>
            <w:vAlign w:val="bottom"/>
            <w:tcBorders>
              <w:bottom w:val="single" w:sz="8" w:color="17385E"/>
            </w:tcBorders>
            <w:gridSpan w:val="4"/>
          </w:tcPr>
          <w:p>
            <w:pPr>
              <w:jc w:val="right"/>
              <w:ind w:right="302"/>
              <w:spacing w:after="0"/>
              <w:rPr>
                <w:sz w:val="20"/>
                <w:szCs w:val="20"/>
                <w:color w:val="auto"/>
              </w:rPr>
            </w:pPr>
            <w:r>
              <w:rPr>
                <w:rFonts w:ascii="Arial" w:cs="Arial" w:eastAsia="Arial" w:hAnsi="Arial"/>
                <w:sz w:val="13"/>
                <w:szCs w:val="13"/>
                <w:color w:val="auto"/>
              </w:rPr>
              <w:t>(in thousands, except net sales prices)</w:t>
            </w:r>
          </w:p>
        </w:tc>
        <w:tc>
          <w:tcPr>
            <w:tcW w:w="140" w:type="dxa"/>
            <w:vAlign w:val="bottom"/>
          </w:tcPr>
          <w:p>
            <w:pPr>
              <w:spacing w:after="0"/>
              <w:rPr>
                <w:sz w:val="15"/>
                <w:szCs w:val="15"/>
                <w:color w:val="auto"/>
              </w:rPr>
            </w:pPr>
          </w:p>
        </w:tc>
        <w:tc>
          <w:tcPr>
            <w:tcW w:w="166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00AAC6"/>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239,516</w:t>
            </w:r>
          </w:p>
        </w:tc>
        <w:tc>
          <w:tcPr>
            <w:tcW w:w="7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177,122</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3"/>
        </w:trPr>
        <w:tc>
          <w:tcPr>
            <w:tcW w:w="638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106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AAC6"/>
              </w:rPr>
              <w:t>Sales Volume</w:t>
            </w:r>
          </w:p>
        </w:tc>
        <w:tc>
          <w:tcPr>
            <w:tcW w:w="24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bottom w:val="single" w:sz="8" w:color="A6A6A6"/>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200"/>
              <w:spacing w:after="0"/>
              <w:rPr>
                <w:sz w:val="20"/>
                <w:szCs w:val="20"/>
                <w:color w:val="auto"/>
              </w:rPr>
            </w:pPr>
            <w:r>
              <w:rPr>
                <w:rFonts w:ascii="Arial" w:cs="Arial" w:eastAsia="Arial" w:hAnsi="Arial"/>
                <w:sz w:val="16"/>
                <w:szCs w:val="16"/>
                <w:color w:val="00AAC6"/>
              </w:rPr>
              <w:t>M Cubic Yards of Concrete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1,333</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tcPr>
          <w:p>
            <w:pPr>
              <w:ind w:left="200"/>
              <w:spacing w:after="0"/>
              <w:rPr>
                <w:sz w:val="20"/>
                <w:szCs w:val="20"/>
                <w:color w:val="auto"/>
              </w:rPr>
            </w:pPr>
            <w:r>
              <w:rPr>
                <w:rFonts w:ascii="Arial" w:cs="Arial" w:eastAsia="Arial" w:hAnsi="Arial"/>
                <w:sz w:val="16"/>
                <w:szCs w:val="16"/>
                <w:color w:val="00AAC6"/>
              </w:rPr>
              <w:t>M Tons of Aggregate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2,909</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1,525</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9"/>
        </w:trPr>
        <w:tc>
          <w:tcPr>
            <w:tcW w:w="63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AAC6"/>
              </w:rPr>
              <w:t>Average Net Sales Price</w:t>
            </w:r>
          </w:p>
        </w:tc>
        <w:tc>
          <w:tcPr>
            <w:tcW w:w="240" w:type="dxa"/>
            <w:vAlign w:val="bottom"/>
            <w:tcBorders>
              <w:top w:val="single" w:sz="8" w:color="A6A6A6"/>
              <w:bottom w:val="single" w:sz="8" w:color="A6A6A6"/>
            </w:tcBorders>
          </w:tcPr>
          <w:p>
            <w:pPr>
              <w:spacing w:after="0"/>
              <w:rPr>
                <w:sz w:val="18"/>
                <w:szCs w:val="18"/>
                <w:color w:val="auto"/>
              </w:rPr>
            </w:pPr>
          </w:p>
        </w:tc>
        <w:tc>
          <w:tcPr>
            <w:tcW w:w="106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200"/>
              <w:spacing w:after="0"/>
              <w:rPr>
                <w:sz w:val="20"/>
                <w:szCs w:val="20"/>
                <w:color w:val="auto"/>
              </w:rPr>
            </w:pPr>
            <w:r>
              <w:rPr>
                <w:rFonts w:ascii="Arial" w:cs="Arial" w:eastAsia="Arial" w:hAnsi="Arial"/>
                <w:sz w:val="16"/>
                <w:szCs w:val="16"/>
                <w:color w:val="00AAC6"/>
              </w:rPr>
              <w:t>Concrete - Per Cubic Yard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133.34</w:t>
            </w:r>
          </w:p>
        </w:tc>
        <w:tc>
          <w:tcPr>
            <w:tcW w:w="140" w:type="dxa"/>
            <w:vAlign w:val="bottom"/>
          </w:tcPr>
          <w:p>
            <w:pPr>
              <w:spacing w:after="0"/>
              <w:rPr>
                <w:sz w:val="18"/>
                <w:szCs w:val="18"/>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120.97</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tcPr>
          <w:p>
            <w:pPr>
              <w:ind w:left="200"/>
              <w:spacing w:after="0"/>
              <w:rPr>
                <w:sz w:val="20"/>
                <w:szCs w:val="20"/>
                <w:color w:val="auto"/>
              </w:rPr>
            </w:pPr>
            <w:r>
              <w:rPr>
                <w:rFonts w:ascii="Arial" w:cs="Arial" w:eastAsia="Arial" w:hAnsi="Arial"/>
                <w:sz w:val="16"/>
                <w:szCs w:val="16"/>
                <w:color w:val="00AAC6"/>
              </w:rPr>
              <w:t>Aggregates - Per Ton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11.53</w:t>
            </w:r>
          </w:p>
        </w:tc>
        <w:tc>
          <w:tcPr>
            <w:tcW w:w="140" w:type="dxa"/>
            <w:vAlign w:val="bottom"/>
          </w:tcPr>
          <w:p>
            <w:pPr>
              <w:spacing w:after="0"/>
              <w:rPr>
                <w:sz w:val="18"/>
                <w:szCs w:val="18"/>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10.45</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9"/>
        </w:trPr>
        <w:tc>
          <w:tcPr>
            <w:tcW w:w="6380" w:type="dxa"/>
            <w:vAlign w:val="bottom"/>
            <w:tcBorders>
              <w:top w:val="single" w:sz="8" w:color="A6A6A6"/>
              <w:bottom w:val="single" w:sz="8" w:color="A6A6A6"/>
            </w:tcBorders>
          </w:tcPr>
          <w:p>
            <w:pPr>
              <w:spacing w:after="0"/>
              <w:rPr>
                <w:sz w:val="20"/>
                <w:szCs w:val="20"/>
                <w:color w:val="auto"/>
              </w:rPr>
            </w:pPr>
          </w:p>
        </w:tc>
        <w:tc>
          <w:tcPr>
            <w:tcW w:w="240" w:type="dxa"/>
            <w:vAlign w:val="bottom"/>
            <w:tcBorders>
              <w:top w:val="single" w:sz="8" w:color="A6A6A6"/>
              <w:bottom w:val="single" w:sz="8" w:color="A6A6A6"/>
            </w:tcBorders>
          </w:tcPr>
          <w:p>
            <w:pPr>
              <w:spacing w:after="0"/>
              <w:rPr>
                <w:sz w:val="20"/>
                <w:szCs w:val="20"/>
                <w:color w:val="auto"/>
              </w:rPr>
            </w:pPr>
          </w:p>
        </w:tc>
        <w:tc>
          <w:tcPr>
            <w:tcW w:w="1060" w:type="dxa"/>
            <w:vAlign w:val="bottom"/>
            <w:tcBorders>
              <w:top w:val="single" w:sz="8" w:color="A6A6A6"/>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6A6A6"/>
              <w:bottom w:val="single" w:sz="8" w:color="A6A6A6"/>
            </w:tcBorders>
          </w:tcPr>
          <w:p>
            <w:pPr>
              <w:spacing w:after="0"/>
              <w:rPr>
                <w:sz w:val="20"/>
                <w:szCs w:val="20"/>
                <w:color w:val="auto"/>
              </w:rPr>
            </w:pPr>
          </w:p>
        </w:tc>
        <w:tc>
          <w:tcPr>
            <w:tcW w:w="900" w:type="dxa"/>
            <w:vAlign w:val="bottom"/>
            <w:tcBorders>
              <w:top w:val="single" w:sz="8" w:color="A6A6A6"/>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top w:val="single" w:sz="8" w:color="A6A6A6"/>
              <w:bottom w:val="single" w:sz="8" w:color="A6A6A6"/>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00AAC6"/>
              </w:rPr>
              <w:t>Operating Earnings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18,259</w:t>
            </w:r>
          </w:p>
        </w:tc>
        <w:tc>
          <w:tcPr>
            <w:tcW w:w="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18,467</w:t>
            </w:r>
          </w:p>
        </w:tc>
        <w:tc>
          <w:tcPr>
            <w:tcW w:w="1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63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-1713865</wp:posOffset>
            </wp:positionV>
            <wp:extent cx="85725" cy="1714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714500"/>
                    </a:xfrm>
                    <a:prstGeom prst="rect">
                      <a:avLst/>
                    </a:prstGeom>
                    <a:noFill/>
                  </pic:spPr>
                </pic:pic>
              </a:graphicData>
            </a:graphic>
          </wp:anchor>
        </w:drawing>
      </w:r>
    </w:p>
    <w:p>
      <w:pPr>
        <w:spacing w:after="0" w:line="278"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Concrete and Aggregates Revenue increased 35% to $239.5 million for fiscal 2023. The ConAgg Acquisition contributed $44.5 million of Revenue during fiscal 2023. Excluding the ConAgg Acquisition, Revenue was up by $17.9 million, or 10%. The increase in Revenue was primarily related to higher gross sales prices and Sales Volume, which positively affected Revenue by $15.7 million and $2.2 million, respectively.</w:t>
      </w:r>
    </w:p>
    <w:p>
      <w:pPr>
        <w:spacing w:after="0" w:line="80"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Operating Earnings decreased 1% to approximately $18.3 million. Excluding the ConAgg Acquisition, Operating Earnings decreased by $ 1.8 million to $16.7 million. The decline in Operating Earnings was due to higher operating expenses of $18.1 million. This was partially offset by higher gross sales prices and Sales Volume of $15.7 million and $0.6 million, respectively. The increase in operating expenses was primarily due to higher cost of materials, maintenance, and delivery of approximately $11.4 million, $1.9 million, and $4.5 million, respectively.</w:t>
      </w:r>
    </w:p>
    <w:p>
      <w:pPr>
        <w:spacing w:after="0" w:line="200" w:lineRule="exact"/>
        <w:rPr>
          <w:sz w:val="20"/>
          <w:szCs w:val="20"/>
          <w:color w:val="auto"/>
        </w:rPr>
      </w:pPr>
    </w:p>
    <w:p>
      <w:pPr>
        <w:spacing w:after="0" w:line="3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684" w:right="25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2920" w:type="dxa"/>
            <w:vAlign w:val="bottom"/>
            <w:gridSpan w:val="5"/>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rPr>
              <w:t>For the Years Ended March 31,</w:t>
            </w:r>
          </w:p>
        </w:tc>
        <w:tc>
          <w:tcPr>
            <w:tcW w:w="17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004483"/>
            </w:tcBorders>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40" w:type="dxa"/>
            <w:vAlign w:val="bottom"/>
            <w:tcBorders>
              <w:bottom w:val="single" w:sz="8" w:color="17385E"/>
            </w:tcBorders>
          </w:tcPr>
          <w:p>
            <w:pPr>
              <w:spacing w:after="0"/>
              <w:rPr>
                <w:sz w:val="15"/>
                <w:szCs w:val="15"/>
                <w:color w:val="auto"/>
              </w:rPr>
            </w:pPr>
          </w:p>
        </w:tc>
        <w:tc>
          <w:tcPr>
            <w:tcW w:w="160" w:type="dxa"/>
            <w:vAlign w:val="bottom"/>
            <w:tcBorders>
              <w:bottom w:val="single" w:sz="8" w:color="17385E"/>
            </w:tcBorders>
          </w:tcPr>
          <w:p>
            <w:pPr>
              <w:spacing w:after="0"/>
              <w:rPr>
                <w:sz w:val="15"/>
                <w:szCs w:val="15"/>
                <w:color w:val="auto"/>
              </w:rPr>
            </w:pPr>
          </w:p>
        </w:tc>
        <w:tc>
          <w:tcPr>
            <w:tcW w:w="2800" w:type="dxa"/>
            <w:vAlign w:val="bottom"/>
            <w:tcBorders>
              <w:bottom w:val="single" w:sz="8" w:color="17385E"/>
            </w:tcBorders>
            <w:gridSpan w:val="4"/>
          </w:tcPr>
          <w:p>
            <w:pPr>
              <w:jc w:val="right"/>
              <w:ind w:right="141"/>
              <w:spacing w:after="0"/>
              <w:rPr>
                <w:sz w:val="20"/>
                <w:szCs w:val="20"/>
                <w:color w:val="auto"/>
              </w:rPr>
            </w:pPr>
            <w:r>
              <w:rPr>
                <w:rFonts w:ascii="Arial" w:cs="Arial" w:eastAsia="Arial" w:hAnsi="Arial"/>
                <w:sz w:val="13"/>
                <w:szCs w:val="13"/>
                <w:color w:val="auto"/>
                <w:w w:val="98"/>
              </w:rPr>
              <w:t>(in thousands, except per MMSF information)</w:t>
            </w:r>
          </w:p>
        </w:tc>
        <w:tc>
          <w:tcPr>
            <w:tcW w:w="120" w:type="dxa"/>
            <w:vAlign w:val="bottom"/>
          </w:tcPr>
          <w:p>
            <w:pPr>
              <w:spacing w:after="0"/>
              <w:rPr>
                <w:sz w:val="15"/>
                <w:szCs w:val="15"/>
                <w:color w:val="auto"/>
              </w:rPr>
            </w:pPr>
          </w:p>
        </w:tc>
        <w:tc>
          <w:tcPr>
            <w:tcW w:w="1580" w:type="dxa"/>
            <w:vAlign w:val="bottom"/>
            <w:tcBorders>
              <w:bottom w:val="single" w:sz="8" w:color="17385E"/>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77943C"/>
              </w:rPr>
              <w:t>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872,471</w:t>
            </w:r>
          </w:p>
        </w:tc>
        <w:tc>
          <w:tcPr>
            <w:tcW w:w="140" w:type="dxa"/>
            <w:vAlign w:val="bottom"/>
          </w:tcPr>
          <w:p>
            <w:pPr>
              <w:spacing w:after="0"/>
              <w:rPr>
                <w:sz w:val="18"/>
                <w:szCs w:val="18"/>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692,152</w:t>
            </w:r>
          </w:p>
        </w:tc>
        <w:tc>
          <w:tcPr>
            <w:tcW w:w="1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2"/>
        </w:trPr>
        <w:tc>
          <w:tcPr>
            <w:tcW w:w="644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6A6A6"/>
              <w:bottom w:val="single" w:sz="8" w:color="A6A6A6"/>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77943C"/>
              </w:rPr>
              <w:t>Sales Volume (MMSF)</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3,065</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77943C"/>
              </w:rPr>
              <w:t>Freight and Delivery Costs billed to Customers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(160,536 )</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(130,629 )</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tcPr>
          <w:p>
            <w:pPr>
              <w:ind w:left="20"/>
              <w:spacing w:after="0" w:line="213" w:lineRule="exact"/>
              <w:rPr>
                <w:sz w:val="20"/>
                <w:szCs w:val="20"/>
                <w:color w:val="auto"/>
              </w:rPr>
            </w:pPr>
            <w:r>
              <w:rPr>
                <w:rFonts w:ascii="Arial" w:cs="Arial" w:eastAsia="Arial" w:hAnsi="Arial"/>
                <w:sz w:val="16"/>
                <w:szCs w:val="16"/>
                <w:color w:val="77943C"/>
              </w:rPr>
              <w:t xml:space="preserve">Average Net Sales Price, per MSF </w:t>
            </w:r>
            <w:r>
              <w:rPr>
                <w:rFonts w:ascii="Arial" w:cs="Arial" w:eastAsia="Arial" w:hAnsi="Arial"/>
                <w:sz w:val="21"/>
                <w:szCs w:val="21"/>
                <w:color w:val="77943C"/>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232.31</w:t>
            </w:r>
          </w:p>
        </w:tc>
        <w:tc>
          <w:tcPr>
            <w:tcW w:w="140" w:type="dxa"/>
            <w:vAlign w:val="bottom"/>
          </w:tcPr>
          <w:p>
            <w:pPr>
              <w:spacing w:after="0"/>
              <w:rPr>
                <w:sz w:val="18"/>
                <w:szCs w:val="18"/>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190.76</w:t>
            </w:r>
          </w:p>
        </w:tc>
        <w:tc>
          <w:tcPr>
            <w:tcW w:w="1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77943C"/>
              </w:rPr>
              <w:t>Freight, per MSF</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52.38</w:t>
            </w:r>
          </w:p>
        </w:tc>
        <w:tc>
          <w:tcPr>
            <w:tcW w:w="140" w:type="dxa"/>
            <w:vAlign w:val="bottom"/>
          </w:tcPr>
          <w:p>
            <w:pPr>
              <w:spacing w:after="0"/>
              <w:rPr>
                <w:sz w:val="17"/>
                <w:szCs w:val="17"/>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44.37</w:t>
            </w:r>
          </w:p>
        </w:tc>
        <w:tc>
          <w:tcPr>
            <w:tcW w:w="1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77943C"/>
              </w:rPr>
              <w:t>Operating Margin, per MSF</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115.01</w:t>
            </w:r>
          </w:p>
        </w:tc>
        <w:tc>
          <w:tcPr>
            <w:tcW w:w="140" w:type="dxa"/>
            <w:vAlign w:val="bottom"/>
          </w:tcPr>
          <w:p>
            <w:pPr>
              <w:spacing w:after="0"/>
              <w:rPr>
                <w:sz w:val="18"/>
                <w:szCs w:val="18"/>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88.82</w:t>
            </w:r>
          </w:p>
        </w:tc>
        <w:tc>
          <w:tcPr>
            <w:tcW w:w="1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77943C"/>
              </w:rPr>
              <w:t>Operating Earnings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352,499</w:t>
            </w:r>
          </w:p>
        </w:tc>
        <w:tc>
          <w:tcPr>
            <w:tcW w:w="140" w:type="dxa"/>
            <w:vAlign w:val="bottom"/>
          </w:tcPr>
          <w:p>
            <w:pPr>
              <w:spacing w:after="0"/>
              <w:rPr>
                <w:sz w:val="18"/>
                <w:szCs w:val="18"/>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261,476</w:t>
            </w:r>
          </w:p>
        </w:tc>
        <w:tc>
          <w:tcPr>
            <w:tcW w:w="1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-1405255</wp:posOffset>
            </wp:positionV>
            <wp:extent cx="85725" cy="1405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405890"/>
                    </a:xfrm>
                    <a:prstGeom prst="rect">
                      <a:avLst/>
                    </a:prstGeom>
                    <a:noFill/>
                  </pic:spPr>
                </pic:pic>
              </a:graphicData>
            </a:graphic>
          </wp:anchor>
        </w:drawing>
      </w:r>
    </w:p>
    <w:p>
      <w:pPr>
        <w:ind w:left="380" w:hanging="372"/>
        <w:spacing w:after="0" w:line="219" w:lineRule="auto"/>
        <w:tabs>
          <w:tab w:leader="none" w:pos="380" w:val="left"/>
        </w:tabs>
        <w:numPr>
          <w:ilvl w:val="0"/>
          <w:numId w:val="19"/>
        </w:numPr>
        <w:rPr>
          <w:rFonts w:ascii="Arial" w:cs="Arial" w:eastAsia="Arial" w:hAnsi="Arial"/>
          <w:sz w:val="24"/>
          <w:szCs w:val="24"/>
          <w:color w:val="auto"/>
          <w:vertAlign w:val="subscript"/>
        </w:rPr>
      </w:pPr>
      <w:r>
        <w:rPr>
          <w:rFonts w:ascii="Arial" w:cs="Arial" w:eastAsia="Arial" w:hAnsi="Arial"/>
          <w:sz w:val="12"/>
          <w:szCs w:val="12"/>
          <w:color w:val="auto"/>
        </w:rPr>
        <w:t>Net of freight per MSF.</w:t>
      </w:r>
    </w:p>
    <w:p>
      <w:pPr>
        <w:spacing w:after="0" w:line="181"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Gypsum Wallboard Revenue increased 26% to $872.5 million in fiscal 2023. The increase was due to higher gross sales prices and Sales Volume, which positively affected Revenue by $151.9 million and $28.4 million, respectively. Our market share remained relatively flat in fiscal 2023 compared with fiscal 2022.</w:t>
      </w:r>
    </w:p>
    <w:p>
      <w:pPr>
        <w:spacing w:after="0" w:line="7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Operating Earnings increased 35% to $352.5 million for fiscal 2023. The increase was primarily related to higher gross sales prices and Sales Volume of approximately $151.9 million and $10.7 million, respectively. This was partially offset by higher operating expenses of $71.6 million. The rise in operating expenses was primarily related to freight, energy, and raw materials costs of approximately $24.5 million, $12.5 million, and $22.9 million, respectively. During fiscal 2023, Gypsum Wallboard Operating Margin increased to 40% from 38% in fiscal 2022, primarily because of higher gross sales prices, partially offset by higher operating expenses. Fixed costs are not a significant part of the overall cost of wallboard; therefore, changes in volume have a relatively minor impact on our operating cost per unit.</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EB949"/>
        </w:rPr>
        <w:t>RECYCLED PAPERBOARD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2860" w:type="dxa"/>
            <w:vAlign w:val="bottom"/>
            <w:gridSpan w:val="6"/>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rPr>
              <w:t>For the Years Ended March 31,</w:t>
            </w:r>
          </w:p>
        </w:tc>
        <w:tc>
          <w:tcPr>
            <w:tcW w:w="18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004483"/>
            </w:tcBorders>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40" w:type="dxa"/>
            <w:vAlign w:val="bottom"/>
            <w:tcBorders>
              <w:bottom w:val="single" w:sz="8" w:color="17385E"/>
            </w:tcBorders>
          </w:tcPr>
          <w:p>
            <w:pPr>
              <w:spacing w:after="0"/>
              <w:rPr>
                <w:sz w:val="15"/>
                <w:szCs w:val="15"/>
                <w:color w:val="auto"/>
              </w:rPr>
            </w:pPr>
          </w:p>
        </w:tc>
        <w:tc>
          <w:tcPr>
            <w:tcW w:w="200" w:type="dxa"/>
            <w:vAlign w:val="bottom"/>
            <w:tcBorders>
              <w:bottom w:val="single" w:sz="8" w:color="17385E"/>
            </w:tcBorders>
          </w:tcPr>
          <w:p>
            <w:pPr>
              <w:spacing w:after="0"/>
              <w:rPr>
                <w:sz w:val="15"/>
                <w:szCs w:val="15"/>
                <w:color w:val="auto"/>
              </w:rPr>
            </w:pPr>
          </w:p>
        </w:tc>
        <w:tc>
          <w:tcPr>
            <w:tcW w:w="2720" w:type="dxa"/>
            <w:vAlign w:val="bottom"/>
            <w:tcBorders>
              <w:bottom w:val="single" w:sz="8" w:color="17385E"/>
            </w:tcBorders>
            <w:gridSpan w:val="5"/>
          </w:tcPr>
          <w:p>
            <w:pPr>
              <w:jc w:val="right"/>
              <w:ind w:right="221"/>
              <w:spacing w:after="0"/>
              <w:rPr>
                <w:sz w:val="20"/>
                <w:szCs w:val="20"/>
                <w:color w:val="auto"/>
              </w:rPr>
            </w:pPr>
            <w:r>
              <w:rPr>
                <w:rFonts w:ascii="Arial" w:cs="Arial" w:eastAsia="Arial" w:hAnsi="Arial"/>
                <w:sz w:val="13"/>
                <w:szCs w:val="13"/>
                <w:color w:val="auto"/>
              </w:rPr>
              <w:t>(in thousands, except per ton information)</w:t>
            </w:r>
          </w:p>
        </w:tc>
        <w:tc>
          <w:tcPr>
            <w:tcW w:w="140" w:type="dxa"/>
            <w:vAlign w:val="bottom"/>
          </w:tcPr>
          <w:p>
            <w:pPr>
              <w:spacing w:after="0"/>
              <w:rPr>
                <w:sz w:val="15"/>
                <w:szCs w:val="15"/>
                <w:color w:val="auto"/>
              </w:rPr>
            </w:pPr>
          </w:p>
        </w:tc>
        <w:tc>
          <w:tcPr>
            <w:tcW w:w="1600" w:type="dxa"/>
            <w:vAlign w:val="bottom"/>
            <w:tcBorders>
              <w:bottom w:val="single" w:sz="8" w:color="17385E"/>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EB949"/>
              </w:rPr>
              <w:t>Revenue, including Intersegment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201,280</w:t>
            </w:r>
          </w:p>
        </w:tc>
        <w:tc>
          <w:tcPr>
            <w:tcW w:w="140" w:type="dxa"/>
            <w:vAlign w:val="bottom"/>
          </w:tcPr>
          <w:p>
            <w:pPr>
              <w:spacing w:after="0"/>
              <w:rPr>
                <w:sz w:val="18"/>
                <w:szCs w:val="18"/>
                <w:color w:val="auto"/>
              </w:rPr>
            </w:pP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194,054</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40" w:type="dxa"/>
            <w:vAlign w:val="bottom"/>
          </w:tcPr>
          <w:p>
            <w:pPr>
              <w:ind w:left="20"/>
              <w:spacing w:after="0"/>
              <w:rPr>
                <w:sz w:val="20"/>
                <w:szCs w:val="20"/>
                <w:color w:val="auto"/>
              </w:rPr>
            </w:pPr>
            <w:r>
              <w:rPr>
                <w:rFonts w:ascii="Arial" w:cs="Arial" w:eastAsia="Arial" w:hAnsi="Arial"/>
                <w:sz w:val="16"/>
                <w:szCs w:val="16"/>
                <w:color w:val="AEB949"/>
              </w:rPr>
              <w:t>Less Intersegment Revenue</w:t>
            </w: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(92,835 )</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(82,086 )</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00" w:type="dxa"/>
            <w:vAlign w:val="bottom"/>
            <w:tcBorders>
              <w:top w:val="single" w:sz="8" w:color="004483"/>
            </w:tcBorders>
            <w:shd w:val="clear" w:color="auto" w:fill="004483"/>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EB949"/>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108,445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111,968</w:t>
            </w:r>
          </w:p>
        </w:tc>
        <w:tc>
          <w:tcPr>
            <w:tcW w:w="14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3"/>
        </w:trPr>
        <w:tc>
          <w:tcPr>
            <w:tcW w:w="644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110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top w:val="single" w:sz="8" w:color="A6A6A6"/>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EB949"/>
              </w:rPr>
              <w:t>Sales Volume (M Tons)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EB949"/>
              </w:rPr>
              <w:t>Freight and Delivery Costs billed to Customers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(8,760 )</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(7,888 )</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tcPr>
          <w:p>
            <w:pPr>
              <w:ind w:left="20"/>
              <w:spacing w:after="0" w:line="213" w:lineRule="exact"/>
              <w:rPr>
                <w:sz w:val="20"/>
                <w:szCs w:val="20"/>
                <w:color w:val="auto"/>
              </w:rPr>
            </w:pPr>
            <w:r>
              <w:rPr>
                <w:rFonts w:ascii="Arial" w:cs="Arial" w:eastAsia="Arial" w:hAnsi="Arial"/>
                <w:sz w:val="16"/>
                <w:szCs w:val="16"/>
                <w:color w:val="AEB949"/>
              </w:rPr>
              <w:t xml:space="preserve">Average Net Sales Price, per ton </w:t>
            </w:r>
            <w:r>
              <w:rPr>
                <w:rFonts w:ascii="Arial" w:cs="Arial" w:eastAsia="Arial" w:hAnsi="Arial"/>
                <w:sz w:val="21"/>
                <w:szCs w:val="21"/>
                <w:color w:val="AEB949"/>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590.67</w:t>
            </w:r>
          </w:p>
        </w:tc>
        <w:tc>
          <w:tcPr>
            <w:tcW w:w="140" w:type="dxa"/>
            <w:vAlign w:val="bottom"/>
          </w:tcPr>
          <w:p>
            <w:pPr>
              <w:spacing w:after="0"/>
              <w:rPr>
                <w:sz w:val="18"/>
                <w:szCs w:val="18"/>
                <w:color w:val="auto"/>
              </w:rPr>
            </w:pP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558.28</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EB949"/>
              </w:rPr>
              <w:t>Freight, per ton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26.87</w:t>
            </w:r>
          </w:p>
        </w:tc>
        <w:tc>
          <w:tcPr>
            <w:tcW w:w="140" w:type="dxa"/>
            <w:vAlign w:val="bottom"/>
          </w:tcPr>
          <w:p>
            <w:pPr>
              <w:spacing w:after="0"/>
              <w:rPr>
                <w:sz w:val="17"/>
                <w:szCs w:val="17"/>
                <w:color w:val="auto"/>
              </w:rPr>
            </w:pP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23.62</w:t>
            </w:r>
          </w:p>
        </w:tc>
        <w:tc>
          <w:tcPr>
            <w:tcW w:w="14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EB949"/>
              </w:rPr>
              <w:t>Operating Margin, per ton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77.36</w:t>
            </w:r>
          </w:p>
        </w:tc>
        <w:tc>
          <w:tcPr>
            <w:tcW w:w="140" w:type="dxa"/>
            <w:vAlign w:val="bottom"/>
          </w:tcPr>
          <w:p>
            <w:pPr>
              <w:spacing w:after="0"/>
              <w:rPr>
                <w:sz w:val="18"/>
                <w:szCs w:val="18"/>
                <w:color w:val="auto"/>
              </w:rPr>
            </w:pP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37.73</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EB949"/>
              </w:rPr>
              <w:t>Operating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25,220</w:t>
            </w:r>
          </w:p>
        </w:tc>
        <w:tc>
          <w:tcPr>
            <w:tcW w:w="140" w:type="dxa"/>
            <w:vAlign w:val="bottom"/>
          </w:tcPr>
          <w:p>
            <w:pPr>
              <w:spacing w:after="0"/>
              <w:rPr>
                <w:sz w:val="18"/>
                <w:szCs w:val="18"/>
                <w:color w:val="auto"/>
              </w:rPr>
            </w:pP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12,603</w:t>
            </w: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-1713865</wp:posOffset>
            </wp:positionV>
            <wp:extent cx="85725" cy="1714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714500"/>
                    </a:xfrm>
                    <a:prstGeom prst="rect">
                      <a:avLst/>
                    </a:prstGeom>
                    <a:noFill/>
                  </pic:spPr>
                </pic:pic>
              </a:graphicData>
            </a:graphic>
          </wp:anchor>
        </w:drawing>
      </w:r>
    </w:p>
    <w:p>
      <w:pPr>
        <w:spacing w:after="0" w:line="51"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4"/>
          <w:szCs w:val="24"/>
          <w:color w:val="auto"/>
          <w:vertAlign w:val="subscript"/>
        </w:rPr>
      </w:pPr>
      <w:r>
        <w:rPr>
          <w:rFonts w:ascii="Arial" w:cs="Arial" w:eastAsia="Arial" w:hAnsi="Arial"/>
          <w:sz w:val="12"/>
          <w:szCs w:val="12"/>
          <w:color w:val="auto"/>
        </w:rPr>
        <w:t>Net of freight per ton.</w:t>
      </w:r>
    </w:p>
    <w:p>
      <w:pPr>
        <w:spacing w:after="0" w:line="181"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Recycled Paperboard Revenue increased 4% to $201.3 million for fiscal 2023, as higher gross sales prices positively affected Revenue by approximately $11.6 million, partially offset by lower Sales Volume of $4.4 million. The increase in gross sales prices was due to the price adjustment provisions in our long-term sales agreements.</w:t>
      </w:r>
    </w:p>
    <w:p>
      <w:pPr>
        <w:spacing w:after="0" w:line="7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Operating Earnings increased 100% to $25.2 million for fiscal 2023, primarily related to higher gross sales prices and lower operating expenses of $11.6 million and $1.3 million, respectively. This was partially offset by lower Sales Volume of $0.3 million. The decrease in operating expenses was primarily related to lower input costs, namely fiber and raw materials, which increased Operating Earnings by $15.4 million. This was partially offset by higher energy, chemicals, and freight expenses of $5.9 million, $2.4 million, and $4.5 million, respectively. During fiscal 2023, Operating Margin increased to 13% from 6% in fiscal 2022, primarily because of higher gross sales prices and lower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62"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FISCAL YEAR 2022 COMPARED WITH FISCAL YEAR 2021</w:t>
      </w:r>
    </w:p>
    <w:p>
      <w:pPr>
        <w:spacing w:after="0" w:line="11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 xml:space="preserve">Please see our Form 10-K for fiscal year 2022 for the discussion of our Results of Operations and results of Revenue and Operating Earnings by segment for fiscal 2022 compared with fiscal 2021. Our 2022 Form 10-K can be found on the investor page of our website,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CRITICAL ACCOUNTING POLICIES</w:t>
      </w:r>
    </w:p>
    <w:p>
      <w:pPr>
        <w:spacing w:after="0" w:line="11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 impact. Listed below are those policies that we believe are critical and require the use of complex judgment in their application.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of Long-Lived Assets</w:t>
      </w:r>
    </w:p>
    <w:p>
      <w:pPr>
        <w:spacing w:after="0" w:line="1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groups of assets, are evaluated for impairment at the lowest level for which cash flows are largely independent of the cash flows of other assets. We assess recoverability of assets, or groups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groups of assets, exceeds the undiscounted cash flows, then an impairment is indicated. If such assets, or groups of assets, are considered to be impaired, the impairment is recognized as the amount by which the carrying amount of the asset, or group of assets, exceeds the fair value of the asset, or group of assets.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annually assess Goodwill for impairment in the fourth quarter of our fiscal year, or more frequently when indicators of impairment exist.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Impairment testing for Goodwill is done at the reporting unit, which is consistent with our reportable segments.</w:t>
      </w:r>
    </w:p>
    <w:p>
      <w:pPr>
        <w:spacing w:after="0" w:line="9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analysis. The qualitative test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test is not required. If we are unable to conclude that it is more likely than not that the fair value of the reporting unit exceeds its carrying value, then we proceed to the quantitative Step 1 test.</w:t>
      </w:r>
    </w:p>
    <w:p>
      <w:pPr>
        <w:spacing w:after="0" w:line="8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4" w:name="page55"/>
    <w:bookmarkEnd w:id="54"/>
    <w:p>
      <w:pPr>
        <w:ind w:right="700"/>
        <w:spacing w:after="0" w:line="260" w:lineRule="auto"/>
        <w:rPr>
          <w:sz w:val="20"/>
          <w:szCs w:val="20"/>
          <w:color w:val="auto"/>
        </w:rPr>
      </w:pPr>
      <w:r>
        <w:rPr>
          <w:rFonts w:ascii="Arial" w:cs="Arial" w:eastAsia="Arial" w:hAnsi="Arial"/>
          <w:sz w:val="18"/>
          <w:szCs w:val="18"/>
          <w:color w:val="auto"/>
        </w:rPr>
        <w:t>reporting unit exceeds its fair value, then an impairment charge equal to the difference, not to exceed the total amount of Goodwill, is recorded.</w:t>
      </w:r>
    </w:p>
    <w:p>
      <w:pPr>
        <w:spacing w:after="0" w:line="6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 estimated average net sales prices, sales volume, and the estimated weighted average cost of capital specific to each industry. We also perform an overall comparison of all reporting units to our market capitalization in order to test the reasonableness of our fair value calculations.</w:t>
      </w:r>
    </w:p>
    <w:p>
      <w:pPr>
        <w:spacing w:after="0" w:line="8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 market trends, interest rates or other factors outside of our control, such as a worldwide pandemic,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2023 and 2022,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5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(dollars in thousands)</w:t>
            </w:r>
          </w:p>
        </w:tc>
        <w:tc>
          <w:tcPr>
            <w:tcW w:w="1160" w:type="dxa"/>
            <w:vAlign w:val="bottom"/>
          </w:tcPr>
          <w:p>
            <w:pPr>
              <w:jc w:val="right"/>
              <w:ind w:right="702"/>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7"/>
        </w:trPr>
        <w:tc>
          <w:tcPr>
            <w:tcW w:w="762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3"/>
            <w:vMerge w:val="continue"/>
          </w:tcPr>
          <w:p>
            <w:pPr>
              <w:spacing w:after="0"/>
              <w:rPr>
                <w:sz w:val="15"/>
                <w:szCs w:val="15"/>
                <w:color w:val="auto"/>
              </w:rPr>
            </w:pPr>
          </w:p>
        </w:tc>
        <w:tc>
          <w:tcPr>
            <w:tcW w:w="116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17387C"/>
              </w:rPr>
              <w:t>Cement</w:t>
            </w:r>
          </w:p>
        </w:tc>
        <w:tc>
          <w:tcPr>
            <w:tcW w:w="940" w:type="dxa"/>
            <w:vAlign w:val="bottom"/>
            <w:tcBorders>
              <w:bottom w:val="single" w:sz="8" w:color="A6A6A6"/>
            </w:tcBorders>
          </w:tcPr>
          <w:p>
            <w:pPr>
              <w:jc w:val="right"/>
              <w:ind w:right="765"/>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215,781</w:t>
            </w:r>
          </w:p>
        </w:tc>
        <w:tc>
          <w:tcPr>
            <w:tcW w:w="760" w:type="dxa"/>
            <w:vAlign w:val="bottom"/>
            <w:tcBorders>
              <w:bottom w:val="single" w:sz="8" w:color="A6A6A6"/>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203,342</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Concrete and Aggregates</w:t>
            </w:r>
          </w:p>
        </w:tc>
        <w:tc>
          <w:tcPr>
            <w:tcW w:w="9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40,774</w:t>
            </w:r>
          </w:p>
        </w:tc>
        <w:tc>
          <w:tcPr>
            <w:tcW w:w="2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Wallboard</w:t>
            </w:r>
          </w:p>
        </w:tc>
        <w:tc>
          <w:tcPr>
            <w:tcW w:w="9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116,618</w:t>
            </w:r>
          </w:p>
        </w:tc>
        <w:tc>
          <w:tcPr>
            <w:tcW w:w="2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116,618</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EB949"/>
              </w:rPr>
              <w:t>Paperboard</w:t>
            </w:r>
          </w:p>
        </w:tc>
        <w:tc>
          <w:tcPr>
            <w:tcW w:w="9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7,538</w:t>
            </w:r>
          </w:p>
        </w:tc>
        <w:tc>
          <w:tcPr>
            <w:tcW w:w="2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7,538</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940" w:type="dxa"/>
            <w:vAlign w:val="bottom"/>
          </w:tcPr>
          <w:p>
            <w:pPr>
              <w:jc w:val="right"/>
              <w:ind w:right="765"/>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62"/>
              <w:spacing w:after="0"/>
              <w:rPr>
                <w:sz w:val="20"/>
                <w:szCs w:val="20"/>
                <w:color w:val="auto"/>
              </w:rPr>
            </w:pPr>
            <w:r>
              <w:rPr>
                <w:rFonts w:ascii="Arial" w:cs="Arial" w:eastAsia="Arial" w:hAnsi="Arial"/>
                <w:sz w:val="16"/>
                <w:szCs w:val="16"/>
                <w:b w:val="1"/>
                <w:bCs w:val="1"/>
                <w:color w:val="auto"/>
              </w:rPr>
              <w:t>380,711</w:t>
            </w:r>
          </w:p>
        </w:tc>
        <w:tc>
          <w:tcPr>
            <w:tcW w:w="7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b w:val="1"/>
                <w:bCs w:val="1"/>
                <w:color w:val="auto"/>
              </w:rPr>
              <w:t>329,137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40" w:type="dxa"/>
            <w:vAlign w:val="bottom"/>
            <w:tcBorders>
              <w:top w:val="single" w:sz="8" w:color="004483"/>
              <w:bottom w:val="single" w:sz="8" w:color="004483"/>
            </w:tcBorders>
          </w:tcPr>
          <w:p>
            <w:pPr>
              <w:spacing w:after="0" w:line="20" w:lineRule="exact"/>
              <w:rPr>
                <w:sz w:val="1"/>
                <w:szCs w:val="1"/>
                <w:color w:val="auto"/>
              </w:rPr>
            </w:pPr>
          </w:p>
        </w:tc>
        <w:tc>
          <w:tcPr>
            <w:tcW w:w="760" w:type="dxa"/>
            <w:vAlign w:val="bottom"/>
            <w:tcBorders>
              <w:top w:val="single" w:sz="8" w:color="004483"/>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Business Combinations</w:t>
      </w:r>
    </w:p>
    <w:p>
      <w:pPr>
        <w:spacing w:after="0" w:line="10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7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 legally permissible, and financially feasible at the measurement date. We assign the highest level of fair value available to assets acquired and liabilities assumed based on the following options: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quoted prices, for similar assets or liabilities in active markets.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which includes the use of valuation models.</w:t>
      </w:r>
    </w:p>
    <w:p>
      <w:pPr>
        <w:spacing w:after="0" w:line="11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65"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Level 3 inputs are used to estimate the fair value of acquired mineral reserves, mineral interests, and separately identifiable intangible assets.</w:t>
      </w:r>
    </w:p>
    <w:p>
      <w:pPr>
        <w:spacing w:after="0" w:line="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7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 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8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to our Consolidated Statements of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LIQUIDITY AND CAPITAL RESOURCES</w:t>
      </w:r>
    </w:p>
    <w:p>
      <w:pPr>
        <w:spacing w:after="0" w:line="1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believe that we have access to sufficient financial resources from our liquidity sources to fund our business and operations, including contractual obligations, capital expenditures, and debt service obligations, for at least the next twelve months. We will continue to monitor the potential impact of future disruptions on the economy, and on our operations, as well as any other economic impacts related to changing fiscal policy or economic conditions. Please see the Debt Financing Activities section for a discussion of our credit facility and the amount of borrowings available to us in the next twelve-month period.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u w:val="single" w:color="auto"/>
          <w:color w:val="004483"/>
        </w:rPr>
        <w:t>Cash Flow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3260" w:type="dxa"/>
            <w:vAlign w:val="bottom"/>
            <w:gridSpan w:val="4"/>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rPr>
              <w:t>For the Fiscal Years Ended March 31,</w:t>
            </w:r>
          </w:p>
        </w:tc>
      </w:tr>
      <w:tr>
        <w:trPr>
          <w:trHeight w:val="155"/>
        </w:trPr>
        <w:tc>
          <w:tcPr>
            <w:tcW w:w="76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2022</w:t>
            </w:r>
          </w:p>
        </w:tc>
      </w:tr>
      <w:tr>
        <w:trPr>
          <w:trHeight w:val="183"/>
        </w:trPr>
        <w:tc>
          <w:tcPr>
            <w:tcW w:w="762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2220" w:type="dxa"/>
            <w:vAlign w:val="bottom"/>
            <w:tcBorders>
              <w:bottom w:val="single" w:sz="8" w:color="004483"/>
            </w:tcBorders>
            <w:gridSpan w:val="3"/>
          </w:tcPr>
          <w:p>
            <w:pPr>
              <w:jc w:val="right"/>
              <w:ind w:right="159"/>
              <w:spacing w:after="0"/>
              <w:rPr>
                <w:sz w:val="20"/>
                <w:szCs w:val="20"/>
                <w:color w:val="auto"/>
              </w:rPr>
            </w:pPr>
            <w:r>
              <w:rPr>
                <w:rFonts w:ascii="Arial" w:cs="Arial" w:eastAsia="Arial" w:hAnsi="Arial"/>
                <w:sz w:val="13"/>
                <w:szCs w:val="13"/>
                <w:color w:val="auto"/>
              </w:rPr>
              <w:t>(dollars in thousands)</w:t>
            </w:r>
          </w:p>
        </w:tc>
        <w:tc>
          <w:tcPr>
            <w:tcW w:w="1040" w:type="dxa"/>
            <w:vAlign w:val="bottom"/>
            <w:tcBorders>
              <w:bottom w:val="single" w:sz="8" w:color="004483"/>
            </w:tcBorders>
          </w:tcPr>
          <w:p>
            <w:pPr>
              <w:spacing w:after="0"/>
              <w:rPr>
                <w:sz w:val="15"/>
                <w:szCs w:val="15"/>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Provided by Operating Activities</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b w:val="1"/>
                <w:bCs w:val="1"/>
                <w:color w:val="auto"/>
              </w:rPr>
              <w:t>541,726</w:t>
            </w:r>
          </w:p>
        </w:tc>
        <w:tc>
          <w:tcPr>
            <w:tcW w:w="880" w:type="dxa"/>
            <w:vAlign w:val="bottom"/>
            <w:tcBorders>
              <w:bottom w:val="single" w:sz="8" w:color="A6A6A6"/>
            </w:tcBorders>
            <w:gridSpan w:val="2"/>
          </w:tcPr>
          <w:p>
            <w:pPr>
              <w:jc w:val="right"/>
              <w:ind w:right="4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b w:val="1"/>
                <w:bCs w:val="1"/>
                <w:color w:val="auto"/>
              </w:rPr>
              <w:t>517,171</w:t>
            </w:r>
          </w:p>
        </w:tc>
      </w:tr>
      <w:tr>
        <w:trPr>
          <w:trHeight w:val="23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Investing Activities:</w:t>
            </w:r>
          </w:p>
        </w:tc>
        <w:tc>
          <w:tcPr>
            <w:tcW w:w="36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A6A6A6"/>
            </w:tcBorders>
          </w:tcPr>
          <w:p>
            <w:pPr>
              <w:spacing w:after="0"/>
              <w:rPr>
                <w:sz w:val="20"/>
                <w:szCs w:val="20"/>
                <w:color w:val="auto"/>
              </w:rPr>
            </w:pPr>
          </w:p>
        </w:tc>
        <w:tc>
          <w:tcPr>
            <w:tcW w:w="1040" w:type="dxa"/>
            <w:vAlign w:val="bottom"/>
            <w:tcBorders>
              <w:bottom w:val="single" w:sz="8" w:color="A6A6A6"/>
            </w:tcBorders>
          </w:tcPr>
          <w:p>
            <w:pPr>
              <w:spacing w:after="0"/>
              <w:rPr>
                <w:sz w:val="20"/>
                <w:szCs w:val="20"/>
                <w:color w:val="auto"/>
              </w:rPr>
            </w:pPr>
          </w:p>
        </w:tc>
      </w:tr>
      <w:tr>
        <w:trPr>
          <w:trHeight w:val="213"/>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(110,143 )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(74,121 )</w:t>
            </w:r>
          </w:p>
        </w:tc>
      </w:tr>
      <w:tr>
        <w:trPr>
          <w:trHeight w:val="23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36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(158,451 )</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w:t>
            </w:r>
          </w:p>
        </w:tc>
      </w:tr>
      <w:tr>
        <w:trPr>
          <w:trHeight w:val="23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Used in Investing Activities</w:t>
            </w:r>
          </w:p>
        </w:tc>
        <w:tc>
          <w:tcPr>
            <w:tcW w:w="36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(268,594 )</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(74,121 )</w:t>
            </w:r>
          </w:p>
        </w:tc>
      </w:tr>
      <w:tr>
        <w:trPr>
          <w:trHeight w:val="23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Financing Activities:</w:t>
            </w:r>
          </w:p>
        </w:tc>
        <w:tc>
          <w:tcPr>
            <w:tcW w:w="36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A6A6A6"/>
            </w:tcBorders>
          </w:tcPr>
          <w:p>
            <w:pPr>
              <w:spacing w:after="0"/>
              <w:rPr>
                <w:sz w:val="20"/>
                <w:szCs w:val="20"/>
                <w:color w:val="auto"/>
              </w:rPr>
            </w:pPr>
          </w:p>
        </w:tc>
        <w:tc>
          <w:tcPr>
            <w:tcW w:w="1040" w:type="dxa"/>
            <w:vAlign w:val="bottom"/>
            <w:tcBorders>
              <w:bottom w:val="single" w:sz="8" w:color="A6A6A6"/>
            </w:tcBorders>
          </w:tcPr>
          <w:p>
            <w:pPr>
              <w:spacing w:after="0"/>
              <w:rPr>
                <w:sz w:val="20"/>
                <w:szCs w:val="20"/>
                <w:color w:val="auto"/>
              </w:rPr>
            </w:pPr>
          </w:p>
        </w:tc>
      </w:tr>
      <w:tr>
        <w:trPr>
          <w:trHeight w:val="213"/>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200,000</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200,000</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(43,000 )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743,692</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(350,000 )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(665,000 )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(37,496 )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(30,770 )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(387,717 )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(589,742 )</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5,418</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21,366</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Payment of Debt Issuance Costs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(903 )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(7,985 )</w:t>
            </w:r>
          </w:p>
        </w:tc>
      </w:tr>
      <w:tr>
        <w:trPr>
          <w:trHeight w:val="23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6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(6,108 )</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(5,308 )</w:t>
            </w:r>
          </w:p>
        </w:tc>
      </w:tr>
      <w:tr>
        <w:trPr>
          <w:trHeight w:val="237"/>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Used in Financing Activities</w:t>
            </w:r>
          </w:p>
        </w:tc>
        <w:tc>
          <w:tcPr>
            <w:tcW w:w="36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(277,306 )</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(692,154 )</w:t>
            </w:r>
          </w:p>
        </w:tc>
      </w:tr>
      <w:tr>
        <w:trPr>
          <w:trHeight w:val="209"/>
        </w:trPr>
        <w:tc>
          <w:tcPr>
            <w:tcW w:w="7620" w:type="dxa"/>
            <w:vAlign w:val="bottom"/>
          </w:tcPr>
          <w:p>
            <w:pPr>
              <w:ind w:left="20"/>
              <w:spacing w:after="0"/>
              <w:rPr>
                <w:sz w:val="20"/>
                <w:szCs w:val="20"/>
                <w:color w:val="auto"/>
              </w:rPr>
            </w:pPr>
            <w:r>
              <w:rPr>
                <w:rFonts w:ascii="Arial" w:cs="Arial" w:eastAsia="Arial" w:hAnsi="Arial"/>
                <w:sz w:val="16"/>
                <w:szCs w:val="16"/>
                <w:b w:val="1"/>
                <w:bCs w:val="1"/>
                <w:color w:val="004483"/>
              </w:rPr>
              <w:t>Net Decrease in Cash and Cash Equivalents</w:t>
            </w: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(4,174 )</w:t>
            </w:r>
          </w:p>
        </w:tc>
        <w:tc>
          <w:tcPr>
            <w:tcW w:w="220" w:type="dxa"/>
            <w:vAlign w:val="bottom"/>
          </w:tcPr>
          <w:p>
            <w:pPr>
              <w:spacing w:after="0"/>
              <w:rPr>
                <w:sz w:val="18"/>
                <w:szCs w:val="18"/>
                <w:color w:val="auto"/>
              </w:rPr>
            </w:pPr>
          </w:p>
        </w:tc>
        <w:tc>
          <w:tcPr>
            <w:tcW w:w="660" w:type="dxa"/>
            <w:vAlign w:val="bottom"/>
            <w:tcBorders>
              <w:bottom w:val="single" w:sz="8" w:color="004483"/>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(249,104 )</w:t>
            </w:r>
          </w:p>
        </w:tc>
      </w:tr>
      <w:tr>
        <w:trPr>
          <w:trHeight w:val="20"/>
        </w:trPr>
        <w:tc>
          <w:tcPr>
            <w:tcW w:w="762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r>
    </w:tbl>
    <w:p>
      <w:pPr>
        <w:spacing w:after="0" w:line="20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Cash Flows from Operating Activities increased by $24.5 million to $541.7 million for fiscal 2023. The increase was largely attributable to higher Net Earnings of $87.3 million, partially offset by changes in Working Capital of $64.1 million.</w:t>
      </w:r>
    </w:p>
    <w:p>
      <w:pPr>
        <w:spacing w:after="0" w:line="6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Working Capital increased by $73.4 million to $308.6 million at March 31, 2023, primarily because of higher Accounts Receivable, Inventories, and Income Tax Receivable of $18.8 million, $55.2 million, and $9.1 million, respectively. This was partially offset by an increase in Current Portion of Long-term Debt of $10.0 million.</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increase in Accounts and Notes Receivable at March 31, 2023, was primarily due to higher Revenue during the quarter ended March 31, 2023, compared with March 31, 2022. As a percentage of quarterly sales generated in the fiscal fourth quarters, Accounts Receivable was 41% at March 31, 2023, and 43% at March 31, 2022. Accounts Receivable related to the ConAgg Acquisition was approximately $ 6.3 million at March 31, 2023.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2023. Notes Receivable are monitored on an individual basis, and no significant deterioration in the collectability of Notes Receivable was identified at March 31, 2023.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7" w:name="page58"/>
    <w:bookmarkEnd w:id="57"/>
    <w:p>
      <w:pPr>
        <w:ind w:right="20"/>
        <w:spacing w:after="0" w:line="237" w:lineRule="auto"/>
        <w:rPr>
          <w:sz w:val="20"/>
          <w:szCs w:val="20"/>
          <w:color w:val="auto"/>
        </w:rPr>
      </w:pPr>
      <w:r>
        <w:rPr>
          <w:rFonts w:ascii="Arial" w:cs="Arial" w:eastAsia="Arial" w:hAnsi="Arial"/>
          <w:sz w:val="18"/>
          <w:szCs w:val="18"/>
          <w:color w:val="auto"/>
        </w:rPr>
        <w:t>Our Inventory balance at March 31, 2023, increased approximately $55.2 million from our balance at March 31, 2022. Within Inventories, raw materials and materials-in-progress, finished cement, aggregates, repair parts inventory, and fuel and coal increased by approximately $15.6 million, $7.6 million, $4.7 million, $21.3 million, and $4.1 million, respectively. The increases in raw materials and materials-in-progress, finished cement, and fuel and coal were mostly due to timing, as well as wet weather during March, which adversely affected sales volumes. The increase in aggregate inventories is due primarily to the ConAgg Acquisition, which contributed $3.5 million of the increase at March 31, 2023. The increase in repair parts was primarily due to the timing of outages in our Cement business, most of which occurred in April 2023. We have less than one year’s sales of all product inventories, and our inventories have a low risk of obsolescence given that they are basic construction materials. The largest individual balance in our inventory is repair parts. The size and complexity of our manufacturing plants, as well as the age of certain of our plants, creates the need to stock a high level of repair parts inventory. We believe all of these repair parts are necessary, and we perform semi-annual analyses to identify obsolete parts.</w:t>
      </w:r>
    </w:p>
    <w:p>
      <w:pPr>
        <w:spacing w:after="0" w:line="8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Net Cash Used in Investing Activities in fiscal 2023 was approximately $268.6 million compared with $74.1 million in fiscal 2022, an increase of approximately $ 194.5 million. This was primarily due to the ConAgg and Terminal Acquisitions, which increased Net Cash Used in Investing Activities by $158.5 million, and an increase in capital spending of $ 36.0 million in fiscal 2023, compared with fiscal 2022. The increase in capital spending was mainly due to higher spending in our Heavy Materials sector, primarily in our Concrete and Aggregates segment.</w:t>
      </w:r>
    </w:p>
    <w:p>
      <w:pPr>
        <w:spacing w:after="0" w:line="8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Net Cash Used in Financing Activities was approximately $277.3 million during fiscal 2023, compared with $692.2 million in fiscal 2022. The $414.9 million decrease was primarily due to lower share purchases and retirements, and borrowings and repayments of debt of $202.0 million and $ 229.2 million, respectively. This was partially offset by higher dividends paid and lower debt issuance costs of $6.7 million and $7.1 million, respectively.</w:t>
      </w:r>
    </w:p>
    <w:p>
      <w:pPr>
        <w:spacing w:after="0" w:line="80"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Our debt-to -capitalization ratio and net debt-to-capitalization ratio were 48.1% and 47.8%, respectively, at March 31, 2023, compared with 45.6% and 45.1%, respectively, at March 31,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Debt 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March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tcBorders>
              <w:bottom w:val="single" w:sz="8" w:color="004483"/>
            </w:tcBorders>
          </w:tcPr>
          <w:p>
            <w:pPr>
              <w:spacing w:after="0"/>
              <w:rPr>
                <w:sz w:val="16"/>
                <w:szCs w:val="16"/>
                <w:color w:val="auto"/>
              </w:rPr>
            </w:pPr>
          </w:p>
        </w:tc>
        <w:tc>
          <w:tcPr>
            <w:tcW w:w="48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3"/>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10"/>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Term Loan</w:t>
            </w:r>
          </w:p>
        </w:tc>
        <w:tc>
          <w:tcPr>
            <w:tcW w:w="4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w:t>
            </w:r>
          </w:p>
        </w:tc>
        <w:tc>
          <w:tcPr>
            <w:tcW w:w="4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See Footnote (G) to the Audited Consolidated Financial Statements for further details on the Company's debt facilities, including interest rate, and financial and other covenants and restrictions.</w:t>
      </w:r>
    </w:p>
    <w:p>
      <w:pPr>
        <w:spacing w:after="0" w:line="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March 31, 2023, we had $157.0 million outstanding of Revolving Loans under the Revolving Credit Facility and $6.4 million of outstanding letters of credit, leaving us with $586.6 million of available borrowings under the Revolving Credit Facility, net of outstanding letters of credit. We are contingently liable for performance under $26.9 million in performance bonds relating primarily to our mining operations. We do not have any off-balance-sheet debt or any outstanding debt guarantees as of March 31, 2023.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58" w:name="page59"/>
    <w:bookmarkEnd w:id="58"/>
    <w:p>
      <w:pPr>
        <w:ind w:right="140"/>
        <w:spacing w:after="0" w:line="243"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8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the Term Loan, and any Revolving Credit Loans, in each case,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81"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00" w:type="dxa"/>
            <w:vAlign w:val="bottom"/>
            <w:tcBorders>
              <w:bottom w:val="single" w:sz="8" w:color="004483"/>
            </w:tcBorders>
          </w:tcPr>
          <w:p>
            <w:pPr>
              <w:spacing w:after="0"/>
              <w:rPr>
                <w:sz w:val="16"/>
                <w:szCs w:val="16"/>
                <w:color w:val="auto"/>
              </w:rPr>
            </w:pPr>
          </w:p>
        </w:tc>
        <w:tc>
          <w:tcPr>
            <w:tcW w:w="4800" w:type="dxa"/>
            <w:vAlign w:val="bottom"/>
            <w:tcBorders>
              <w:bottom w:val="single" w:sz="8" w:color="004483"/>
            </w:tcBorders>
          </w:tcPr>
          <w:p>
            <w:pPr>
              <w:jc w:val="right"/>
              <w:ind w:right="503"/>
              <w:spacing w:after="0"/>
              <w:rPr>
                <w:sz w:val="20"/>
                <w:szCs w:val="20"/>
                <w:color w:val="auto"/>
              </w:rPr>
            </w:pPr>
            <w:r>
              <w:rPr>
                <w:rFonts w:ascii="Arial" w:cs="Arial" w:eastAsia="Arial" w:hAnsi="Arial"/>
                <w:sz w:val="13"/>
                <w:szCs w:val="13"/>
                <w:b w:val="1"/>
                <w:bCs w:val="1"/>
                <w:color w:val="auto"/>
              </w:rPr>
              <w:t>Moody's</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S&amp;P</w:t>
            </w:r>
          </w:p>
        </w:tc>
      </w:tr>
      <w:tr>
        <w:trPr>
          <w:trHeight w:val="213"/>
        </w:trPr>
        <w:tc>
          <w:tcPr>
            <w:tcW w:w="5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Corporate/Family Rating</w:t>
            </w:r>
          </w:p>
        </w:tc>
        <w:tc>
          <w:tcPr>
            <w:tcW w:w="4800" w:type="dxa"/>
            <w:vAlign w:val="bottom"/>
            <w:tcBorders>
              <w:bottom w:val="single" w:sz="8" w:color="A6A6A6"/>
            </w:tcBorders>
          </w:tcPr>
          <w:p>
            <w:pPr>
              <w:jc w:val="right"/>
              <w:ind w:right="503"/>
              <w:spacing w:after="0"/>
              <w:rPr>
                <w:sz w:val="20"/>
                <w:szCs w:val="20"/>
                <w:color w:val="auto"/>
              </w:rPr>
            </w:pPr>
            <w:r>
              <w:rPr>
                <w:rFonts w:ascii="Arial" w:cs="Arial" w:eastAsia="Arial" w:hAnsi="Arial"/>
                <w:sz w:val="16"/>
                <w:szCs w:val="16"/>
                <w:color w:val="auto"/>
              </w:rPr>
              <w:t>Baa2</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BBB</w:t>
            </w:r>
          </w:p>
        </w:tc>
      </w:tr>
      <w:tr>
        <w:trPr>
          <w:trHeight w:val="209"/>
        </w:trPr>
        <w:tc>
          <w:tcPr>
            <w:tcW w:w="5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Outlook</w:t>
            </w:r>
          </w:p>
        </w:tc>
        <w:tc>
          <w:tcPr>
            <w:tcW w:w="4800" w:type="dxa"/>
            <w:vAlign w:val="bottom"/>
            <w:tcBorders>
              <w:bottom w:val="single" w:sz="8" w:color="A6A6A6"/>
            </w:tcBorders>
          </w:tcPr>
          <w:p>
            <w:pPr>
              <w:jc w:val="right"/>
              <w:ind w:right="503"/>
              <w:spacing w:after="0"/>
              <w:rPr>
                <w:sz w:val="20"/>
                <w:szCs w:val="20"/>
                <w:color w:val="auto"/>
              </w:rPr>
            </w:pPr>
            <w:r>
              <w:rPr>
                <w:rFonts w:ascii="Arial" w:cs="Arial" w:eastAsia="Arial" w:hAnsi="Arial"/>
                <w:sz w:val="16"/>
                <w:szCs w:val="16"/>
                <w:color w:val="auto"/>
              </w:rPr>
              <w:t>Stable</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Stable</w:t>
            </w:r>
          </w:p>
        </w:tc>
      </w:tr>
      <w:tr>
        <w:trPr>
          <w:trHeight w:val="210"/>
        </w:trPr>
        <w:tc>
          <w:tcPr>
            <w:tcW w:w="5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Guaranteed Senior Notes</w:t>
            </w:r>
          </w:p>
        </w:tc>
        <w:tc>
          <w:tcPr>
            <w:tcW w:w="4800" w:type="dxa"/>
            <w:vAlign w:val="bottom"/>
            <w:tcBorders>
              <w:bottom w:val="single" w:sz="8" w:color="A6A6A6"/>
            </w:tcBorders>
          </w:tcPr>
          <w:p>
            <w:pPr>
              <w:jc w:val="right"/>
              <w:ind w:right="503"/>
              <w:spacing w:after="0"/>
              <w:rPr>
                <w:sz w:val="20"/>
                <w:szCs w:val="20"/>
                <w:color w:val="auto"/>
              </w:rPr>
            </w:pPr>
            <w:r>
              <w:rPr>
                <w:rFonts w:ascii="Arial" w:cs="Arial" w:eastAsia="Arial" w:hAnsi="Arial"/>
                <w:sz w:val="16"/>
                <w:szCs w:val="16"/>
                <w:color w:val="auto"/>
              </w:rPr>
              <w:t>Baa2</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BBB</w:t>
            </w:r>
          </w:p>
        </w:tc>
      </w:tr>
      <w:tr>
        <w:trPr>
          <w:trHeight w:val="210"/>
        </w:trPr>
        <w:tc>
          <w:tcPr>
            <w:tcW w:w="5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Date of Latest Report</w:t>
            </w:r>
          </w:p>
        </w:tc>
        <w:tc>
          <w:tcPr>
            <w:tcW w:w="4800" w:type="dxa"/>
            <w:vAlign w:val="bottom"/>
            <w:tcBorders>
              <w:bottom w:val="single" w:sz="8" w:color="A6A6A6"/>
            </w:tcBorders>
          </w:tcPr>
          <w:p>
            <w:pPr>
              <w:jc w:val="right"/>
              <w:ind w:right="503"/>
              <w:spacing w:after="0"/>
              <w:rPr>
                <w:sz w:val="20"/>
                <w:szCs w:val="20"/>
                <w:color w:val="auto"/>
              </w:rPr>
            </w:pPr>
            <w:r>
              <w:rPr>
                <w:rFonts w:ascii="Arial" w:cs="Arial" w:eastAsia="Arial" w:hAnsi="Arial"/>
                <w:sz w:val="16"/>
                <w:szCs w:val="16"/>
                <w:color w:val="auto"/>
              </w:rPr>
              <w:t>January 2023</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June 2022</w:t>
            </w:r>
          </w:p>
        </w:tc>
      </w:tr>
    </w:tbl>
    <w:p>
      <w:pPr>
        <w:spacing w:after="0" w:line="20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We also have approximately $30.9 million of lease liabilities at March 31, 2023, that have an average remaining life of approximately 10.2 years.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Used for Share Repurchases and Stock Repurchase Program</w:t>
      </w:r>
    </w:p>
    <w:p>
      <w:pPr>
        <w:spacing w:after="0" w:line="10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See table under Item 5. “Market for Registrant’s Common Equity, Related Stockholder Matters, and Issuer Purchases of Equity Securities” for additional information.</w:t>
      </w:r>
    </w:p>
    <w:p>
      <w:pPr>
        <w:spacing w:after="0" w:line="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u w:val="single" w:color="auto"/>
          <w:color w:val="004483"/>
        </w:rPr>
        <w:t>Capital Expenditures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 Expenditures in fiscal years 2023 and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256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Fiscal Years Ended March 31,</w:t>
            </w:r>
          </w:p>
        </w:tc>
        <w:tc>
          <w:tcPr>
            <w:tcW w:w="720" w:type="dxa"/>
            <w:vAlign w:val="bottom"/>
            <w:shd w:val="clear" w:color="auto" w:fill="004483"/>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right"/>
              <w:ind w:right="67"/>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right"/>
              <w:ind w:right="83"/>
              <w:spacing w:after="0"/>
              <w:rPr>
                <w:sz w:val="20"/>
                <w:szCs w:val="20"/>
                <w:color w:val="auto"/>
              </w:rPr>
            </w:pPr>
            <w:r>
              <w:rPr>
                <w:rFonts w:ascii="Arial" w:cs="Arial" w:eastAsia="Arial" w:hAnsi="Arial"/>
                <w:sz w:val="13"/>
                <w:szCs w:val="13"/>
                <w:b w:val="1"/>
                <w:bCs w:val="1"/>
                <w:color w:val="auto"/>
              </w:rPr>
              <w:t>2022</w:t>
            </w:r>
          </w:p>
        </w:tc>
      </w:tr>
      <w:tr>
        <w:trPr>
          <w:trHeight w:val="183"/>
        </w:trPr>
        <w:tc>
          <w:tcPr>
            <w:tcW w:w="760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2560" w:type="dxa"/>
            <w:vAlign w:val="bottom"/>
            <w:tcBorders>
              <w:bottom w:val="single" w:sz="8" w:color="004483"/>
            </w:tcBorders>
            <w:gridSpan w:val="3"/>
          </w:tcPr>
          <w:p>
            <w:pPr>
              <w:jc w:val="right"/>
              <w:ind w:right="49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5"/>
                <w:szCs w:val="15"/>
                <w:color w:val="auto"/>
              </w:rPr>
            </w:pPr>
          </w:p>
        </w:tc>
      </w:tr>
      <w:tr>
        <w:trPr>
          <w:trHeight w:val="213"/>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Land and Quarries</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14,325</w:t>
            </w:r>
          </w:p>
        </w:tc>
        <w:tc>
          <w:tcPr>
            <w:tcW w:w="1220" w:type="dxa"/>
            <w:vAlign w:val="bottom"/>
            <w:tcBorders>
              <w:bottom w:val="single" w:sz="8" w:color="A6A6A6"/>
            </w:tcBorders>
            <w:gridSpan w:val="2"/>
          </w:tcPr>
          <w:p>
            <w:pPr>
              <w:jc w:val="right"/>
              <w:ind w:right="8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ind w:right="83"/>
              <w:spacing w:after="0"/>
              <w:rPr>
                <w:sz w:val="20"/>
                <w:szCs w:val="20"/>
                <w:color w:val="auto"/>
              </w:rPr>
            </w:pPr>
            <w:r>
              <w:rPr>
                <w:rFonts w:ascii="Arial" w:cs="Arial" w:eastAsia="Arial" w:hAnsi="Arial"/>
                <w:sz w:val="16"/>
                <w:szCs w:val="16"/>
                <w:color w:val="auto"/>
              </w:rPr>
              <w:t>15,943</w:t>
            </w:r>
          </w:p>
        </w:tc>
      </w:tr>
      <w:tr>
        <w:trPr>
          <w:trHeight w:val="21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36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64,720</w:t>
            </w:r>
          </w:p>
        </w:tc>
        <w:tc>
          <w:tcPr>
            <w:tcW w:w="22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jc w:val="right"/>
              <w:ind w:right="83"/>
              <w:spacing w:after="0"/>
              <w:rPr>
                <w:sz w:val="20"/>
                <w:szCs w:val="20"/>
                <w:color w:val="auto"/>
              </w:rPr>
            </w:pPr>
            <w:r>
              <w:rPr>
                <w:rFonts w:ascii="Arial" w:cs="Arial" w:eastAsia="Arial" w:hAnsi="Arial"/>
                <w:sz w:val="16"/>
                <w:szCs w:val="16"/>
                <w:color w:val="auto"/>
              </w:rPr>
              <w:t>40,843</w:t>
            </w:r>
          </w:p>
        </w:tc>
      </w:tr>
      <w:tr>
        <w:trPr>
          <w:trHeight w:val="23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36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color w:val="auto"/>
              </w:rPr>
              <w:t>31,098</w:t>
            </w:r>
          </w:p>
        </w:tc>
        <w:tc>
          <w:tcPr>
            <w:tcW w:w="22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spacing w:after="0"/>
              <w:rPr>
                <w:sz w:val="20"/>
                <w:szCs w:val="20"/>
                <w:color w:val="auto"/>
              </w:rPr>
            </w:pPr>
          </w:p>
        </w:tc>
        <w:tc>
          <w:tcPr>
            <w:tcW w:w="720" w:type="dxa"/>
            <w:vAlign w:val="bottom"/>
            <w:tcBorders>
              <w:bottom w:val="single" w:sz="8" w:color="004483"/>
            </w:tcBorders>
          </w:tcPr>
          <w:p>
            <w:pPr>
              <w:jc w:val="right"/>
              <w:ind w:right="83"/>
              <w:spacing w:after="0"/>
              <w:rPr>
                <w:sz w:val="20"/>
                <w:szCs w:val="20"/>
                <w:color w:val="auto"/>
              </w:rPr>
            </w:pPr>
            <w:r>
              <w:rPr>
                <w:rFonts w:ascii="Arial" w:cs="Arial" w:eastAsia="Arial" w:hAnsi="Arial"/>
                <w:sz w:val="16"/>
                <w:szCs w:val="16"/>
                <w:color w:val="auto"/>
              </w:rPr>
              <w:t>17,335</w:t>
            </w:r>
          </w:p>
        </w:tc>
      </w:tr>
      <w:tr>
        <w:trPr>
          <w:trHeight w:val="209"/>
        </w:trPr>
        <w:tc>
          <w:tcPr>
            <w:tcW w:w="760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b w:val="1"/>
                <w:bCs w:val="1"/>
                <w:color w:val="auto"/>
              </w:rPr>
              <w:t>110,143</w:t>
            </w:r>
          </w:p>
        </w:tc>
        <w:tc>
          <w:tcPr>
            <w:tcW w:w="220" w:type="dxa"/>
            <w:vAlign w:val="bottom"/>
          </w:tcPr>
          <w:p>
            <w:pPr>
              <w:spacing w:after="0"/>
              <w:rPr>
                <w:sz w:val="18"/>
                <w:szCs w:val="18"/>
                <w:color w:val="auto"/>
              </w:rPr>
            </w:pPr>
          </w:p>
        </w:tc>
        <w:tc>
          <w:tcPr>
            <w:tcW w:w="1000" w:type="dxa"/>
            <w:vAlign w:val="bottom"/>
            <w:tcBorders>
              <w:bottom w:val="single" w:sz="8" w:color="004483"/>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tcPr>
          <w:p>
            <w:pPr>
              <w:jc w:val="right"/>
              <w:ind w:right="83"/>
              <w:spacing w:after="0"/>
              <w:rPr>
                <w:sz w:val="20"/>
                <w:szCs w:val="20"/>
                <w:color w:val="auto"/>
              </w:rPr>
            </w:pPr>
            <w:r>
              <w:rPr>
                <w:rFonts w:ascii="Arial" w:cs="Arial" w:eastAsia="Arial" w:hAnsi="Arial"/>
                <w:sz w:val="16"/>
                <w:szCs w:val="16"/>
                <w:b w:val="1"/>
                <w:bCs w:val="1"/>
                <w:color w:val="auto"/>
              </w:rPr>
              <w:t>74,121</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r>
    </w:tbl>
    <w:p>
      <w:pPr>
        <w:spacing w:after="0" w:line="190" w:lineRule="exact"/>
        <w:rPr>
          <w:sz w:val="20"/>
          <w:szCs w:val="20"/>
          <w:color w:val="auto"/>
        </w:rPr>
      </w:pPr>
    </w:p>
    <w:p>
      <w:pPr>
        <w:ind w:right="680"/>
        <w:spacing w:after="0" w:line="247" w:lineRule="auto"/>
        <w:rPr>
          <w:sz w:val="20"/>
          <w:szCs w:val="20"/>
          <w:color w:val="auto"/>
        </w:rPr>
      </w:pPr>
      <w:r>
        <w:rPr>
          <w:rFonts w:ascii="Arial" w:cs="Arial" w:eastAsia="Arial" w:hAnsi="Arial"/>
          <w:sz w:val="18"/>
          <w:szCs w:val="18"/>
          <w:color w:val="auto"/>
        </w:rPr>
        <w:t>Capital expenditures for fiscal 2024 are expected to range from $145.0 million to $165.0 million and to be allocated across the Heavy Materials and Light Materials sectors. These estimated capital expenditures will include maintenance capital expenditures and improvements, as well as other safety and regulatory projects.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Contractual and Other Obligations</w:t>
      </w:r>
    </w:p>
    <w:p>
      <w:pPr>
        <w:spacing w:after="0" w:line="10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We have certain Contractual Obligations arising from indebtedness, operating leases, and purchase obligations. Future payments due, aggregated by type of contractual obligation, are set forth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940" w:type="dxa"/>
            <w:vAlign w:val="bottom"/>
            <w:shd w:val="clear" w:color="auto" w:fill="004483"/>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760" w:type="dxa"/>
            <w:vAlign w:val="bottom"/>
            <w:shd w:val="clear" w:color="auto" w:fill="004483"/>
          </w:tcPr>
          <w:p>
            <w:pPr>
              <w:spacing w:after="0"/>
              <w:rPr>
                <w:sz w:val="14"/>
                <w:szCs w:val="14"/>
                <w:color w:val="auto"/>
              </w:rPr>
            </w:pPr>
          </w:p>
        </w:tc>
        <w:tc>
          <w:tcPr>
            <w:tcW w:w="1540" w:type="dxa"/>
            <w:vAlign w:val="bottom"/>
            <w:gridSpan w:val="5"/>
            <w:shd w:val="clear" w:color="auto" w:fill="004483"/>
          </w:tcPr>
          <w:p>
            <w:pPr>
              <w:jc w:val="center"/>
              <w:ind w:right="20"/>
              <w:spacing w:after="0"/>
              <w:rPr>
                <w:sz w:val="20"/>
                <w:szCs w:val="20"/>
                <w:color w:val="auto"/>
              </w:rPr>
            </w:pPr>
            <w:r>
              <w:rPr>
                <w:rFonts w:ascii="Arial" w:cs="Arial" w:eastAsia="Arial" w:hAnsi="Arial"/>
                <w:sz w:val="13"/>
                <w:szCs w:val="13"/>
                <w:b w:val="1"/>
                <w:bCs w:val="1"/>
                <w:color w:val="FFFFFF"/>
                <w:w w:val="97"/>
              </w:rPr>
              <w:t>Payments Due by Period</w:t>
            </w:r>
          </w:p>
        </w:tc>
        <w:tc>
          <w:tcPr>
            <w:tcW w:w="260" w:type="dxa"/>
            <w:vAlign w:val="bottom"/>
            <w:shd w:val="clear" w:color="auto" w:fill="004483"/>
          </w:tcPr>
          <w:p>
            <w:pPr>
              <w:spacing w:after="0"/>
              <w:rPr>
                <w:sz w:val="14"/>
                <w:szCs w:val="14"/>
                <w:color w:val="auto"/>
              </w:rPr>
            </w:pPr>
          </w:p>
        </w:tc>
        <w:tc>
          <w:tcPr>
            <w:tcW w:w="88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88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1-3 years</w:t>
            </w:r>
          </w:p>
        </w:tc>
        <w:tc>
          <w:tcPr>
            <w:tcW w:w="260" w:type="dxa"/>
            <w:vAlign w:val="bottom"/>
          </w:tcPr>
          <w:p>
            <w:pPr>
              <w:spacing w:after="0"/>
              <w:rPr>
                <w:sz w:val="11"/>
                <w:szCs w:val="11"/>
                <w:color w:val="auto"/>
              </w:rPr>
            </w:pPr>
          </w:p>
        </w:tc>
        <w:tc>
          <w:tcPr>
            <w:tcW w:w="88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rPr>
              <w:t>3-5 years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62"/>
              <w:spacing w:after="0" w:line="127"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 year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20" w:type="dxa"/>
            <w:vAlign w:val="bottom"/>
            <w:tcBorders>
              <w:bottom w:val="single" w:sz="8" w:color="004483"/>
            </w:tcBorders>
            <w:gridSpan w:val="4"/>
          </w:tcPr>
          <w:p>
            <w:pPr>
              <w:jc w:val="center"/>
              <w:ind w:right="140"/>
              <w:spacing w:after="0"/>
              <w:rPr>
                <w:sz w:val="20"/>
                <w:szCs w:val="20"/>
                <w:color w:val="auto"/>
              </w:rPr>
            </w:pPr>
            <w:r>
              <w:rPr>
                <w:rFonts w:ascii="Arial" w:cs="Arial" w:eastAsia="Arial" w:hAnsi="Arial"/>
                <w:sz w:val="13"/>
                <w:szCs w:val="13"/>
                <w:color w:val="auto"/>
                <w:w w:val="96"/>
              </w:rPr>
              <w:t>(dollars in thousands)</w:t>
            </w:r>
          </w:p>
        </w:tc>
        <w:tc>
          <w:tcPr>
            <w:tcW w:w="26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A6A6A6"/>
            </w:tcBorders>
          </w:tcPr>
          <w:p>
            <w:pPr>
              <w:ind w:left="20"/>
              <w:spacing w:after="0" w:line="216" w:lineRule="exact"/>
              <w:rPr>
                <w:sz w:val="20"/>
                <w:szCs w:val="20"/>
                <w:color w:val="auto"/>
              </w:rPr>
            </w:pPr>
            <w:r>
              <w:rPr>
                <w:rFonts w:ascii="Arial" w:cs="Arial" w:eastAsia="Arial" w:hAnsi="Arial"/>
                <w:sz w:val="16"/>
                <w:szCs w:val="16"/>
                <w:color w:val="004483"/>
              </w:rPr>
              <w:t xml:space="preserve">Revolving Credit Facility </w:t>
            </w:r>
            <w:r>
              <w:rPr>
                <w:rFonts w:ascii="Arial" w:cs="Arial" w:eastAsia="Arial" w:hAnsi="Arial"/>
                <w:sz w:val="21"/>
                <w:szCs w:val="21"/>
                <w:color w:val="004483"/>
                <w:vertAlign w:val="superscript"/>
              </w:rPr>
              <w:t>(1)</w:t>
            </w:r>
          </w:p>
        </w:tc>
        <w:tc>
          <w:tcPr>
            <w:tcW w:w="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157,000</w:t>
            </w:r>
          </w:p>
        </w:tc>
        <w:tc>
          <w:tcPr>
            <w:tcW w:w="40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157,000</w:t>
            </w:r>
          </w:p>
        </w:tc>
        <w:tc>
          <w:tcPr>
            <w:tcW w:w="40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Term Loan </w:t>
            </w:r>
            <w:r>
              <w:rPr>
                <w:rFonts w:ascii="Arial" w:cs="Arial" w:eastAsia="Arial" w:hAnsi="Arial"/>
                <w:sz w:val="21"/>
                <w:szCs w:val="21"/>
                <w:color w:val="004483"/>
                <w:vertAlign w:val="superscript"/>
              </w:rPr>
              <w:t>(2)</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192,500</w:t>
            </w: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20,000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152,500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Senior Unsecured Notes</w:t>
            </w:r>
          </w:p>
        </w:tc>
        <w:tc>
          <w:tcPr>
            <w:tcW w:w="20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750,000</w:t>
            </w:r>
          </w:p>
        </w:tc>
        <w:tc>
          <w:tcPr>
            <w:tcW w:w="16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A6A6A6"/>
            </w:tcBorders>
          </w:tcPr>
          <w:p>
            <w:pPr>
              <w:ind w:left="20"/>
              <w:spacing w:after="0" w:line="213" w:lineRule="exact"/>
              <w:rPr>
                <w:sz w:val="20"/>
                <w:szCs w:val="20"/>
                <w:color w:val="auto"/>
              </w:rPr>
            </w:pPr>
            <w:r>
              <w:rPr>
                <w:rFonts w:ascii="Arial" w:cs="Arial" w:eastAsia="Arial" w:hAnsi="Arial"/>
                <w:sz w:val="16"/>
                <w:szCs w:val="16"/>
                <w:color w:val="004483"/>
              </w:rPr>
              <w:t xml:space="preserve">Interest and Commitment Fees on Credit Facility </w:t>
            </w:r>
            <w:r>
              <w:rPr>
                <w:rFonts w:ascii="Arial" w:cs="Arial" w:eastAsia="Arial" w:hAnsi="Arial"/>
                <w:sz w:val="21"/>
                <w:szCs w:val="21"/>
                <w:color w:val="004483"/>
                <w:vertAlign w:val="superscript"/>
              </w:rPr>
              <w:t>(3)</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23,253</w:t>
            </w: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9,337</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11,479</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2,437</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Interest on Term Loan </w:t>
            </w:r>
            <w:r>
              <w:rPr>
                <w:rFonts w:ascii="Arial" w:cs="Arial" w:eastAsia="Arial" w:hAnsi="Arial"/>
                <w:sz w:val="21"/>
                <w:szCs w:val="21"/>
                <w:color w:val="004483"/>
                <w:vertAlign w:val="superscript"/>
              </w:rPr>
              <w:t>(4)</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42,615</w:t>
            </w: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20,923</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10,323</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on Senior Unsecured Notes</w:t>
            </w:r>
          </w:p>
        </w:tc>
        <w:tc>
          <w:tcPr>
            <w:tcW w:w="20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154,688</w:t>
            </w:r>
          </w:p>
        </w:tc>
        <w:tc>
          <w:tcPr>
            <w:tcW w:w="16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18,750</w:t>
            </w: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37,500</w:t>
            </w:r>
          </w:p>
        </w:tc>
        <w:tc>
          <w:tcPr>
            <w:tcW w:w="14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37,500</w:t>
            </w:r>
          </w:p>
        </w:tc>
        <w:tc>
          <w:tcPr>
            <w:tcW w:w="14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60,938</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Leases</w:t>
            </w: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38,438</w:t>
            </w: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6,875</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11,089</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6,245</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14,229</w:t>
            </w:r>
          </w:p>
        </w:tc>
        <w:tc>
          <w:tcPr>
            <w:tcW w:w="0" w:type="dxa"/>
            <w:vAlign w:val="bottom"/>
          </w:tcPr>
          <w:p>
            <w:pPr>
              <w:spacing w:after="0"/>
              <w:rPr>
                <w:sz w:val="1"/>
                <w:szCs w:val="1"/>
                <w:color w:val="auto"/>
              </w:rPr>
            </w:pPr>
          </w:p>
        </w:tc>
      </w:tr>
      <w:tr>
        <w:trPr>
          <w:trHeight w:val="240"/>
        </w:trPr>
        <w:tc>
          <w:tcPr>
            <w:tcW w:w="4980" w:type="dxa"/>
            <w:vAlign w:val="bottom"/>
            <w:tcBorders>
              <w:bottom w:val="single" w:sz="8" w:color="A6A6A6"/>
            </w:tcBorders>
          </w:tcPr>
          <w:p>
            <w:pPr>
              <w:ind w:left="20"/>
              <w:spacing w:after="0" w:line="213" w:lineRule="exact"/>
              <w:rPr>
                <w:sz w:val="20"/>
                <w:szCs w:val="20"/>
                <w:color w:val="auto"/>
              </w:rPr>
            </w:pPr>
            <w:r>
              <w:rPr>
                <w:rFonts w:ascii="Arial" w:cs="Arial" w:eastAsia="Arial" w:hAnsi="Arial"/>
                <w:sz w:val="16"/>
                <w:szCs w:val="16"/>
                <w:color w:val="004483"/>
              </w:rPr>
              <w:t xml:space="preserve">Purchase Obligations </w:t>
            </w:r>
            <w:r>
              <w:rPr>
                <w:rFonts w:ascii="Arial" w:cs="Arial" w:eastAsia="Arial" w:hAnsi="Arial"/>
                <w:sz w:val="21"/>
                <w:szCs w:val="21"/>
                <w:color w:val="004483"/>
                <w:vertAlign w:val="superscript"/>
              </w:rPr>
              <w:t>(5)</w:t>
            </w:r>
          </w:p>
        </w:tc>
        <w:tc>
          <w:tcPr>
            <w:tcW w:w="20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111,599</w:t>
            </w:r>
          </w:p>
        </w:tc>
        <w:tc>
          <w:tcPr>
            <w:tcW w:w="160" w:type="dxa"/>
            <w:vAlign w:val="bottom"/>
            <w:tcBorders>
              <w:bottom w:val="single" w:sz="8" w:color="A6A6A6"/>
            </w:tcBorders>
          </w:tcPr>
          <w:p>
            <w:pPr>
              <w:spacing w:after="0"/>
              <w:rPr>
                <w:sz w:val="20"/>
                <w:szCs w:val="20"/>
                <w:color w:val="auto"/>
              </w:rPr>
            </w:pPr>
          </w:p>
        </w:tc>
        <w:tc>
          <w:tcPr>
            <w:tcW w:w="24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65,346</w:t>
            </w:r>
          </w:p>
        </w:tc>
        <w:tc>
          <w:tcPr>
            <w:tcW w:w="12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24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36,532</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6,306</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3,415</w:t>
            </w:r>
          </w:p>
        </w:tc>
        <w:tc>
          <w:tcPr>
            <w:tcW w:w="0" w:type="dxa"/>
            <w:vAlign w:val="bottom"/>
          </w:tcPr>
          <w:p>
            <w:pPr>
              <w:spacing w:after="0"/>
              <w:rPr>
                <w:sz w:val="1"/>
                <w:szCs w:val="1"/>
                <w:color w:val="auto"/>
              </w:rPr>
            </w:pPr>
          </w:p>
        </w:tc>
      </w:tr>
      <w:tr>
        <w:trPr>
          <w:trHeight w:val="210"/>
        </w:trPr>
        <w:tc>
          <w:tcPr>
            <w:tcW w:w="498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1,470,093</w:t>
            </w:r>
          </w:p>
        </w:tc>
        <w:tc>
          <w:tcPr>
            <w:tcW w:w="16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131,677</w:t>
            </w:r>
          </w:p>
        </w:tc>
        <w:tc>
          <w:tcPr>
            <w:tcW w:w="12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137,523</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372,311</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828,582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Revolving Credit Facility expires in May 2027.</w:t>
      </w:r>
    </w:p>
    <w:p>
      <w:pPr>
        <w:spacing w:after="0" w:line="3"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Term Loan facility in May 2027.</w:t>
      </w:r>
    </w:p>
    <w:p>
      <w:pPr>
        <w:spacing w:after="0" w:line="16" w:lineRule="exact"/>
        <w:rPr>
          <w:rFonts w:ascii="Arial" w:cs="Arial" w:eastAsia="Arial" w:hAnsi="Arial"/>
          <w:sz w:val="19"/>
          <w:szCs w:val="19"/>
          <w:color w:val="auto"/>
          <w:vertAlign w:val="superscript"/>
        </w:rPr>
      </w:pPr>
    </w:p>
    <w:p>
      <w:pPr>
        <w:ind w:left="300" w:right="120" w:hanging="292"/>
        <w:spacing w:after="0" w:line="207" w:lineRule="auto"/>
        <w:tabs>
          <w:tab w:leader="none" w:pos="252"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We estimate the future cash flows for interest and commitment fees by assuming a level repayment of the Revolving Credit Facility over its remaining term. Actual amounts paid, as well as the payment time periods, will likely differ from this estimate.</w:t>
      </w:r>
    </w:p>
    <w:p>
      <w:pPr>
        <w:spacing w:after="0" w:line="1" w:lineRule="exact"/>
        <w:rPr>
          <w:rFonts w:ascii="Arial" w:cs="Arial" w:eastAsia="Arial" w:hAnsi="Arial"/>
          <w:sz w:val="19"/>
          <w:szCs w:val="19"/>
          <w:color w:val="auto"/>
          <w:vertAlign w:val="superscript"/>
        </w:rPr>
      </w:pPr>
    </w:p>
    <w:p>
      <w:pPr>
        <w:ind w:left="260" w:hanging="252"/>
        <w:spacing w:after="0" w:line="199" w:lineRule="auto"/>
        <w:tabs>
          <w:tab w:leader="none" w:pos="26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future cash flows for interest on the Term Loan were calculated using the same estimated interest rates as the Revolving Credit Facility.</w:t>
      </w:r>
    </w:p>
    <w:p>
      <w:pPr>
        <w:spacing w:after="0" w:line="17" w:lineRule="exact"/>
        <w:rPr>
          <w:rFonts w:ascii="Arial" w:cs="Arial" w:eastAsia="Arial" w:hAnsi="Arial"/>
          <w:sz w:val="19"/>
          <w:szCs w:val="19"/>
          <w:color w:val="auto"/>
          <w:vertAlign w:val="superscript"/>
        </w:rPr>
      </w:pPr>
    </w:p>
    <w:p>
      <w:pPr>
        <w:ind w:left="280" w:hanging="272"/>
        <w:spacing w:after="0" w:line="189" w:lineRule="auto"/>
        <w:tabs>
          <w:tab w:leader="none" w:pos="2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Purchase obligations are noncancelable agreements to purchase coal, natural gas, slag, and synthetic gypsum; and to fund capital expenditure commitments.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actuarial estimates, we do not anticipate making contributions to our defined benefit plans for fiscal year 2024.</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Dividends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in fiscal years 2023 and 2022 were $37.5 million and $30.8 million, respectively. There were no dividends paid in fiscal 2021.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suspended during the early stages of the COVID-19 pandemic, but were reinstated in May 2021.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u w:val="single" w:color="auto"/>
          <w:color w:val="004483"/>
        </w:rPr>
        <w:t>Inflation and Changing Prices</w:t>
      </w:r>
    </w:p>
    <w:p>
      <w:pPr>
        <w:spacing w:after="0" w:line="1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Consumer Price Index rose approximately 5.0% in fiscal 2023, 8.5% in fiscal 2022, and 2.6% in fiscal 2021. Prices of all materials and services increased again this year compared with the previous year, with much of the increase related to energy and transportation. During fiscal 2023, the Consumer Price Index for electricity and natural gas increased 10.2% and 5.5%, respectively, while the Consumer Price Index for transportation increased 13.9%. The increase in energy prices resulted in higher costs for our manufacturing businesses during fiscal 2023, and we expect these increases to continue throughout calendar 2023. We have some protection from increasing natural gas costs in fiscal 2024 as we have forward purchase contracts for approximately 30% of our anticipated natural gas usage. Freight costs are expected to rise in fiscal 2024 by approximately 5% to 10%. Our ability to increase sales prices to cover higher costs in the future varies with the level of activity in the construction industry: the number, size, and strength of competitors, as well as the availability of products to supply a local market.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GENERAL OUTLOOK</w:t>
      </w:r>
    </w:p>
    <w:p>
      <w:pPr>
        <w:spacing w:after="0" w:line="109"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See “Market Conditions and Outlook” within Item 7,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RECENT ACCOUNTING PRONOUNCEMENTS</w:t>
      </w:r>
    </w:p>
    <w:p>
      <w:pPr>
        <w:spacing w:after="0" w:line="114" w:lineRule="exact"/>
        <w:rPr>
          <w:sz w:val="20"/>
          <w:szCs w:val="20"/>
          <w:color w:val="auto"/>
        </w:rPr>
      </w:pPr>
    </w:p>
    <w:p>
      <w:pPr>
        <w:ind w:right="1340"/>
        <w:spacing w:after="0" w:line="260" w:lineRule="auto"/>
        <w:rPr>
          <w:sz w:val="20"/>
          <w:szCs w:val="20"/>
          <w:color w:val="auto"/>
        </w:rPr>
      </w:pPr>
      <w:r>
        <w:rPr>
          <w:rFonts w:ascii="Arial" w:cs="Arial" w:eastAsia="Arial" w:hAnsi="Arial"/>
          <w:sz w:val="18"/>
          <w:szCs w:val="18"/>
          <w:color w:val="auto"/>
        </w:rPr>
        <w:t>Refer to Footnote (A) to the Audited Consolidated Financial Statements for information regarding recently issued accounting pronouncements that may affect our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FORWARD-LOOKING STATEMENTS</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electricity,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tornadoes and hurricanes) on our facilities, operations and contractual arrangements with third parties; competition; cyber-attacks or data security breaches; announced increases in capacity in the gypsum wallboard and</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1" w:name="page62"/>
    <w:bookmarkEnd w:id="61"/>
    <w:p>
      <w:pPr>
        <w:spacing w:after="0" w:line="237" w:lineRule="auto"/>
        <w:rPr>
          <w:sz w:val="20"/>
          <w:szCs w:val="20"/>
          <w:color w:val="auto"/>
        </w:rPr>
      </w:pPr>
      <w:r>
        <w:rPr>
          <w:rFonts w:ascii="Arial" w:cs="Arial" w:eastAsia="Arial" w:hAnsi="Arial"/>
          <w:sz w:val="18"/>
          <w:szCs w:val="18"/>
          <w:color w:val="auto"/>
        </w:rPr>
        <w:t>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electricity, natural gas, coal and oil)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any resurgence of the COVID-19 pandemic and responses thereto, as well as their impact on economic conditions, capital and financial markets.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At March 31, 2023, we had $157.0 million outstanding under the Revolving Credit Facility and $192.5 million outstanding under the Term Loan, under which borrowings bear interest at a variable rate based on SOFR. A hypothetical 100 basis point increase in interest rates on these outstanding borrowings would increase our interest expense by $3.5 million on an annual basis. We do not presently utilize derivative financial instruments.</w:t>
      </w:r>
    </w:p>
    <w:p>
      <w:pPr>
        <w:spacing w:after="0" w:line="8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We are subject to commodity risk with respect to price changes principally in coal, petroleum coke, natural gas, and power. We attempt to limit our exposure to changes in commodity prices by entering into contracts or increasing use of alternative fuels.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8" w:right="379" w:bottom="1440" w:gutter="0" w:footer="0" w:header="0"/>
        </w:sectPr>
      </w:pPr>
    </w:p>
    <w:bookmarkStart w:id="62" w:name="page63"/>
    <w:bookmarkEnd w:id="62"/>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FINANCIAL INFORMATION</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INDEX TO FINANCIAL STATEMENTS AND RELATED INFORMATION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48"/>
        </w:trPr>
        <w:tc>
          <w:tcPr>
            <w:tcW w:w="8560" w:type="dxa"/>
            <w:vAlign w:val="bottom"/>
            <w:gridSpan w:val="7"/>
          </w:tcPr>
          <w:p>
            <w:pPr>
              <w:spacing w:after="0"/>
              <w:rPr>
                <w:sz w:val="20"/>
                <w:szCs w:val="20"/>
                <w:color w:val="auto"/>
              </w:rPr>
            </w:pPr>
            <w:r>
              <w:rPr>
                <w:rFonts w:ascii="Arial" w:cs="Arial" w:eastAsia="Arial" w:hAnsi="Arial"/>
                <w:sz w:val="18"/>
                <w:szCs w:val="18"/>
                <w:b w:val="1"/>
                <w:bCs w:val="1"/>
                <w:color w:val="auto"/>
              </w:rPr>
              <w:t>Eagle Materials Inc.:</w:t>
            </w:r>
          </w:p>
        </w:tc>
        <w:tc>
          <w:tcPr>
            <w:tcW w:w="2640" w:type="dxa"/>
            <w:vAlign w:val="bottom"/>
          </w:tcPr>
          <w:p>
            <w:pPr>
              <w:spacing w:after="0"/>
              <w:rPr>
                <w:sz w:val="24"/>
                <w:szCs w:val="24"/>
                <w:color w:val="auto"/>
              </w:rPr>
            </w:pPr>
          </w:p>
        </w:tc>
      </w:tr>
      <w:tr>
        <w:trPr>
          <w:trHeight w:val="285"/>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Statements of Earnings for the Years Ended March 31, 2023, 2022, and 2021</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Consolidated Statements of Comprehensive Earnings for the Years Ended March 31, 2023, 2022, and 2021</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Balance Sheets as of March 31, 2023 and 2022</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Statements of Cash Flows for the Years Ended March 31, 2023, 2022, and 2021</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560" w:type="dxa"/>
            <w:vAlign w:val="bottom"/>
            <w:gridSpan w:val="7"/>
          </w:tcPr>
          <w:p>
            <w:pPr>
              <w:spacing w:after="0"/>
              <w:rPr>
                <w:sz w:val="20"/>
                <w:szCs w:val="20"/>
                <w:color w:val="auto"/>
              </w:rPr>
            </w:pPr>
            <w:r>
              <w:rPr>
                <w:rFonts w:ascii="Arial" w:cs="Arial" w:eastAsia="Arial" w:hAnsi="Arial"/>
                <w:sz w:val="18"/>
                <w:szCs w:val="18"/>
                <w:color w:val="auto"/>
              </w:rPr>
              <w:t>Consolidated Statements of Stockholders’ Equity for the Years Ended March 31, 2023, 2022, and 2021</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79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Notes to Consolidated Financial Statements</w:t>
            </w:r>
          </w:p>
        </w:tc>
        <w:tc>
          <w:tcPr>
            <w:tcW w:w="6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4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9"/>
              </w:rPr>
              <w:t>Report of Independent Registered Public Accounting Firm</w:t>
            </w:r>
          </w:p>
        </w:tc>
        <w:tc>
          <w:tcPr>
            <w:tcW w:w="3960" w:type="dxa"/>
            <w:vAlign w:val="bottom"/>
            <w:gridSpan w:val="5"/>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58"/>
        </w:trPr>
        <w:tc>
          <w:tcPr>
            <w:tcW w:w="8560" w:type="dxa"/>
            <w:vAlign w:val="bottom"/>
            <w:gridSpan w:val="7"/>
          </w:tcPr>
          <w:p>
            <w:pPr>
              <w:ind w:left="400"/>
              <w:spacing w:after="0"/>
              <w:rPr>
                <w:sz w:val="20"/>
                <w:szCs w:val="20"/>
                <w:color w:val="auto"/>
              </w:rPr>
            </w:pPr>
            <w:r>
              <w:rPr>
                <w:rFonts w:ascii="Arial" w:cs="Arial" w:eastAsia="Arial" w:hAnsi="Arial"/>
                <w:sz w:val="18"/>
                <w:szCs w:val="18"/>
                <w:color w:val="auto"/>
              </w:rPr>
              <w:t>Auditor Name: Ernst &amp; Young LLP</w:t>
            </w:r>
          </w:p>
        </w:tc>
        <w:tc>
          <w:tcPr>
            <w:tcW w:w="2640" w:type="dxa"/>
            <w:vAlign w:val="bottom"/>
          </w:tcPr>
          <w:p>
            <w:pPr>
              <w:spacing w:after="0"/>
              <w:rPr>
                <w:sz w:val="24"/>
                <w:szCs w:val="24"/>
                <w:color w:val="auto"/>
              </w:rPr>
            </w:pPr>
          </w:p>
        </w:tc>
      </w:tr>
      <w:tr>
        <w:trPr>
          <w:trHeight w:val="338"/>
        </w:trPr>
        <w:tc>
          <w:tcPr>
            <w:tcW w:w="8560" w:type="dxa"/>
            <w:vAlign w:val="bottom"/>
            <w:gridSpan w:val="7"/>
          </w:tcPr>
          <w:p>
            <w:pPr>
              <w:ind w:left="400"/>
              <w:spacing w:after="0"/>
              <w:rPr>
                <w:sz w:val="20"/>
                <w:szCs w:val="20"/>
                <w:color w:val="auto"/>
              </w:rPr>
            </w:pPr>
            <w:r>
              <w:rPr>
                <w:rFonts w:ascii="Arial" w:cs="Arial" w:eastAsia="Arial" w:hAnsi="Arial"/>
                <w:sz w:val="18"/>
                <w:szCs w:val="18"/>
                <w:color w:val="auto"/>
              </w:rPr>
              <w:t>Auditor Location: Dallas, Texas</w:t>
            </w:r>
          </w:p>
        </w:tc>
        <w:tc>
          <w:tcPr>
            <w:tcW w:w="2640" w:type="dxa"/>
            <w:vAlign w:val="bottom"/>
          </w:tcPr>
          <w:p>
            <w:pPr>
              <w:spacing w:after="0"/>
              <w:rPr>
                <w:sz w:val="24"/>
                <w:szCs w:val="24"/>
                <w:color w:val="auto"/>
              </w:rPr>
            </w:pPr>
          </w:p>
        </w:tc>
      </w:tr>
      <w:tr>
        <w:trPr>
          <w:trHeight w:val="338"/>
        </w:trPr>
        <w:tc>
          <w:tcPr>
            <w:tcW w:w="8560" w:type="dxa"/>
            <w:vAlign w:val="bottom"/>
            <w:gridSpan w:val="7"/>
          </w:tcPr>
          <w:p>
            <w:pPr>
              <w:ind w:left="400"/>
              <w:spacing w:after="0"/>
              <w:rPr>
                <w:sz w:val="20"/>
                <w:szCs w:val="20"/>
                <w:color w:val="auto"/>
              </w:rPr>
            </w:pPr>
            <w:r>
              <w:rPr>
                <w:rFonts w:ascii="Arial" w:cs="Arial" w:eastAsia="Arial" w:hAnsi="Arial"/>
                <w:sz w:val="18"/>
                <w:szCs w:val="18"/>
                <w:color w:val="auto"/>
              </w:rPr>
              <w:t>Auditor Firm ID: 42</w:t>
            </w:r>
          </w:p>
        </w:tc>
        <w:tc>
          <w:tcPr>
            <w:tcW w:w="2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300" w:type="dxa"/>
            <w:vAlign w:val="bottom"/>
            <w:shd w:val="clear" w:color="auto" w:fill="004483"/>
          </w:tcPr>
          <w:p>
            <w:pPr>
              <w:spacing w:after="0"/>
              <w:rPr>
                <w:sz w:val="14"/>
                <w:szCs w:val="14"/>
                <w:color w:val="auto"/>
              </w:rPr>
            </w:pPr>
          </w:p>
        </w:tc>
        <w:tc>
          <w:tcPr>
            <w:tcW w:w="108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300" w:type="dxa"/>
            <w:vAlign w:val="bottom"/>
            <w:shd w:val="clear" w:color="auto" w:fill="004483"/>
          </w:tcPr>
          <w:p>
            <w:pPr>
              <w:spacing w:after="0"/>
              <w:rPr>
                <w:sz w:val="14"/>
                <w:szCs w:val="14"/>
                <w:color w:val="auto"/>
              </w:rPr>
            </w:pPr>
          </w:p>
        </w:tc>
        <w:tc>
          <w:tcPr>
            <w:tcW w:w="1160" w:type="dxa"/>
            <w:vAlign w:val="bottom"/>
            <w:shd w:val="clear" w:color="auto" w:fill="004483"/>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3"/>
                <w:szCs w:val="13"/>
                <w:b w:val="1"/>
                <w:bCs w:val="1"/>
                <w:color w:val="auto"/>
              </w:rPr>
              <w:t>2021</w:t>
            </w:r>
          </w:p>
        </w:tc>
      </w:tr>
      <w:tr>
        <w:trPr>
          <w:trHeight w:val="183"/>
        </w:trPr>
        <w:tc>
          <w:tcPr>
            <w:tcW w:w="650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4440" w:type="dxa"/>
            <w:vAlign w:val="bottom"/>
            <w:tcBorders>
              <w:bottom w:val="single" w:sz="8" w:color="004483"/>
            </w:tcBorders>
            <w:gridSpan w:val="8"/>
          </w:tcPr>
          <w:p>
            <w:pPr>
              <w:jc w:val="center"/>
              <w:ind w:right="360"/>
              <w:spacing w:after="0"/>
              <w:rPr>
                <w:sz w:val="20"/>
                <w:szCs w:val="20"/>
                <w:color w:val="auto"/>
              </w:rPr>
            </w:pPr>
            <w:r>
              <w:rPr>
                <w:rFonts w:ascii="Arial" w:cs="Arial" w:eastAsia="Arial" w:hAnsi="Arial"/>
                <w:sz w:val="13"/>
                <w:szCs w:val="13"/>
                <w:color w:val="auto"/>
                <w:w w:val="96"/>
              </w:rPr>
              <w:t>(dollars in thousands, except share and per share data)</w:t>
            </w:r>
          </w:p>
        </w:tc>
      </w:tr>
      <w:tr>
        <w:trPr>
          <w:trHeight w:val="213"/>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2,148,069</w:t>
            </w:r>
          </w:p>
        </w:tc>
        <w:tc>
          <w:tcPr>
            <w:tcW w:w="560" w:type="dxa"/>
            <w:vAlign w:val="bottom"/>
            <w:tcBorders>
              <w:bottom w:val="single" w:sz="8" w:color="A6A6A6"/>
            </w:tcBorders>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1,861,522</w:t>
            </w:r>
          </w:p>
        </w:tc>
        <w:tc>
          <w:tcPr>
            <w:tcW w:w="18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1,622,642</w:t>
            </w:r>
          </w:p>
        </w:tc>
      </w:tr>
      <w:tr>
        <w:trPr>
          <w:trHeight w:val="24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30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1,508,803</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1,341,908</w:t>
            </w:r>
          </w:p>
        </w:tc>
        <w:tc>
          <w:tcPr>
            <w:tcW w:w="18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1,214,287</w:t>
            </w:r>
          </w:p>
        </w:tc>
      </w:tr>
      <w:tr>
        <w:trPr>
          <w:trHeight w:val="207"/>
        </w:trPr>
        <w:tc>
          <w:tcPr>
            <w:tcW w:w="6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3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639,266</w:t>
            </w: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519,614</w:t>
            </w: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408,355</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35,474</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32,488</w:t>
            </w:r>
          </w:p>
        </w:tc>
        <w:tc>
          <w:tcPr>
            <w:tcW w:w="18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37,441</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3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(53,630 )</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(46,801 )</w:t>
            </w:r>
          </w:p>
        </w:tc>
        <w:tc>
          <w:tcPr>
            <w:tcW w:w="18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(49,511 )</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c>
          <w:tcPr>
            <w:tcW w:w="18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Gain on Sale of Businesses</w:t>
            </w:r>
          </w:p>
        </w:tc>
        <w:tc>
          <w:tcPr>
            <w:tcW w:w="3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51,973</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w:t>
            </w:r>
          </w:p>
        </w:tc>
        <w:tc>
          <w:tcPr>
            <w:tcW w:w="3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2,654</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9,073</w:t>
            </w:r>
          </w:p>
        </w:tc>
        <w:tc>
          <w:tcPr>
            <w:tcW w:w="18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20,274</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30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(35,171 )</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(30,873 )</w:t>
            </w:r>
          </w:p>
        </w:tc>
        <w:tc>
          <w:tcPr>
            <w:tcW w:w="18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(44,420 )</w:t>
            </w:r>
          </w:p>
        </w:tc>
      </w:tr>
      <w:tr>
        <w:trPr>
          <w:trHeight w:val="207"/>
        </w:trPr>
        <w:tc>
          <w:tcPr>
            <w:tcW w:w="6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from Continuing Operations Before Income Taxes</w:t>
            </w:r>
          </w:p>
        </w:tc>
        <w:tc>
          <w:tcPr>
            <w:tcW w:w="3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588,593</w:t>
            </w: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475,094</w:t>
            </w: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424,112</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w:t>
            </w:r>
          </w:p>
        </w:tc>
        <w:tc>
          <w:tcPr>
            <w:tcW w:w="30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(127,053 )</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(100,847 )</w:t>
            </w:r>
          </w:p>
        </w:tc>
        <w:tc>
          <w:tcPr>
            <w:tcW w:w="18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(89,946 )</w:t>
            </w:r>
          </w:p>
        </w:tc>
      </w:tr>
      <w:tr>
        <w:trPr>
          <w:trHeight w:val="207"/>
        </w:trPr>
        <w:tc>
          <w:tcPr>
            <w:tcW w:w="6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from Continuing Operations</w:t>
            </w:r>
          </w:p>
        </w:tc>
        <w:tc>
          <w:tcPr>
            <w:tcW w:w="3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461,540</w:t>
            </w: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374,247</w:t>
            </w: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334,166</w:t>
            </w:r>
          </w:p>
        </w:tc>
      </w:tr>
      <w:tr>
        <w:trPr>
          <w:trHeight w:val="239"/>
        </w:trPr>
        <w:tc>
          <w:tcPr>
            <w:tcW w:w="6500" w:type="dxa"/>
            <w:vAlign w:val="bottom"/>
          </w:tcPr>
          <w:p>
            <w:pPr>
              <w:ind w:left="200"/>
              <w:spacing w:after="0"/>
              <w:rPr>
                <w:sz w:val="20"/>
                <w:szCs w:val="20"/>
                <w:color w:val="auto"/>
              </w:rPr>
            </w:pPr>
            <w:r>
              <w:rPr>
                <w:rFonts w:ascii="Arial" w:cs="Arial" w:eastAsia="Arial" w:hAnsi="Arial"/>
                <w:sz w:val="16"/>
                <w:szCs w:val="16"/>
                <w:color w:val="004483"/>
              </w:rPr>
              <w:t>Earnings from Discontinued Operations, net of Income Taxes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5,278</w:t>
            </w:r>
          </w:p>
        </w:tc>
      </w:tr>
      <w:tr>
        <w:trPr>
          <w:trHeight w:val="210"/>
        </w:trPr>
        <w:tc>
          <w:tcPr>
            <w:tcW w:w="650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auto"/>
              </w:rPr>
              <w:t>Net Earnings</w:t>
            </w:r>
          </w:p>
        </w:tc>
        <w:tc>
          <w:tcPr>
            <w:tcW w:w="300" w:type="dxa"/>
            <w:vAlign w:val="bottom"/>
            <w:tcBorders>
              <w:top w:val="single" w:sz="8" w:color="004483"/>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461,540</w:t>
            </w:r>
          </w:p>
        </w:tc>
        <w:tc>
          <w:tcPr>
            <w:tcW w:w="60" w:type="dxa"/>
            <w:vAlign w:val="bottom"/>
            <w:tcBorders>
              <w:top w:val="single" w:sz="8" w:color="004483"/>
              <w:bottom w:val="single" w:sz="8" w:color="004483"/>
            </w:tcBorders>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300" w:type="dxa"/>
            <w:vAlign w:val="bottom"/>
            <w:tcBorders>
              <w:top w:val="single" w:sz="8" w:color="004483"/>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004483"/>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374,247</w:t>
            </w:r>
          </w:p>
        </w:tc>
        <w:tc>
          <w:tcPr>
            <w:tcW w:w="180" w:type="dxa"/>
            <w:vAlign w:val="bottom"/>
            <w:tcBorders>
              <w:top w:val="single" w:sz="8" w:color="A6A6A6"/>
            </w:tcBorders>
          </w:tcPr>
          <w:p>
            <w:pPr>
              <w:spacing w:after="0"/>
              <w:rPr>
                <w:sz w:val="18"/>
                <w:szCs w:val="18"/>
                <w:color w:val="auto"/>
              </w:rPr>
            </w:pPr>
          </w:p>
        </w:tc>
        <w:tc>
          <w:tcPr>
            <w:tcW w:w="300" w:type="dxa"/>
            <w:vAlign w:val="bottom"/>
            <w:tcBorders>
              <w:top w:val="single" w:sz="8" w:color="004483"/>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004483"/>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339,444</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r>
      <w:tr>
        <w:trPr>
          <w:trHeight w:val="197"/>
        </w:trPr>
        <w:tc>
          <w:tcPr>
            <w:tcW w:w="65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r>
      <w:tr>
        <w:trPr>
          <w:trHeight w:val="209"/>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30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r>
      <w:tr>
        <w:trPr>
          <w:trHeight w:val="207"/>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Continuing Operations</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12.54</w:t>
            </w:r>
          </w:p>
        </w:tc>
        <w:tc>
          <w:tcPr>
            <w:tcW w:w="560" w:type="dxa"/>
            <w:vAlign w:val="bottom"/>
            <w:tcBorders>
              <w:bottom w:val="single" w:sz="8" w:color="A6A6A6"/>
            </w:tcBorders>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9.23</w:t>
            </w: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8.04</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Discontinued Operations</w:t>
            </w:r>
          </w:p>
        </w:tc>
        <w:tc>
          <w:tcPr>
            <w:tcW w:w="30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0.13</w:t>
            </w:r>
          </w:p>
        </w:tc>
      </w:tr>
      <w:tr>
        <w:trPr>
          <w:trHeight w:val="207"/>
        </w:trPr>
        <w:tc>
          <w:tcPr>
            <w:tcW w:w="6500" w:type="dxa"/>
            <w:vAlign w:val="bottom"/>
          </w:tcPr>
          <w:p>
            <w:pPr>
              <w:ind w:left="200"/>
              <w:spacing w:after="0"/>
              <w:rPr>
                <w:sz w:val="20"/>
                <w:szCs w:val="20"/>
                <w:color w:val="auto"/>
              </w:rPr>
            </w:pPr>
            <w:r>
              <w:rPr>
                <w:rFonts w:ascii="Arial" w:cs="Arial" w:eastAsia="Arial" w:hAnsi="Arial"/>
                <w:sz w:val="16"/>
                <w:szCs w:val="16"/>
                <w:color w:val="004483"/>
              </w:rPr>
              <w:t>Net Earnings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12.54</w:t>
            </w:r>
          </w:p>
        </w:tc>
        <w:tc>
          <w:tcPr>
            <w:tcW w:w="5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9.23</w:t>
            </w:r>
          </w:p>
        </w:tc>
        <w:tc>
          <w:tcPr>
            <w:tcW w:w="1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8.17</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00" w:type="dxa"/>
            <w:vAlign w:val="bottom"/>
            <w:tcBorders>
              <w:top w:val="single" w:sz="8" w:color="004483"/>
              <w:bottom w:val="single" w:sz="8" w:color="004483"/>
            </w:tcBorders>
          </w:tcPr>
          <w:p>
            <w:pPr>
              <w:spacing w:after="0" w:line="20" w:lineRule="exact"/>
              <w:rPr>
                <w:sz w:val="1"/>
                <w:szCs w:val="1"/>
                <w:color w:val="auto"/>
              </w:rPr>
            </w:pPr>
          </w:p>
        </w:tc>
        <w:tc>
          <w:tcPr>
            <w:tcW w:w="1080" w:type="dxa"/>
            <w:vAlign w:val="bottom"/>
            <w:tcBorders>
              <w:top w:val="single" w:sz="8" w:color="004483"/>
              <w:bottom w:val="single" w:sz="8" w:color="004483"/>
            </w:tcBorders>
          </w:tcPr>
          <w:p>
            <w:pPr>
              <w:spacing w:after="0" w:line="20" w:lineRule="exact"/>
              <w:rPr>
                <w:sz w:val="1"/>
                <w:szCs w:val="1"/>
                <w:color w:val="auto"/>
              </w:rPr>
            </w:pPr>
          </w:p>
        </w:tc>
        <w:tc>
          <w:tcPr>
            <w:tcW w:w="60" w:type="dxa"/>
            <w:vAlign w:val="bottom"/>
            <w:tcBorders>
              <w:top w:val="single" w:sz="8" w:color="004483"/>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0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r>
      <w:tr>
        <w:trPr>
          <w:trHeight w:val="199"/>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r>
      <w:tr>
        <w:trPr>
          <w:trHeight w:val="207"/>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Continuing Operations</w:t>
            </w: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12.46</w:t>
            </w:r>
          </w:p>
        </w:tc>
        <w:tc>
          <w:tcPr>
            <w:tcW w:w="560" w:type="dxa"/>
            <w:vAlign w:val="bottom"/>
            <w:tcBorders>
              <w:bottom w:val="single" w:sz="8" w:color="A6A6A6"/>
            </w:tcBorders>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9.14</w:t>
            </w: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7.99</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Discontinued Operations</w:t>
            </w:r>
          </w:p>
        </w:tc>
        <w:tc>
          <w:tcPr>
            <w:tcW w:w="30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0.13</w:t>
            </w:r>
          </w:p>
        </w:tc>
      </w:tr>
      <w:tr>
        <w:trPr>
          <w:trHeight w:val="206"/>
        </w:trPr>
        <w:tc>
          <w:tcPr>
            <w:tcW w:w="6500" w:type="dxa"/>
            <w:vAlign w:val="bottom"/>
          </w:tcPr>
          <w:p>
            <w:pPr>
              <w:ind w:left="200"/>
              <w:spacing w:after="0"/>
              <w:rPr>
                <w:sz w:val="20"/>
                <w:szCs w:val="20"/>
                <w:color w:val="auto"/>
              </w:rPr>
            </w:pPr>
            <w:r>
              <w:rPr>
                <w:rFonts w:ascii="Arial" w:cs="Arial" w:eastAsia="Arial" w:hAnsi="Arial"/>
                <w:sz w:val="16"/>
                <w:szCs w:val="16"/>
                <w:color w:val="004483"/>
              </w:rPr>
              <w:t>Net Earnings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12.46</w:t>
            </w:r>
          </w:p>
        </w:tc>
        <w:tc>
          <w:tcPr>
            <w:tcW w:w="5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9.14</w:t>
            </w:r>
          </w:p>
        </w:tc>
        <w:tc>
          <w:tcPr>
            <w:tcW w:w="1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8.12</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00" w:type="dxa"/>
            <w:vAlign w:val="bottom"/>
            <w:tcBorders>
              <w:top w:val="single" w:sz="8" w:color="004483"/>
              <w:bottom w:val="single" w:sz="8" w:color="004483"/>
            </w:tcBorders>
          </w:tcPr>
          <w:p>
            <w:pPr>
              <w:spacing w:after="0" w:line="20" w:lineRule="exact"/>
              <w:rPr>
                <w:sz w:val="1"/>
                <w:szCs w:val="1"/>
                <w:color w:val="auto"/>
              </w:rPr>
            </w:pPr>
          </w:p>
        </w:tc>
        <w:tc>
          <w:tcPr>
            <w:tcW w:w="1080" w:type="dxa"/>
            <w:vAlign w:val="bottom"/>
            <w:tcBorders>
              <w:top w:val="single" w:sz="8" w:color="004483"/>
              <w:bottom w:val="single" w:sz="8" w:color="004483"/>
            </w:tcBorders>
          </w:tcPr>
          <w:p>
            <w:pPr>
              <w:spacing w:after="0" w:line="20" w:lineRule="exact"/>
              <w:rPr>
                <w:sz w:val="1"/>
                <w:szCs w:val="1"/>
                <w:color w:val="auto"/>
              </w:rPr>
            </w:pPr>
          </w:p>
        </w:tc>
        <w:tc>
          <w:tcPr>
            <w:tcW w:w="60" w:type="dxa"/>
            <w:vAlign w:val="bottom"/>
            <w:tcBorders>
              <w:top w:val="single" w:sz="8" w:color="004483"/>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0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r>
      <w:tr>
        <w:trPr>
          <w:trHeight w:val="200"/>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30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r>
      <w:tr>
        <w:trPr>
          <w:trHeight w:val="207"/>
        </w:trPr>
        <w:tc>
          <w:tcPr>
            <w:tcW w:w="6500" w:type="dxa"/>
            <w:vAlign w:val="bottom"/>
          </w:tcPr>
          <w:p>
            <w:pPr>
              <w:ind w:left="200"/>
              <w:spacing w:after="0"/>
              <w:rPr>
                <w:sz w:val="20"/>
                <w:szCs w:val="20"/>
                <w:color w:val="auto"/>
              </w:rPr>
            </w:pPr>
            <w:r>
              <w:rPr>
                <w:rFonts w:ascii="Arial" w:cs="Arial" w:eastAsia="Arial" w:hAnsi="Arial"/>
                <w:sz w:val="16"/>
                <w:szCs w:val="16"/>
                <w:color w:val="004483"/>
              </w:rPr>
              <w:t>Basic</w:t>
            </w:r>
          </w:p>
        </w:tc>
        <w:tc>
          <w:tcPr>
            <w:tcW w:w="300" w:type="dxa"/>
            <w:vAlign w:val="bottom"/>
            <w:tcBorders>
              <w:bottom w:val="single" w:sz="8" w:color="004483"/>
            </w:tcBorders>
          </w:tcPr>
          <w:p>
            <w:pPr>
              <w:spacing w:after="0"/>
              <w:rPr>
                <w:sz w:val="17"/>
                <w:szCs w:val="17"/>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36,798,354</w:t>
            </w:r>
          </w:p>
        </w:tc>
        <w:tc>
          <w:tcPr>
            <w:tcW w:w="60" w:type="dxa"/>
            <w:vAlign w:val="bottom"/>
            <w:tcBorders>
              <w:bottom w:val="single" w:sz="8" w:color="004483"/>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16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40,547,048</w:t>
            </w:r>
          </w:p>
        </w:tc>
        <w:tc>
          <w:tcPr>
            <w:tcW w:w="18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1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41,543,067</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r>
      <w:tr>
        <w:trPr>
          <w:trHeight w:val="196"/>
        </w:trPr>
        <w:tc>
          <w:tcPr>
            <w:tcW w:w="650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300" w:type="dxa"/>
            <w:vAlign w:val="bottom"/>
            <w:tcBorders>
              <w:bottom w:val="single" w:sz="8" w:color="004483"/>
            </w:tcBorders>
          </w:tcPr>
          <w:p>
            <w:pPr>
              <w:spacing w:after="0"/>
              <w:rPr>
                <w:sz w:val="17"/>
                <w:szCs w:val="17"/>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37,052,942</w:t>
            </w:r>
          </w:p>
        </w:tc>
        <w:tc>
          <w:tcPr>
            <w:tcW w:w="60" w:type="dxa"/>
            <w:vAlign w:val="bottom"/>
            <w:tcBorders>
              <w:bottom w:val="single" w:sz="8" w:color="004483"/>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16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40,929,712</w:t>
            </w:r>
          </w:p>
        </w:tc>
        <w:tc>
          <w:tcPr>
            <w:tcW w:w="18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1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41,826,709</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r>
      <w:tr>
        <w:trPr>
          <w:trHeight w:val="200"/>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w:t>
            </w:r>
          </w:p>
        </w:tc>
        <w:tc>
          <w:tcPr>
            <w:tcW w:w="60" w:type="dxa"/>
            <w:vAlign w:val="bottom"/>
            <w:tcBorders>
              <w:bottom w:val="single" w:sz="8" w:color="004483"/>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0.75</w:t>
            </w:r>
          </w:p>
        </w:tc>
        <w:tc>
          <w:tcPr>
            <w:tcW w:w="180" w:type="dxa"/>
            <w:vAlign w:val="bottom"/>
          </w:tcPr>
          <w:p>
            <w:pPr>
              <w:spacing w:after="0"/>
              <w:rPr>
                <w:sz w:val="17"/>
                <w:szCs w:val="17"/>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0.10</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98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420" w:type="dxa"/>
            <w:vAlign w:val="bottom"/>
            <w:shd w:val="clear" w:color="auto" w:fill="004483"/>
          </w:tcPr>
          <w:p>
            <w:pPr>
              <w:spacing w:after="0"/>
              <w:rPr>
                <w:sz w:val="14"/>
                <w:szCs w:val="14"/>
                <w:color w:val="auto"/>
              </w:rPr>
            </w:pPr>
          </w:p>
        </w:tc>
        <w:tc>
          <w:tcPr>
            <w:tcW w:w="106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6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420" w:type="dxa"/>
            <w:vAlign w:val="bottom"/>
            <w:tcBorders>
              <w:bottom w:val="single" w:sz="8" w:color="004483"/>
            </w:tcBorders>
          </w:tcPr>
          <w:p>
            <w:pPr>
              <w:spacing w:after="0"/>
              <w:rPr>
                <w:sz w:val="15"/>
                <w:szCs w:val="15"/>
                <w:color w:val="auto"/>
              </w:rPr>
            </w:pPr>
          </w:p>
        </w:tc>
        <w:tc>
          <w:tcPr>
            <w:tcW w:w="106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ind w:right="3"/>
              <w:spacing w:after="0"/>
              <w:rPr>
                <w:sz w:val="20"/>
                <w:szCs w:val="20"/>
                <w:color w:val="auto"/>
              </w:rPr>
            </w:pPr>
            <w:r>
              <w:rPr>
                <w:rFonts w:ascii="Arial" w:cs="Arial" w:eastAsia="Arial" w:hAnsi="Arial"/>
                <w:sz w:val="16"/>
                <w:szCs w:val="16"/>
                <w:color w:val="auto"/>
              </w:rPr>
              <w:t>461,540</w:t>
            </w:r>
          </w:p>
        </w:tc>
        <w:tc>
          <w:tcPr>
            <w:tcW w:w="680" w:type="dxa"/>
            <w:vAlign w:val="bottom"/>
            <w:tcBorders>
              <w:bottom w:val="single" w:sz="8" w:color="A6A6A6"/>
            </w:tcBorders>
            <w:gridSpan w:val="3"/>
          </w:tcPr>
          <w:p>
            <w:pPr>
              <w:jc w:val="right"/>
              <w:ind w:right="2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374,247</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339,444</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4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00"/>
              <w:spacing w:after="0"/>
              <w:rPr>
                <w:sz w:val="20"/>
                <w:szCs w:val="20"/>
                <w:color w:val="auto"/>
              </w:rPr>
            </w:pPr>
            <w:r>
              <w:rPr>
                <w:rFonts w:ascii="Arial" w:cs="Arial" w:eastAsia="Arial" w:hAnsi="Arial"/>
                <w:sz w:val="16"/>
                <w:szCs w:val="16"/>
                <w:color w:val="004483"/>
              </w:rPr>
              <w:t>Unrealized (Loss) Gain During the Period, net of tax (benefit) expense</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of $(147), $48, and $33</w:t>
            </w:r>
          </w:p>
        </w:tc>
        <w:tc>
          <w:tcPr>
            <w:tcW w:w="4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(465 )</w:t>
            </w: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161</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9"/>
        </w:trPr>
        <w:tc>
          <w:tcPr>
            <w:tcW w:w="6460" w:type="dxa"/>
            <w:vAlign w:val="bottom"/>
          </w:tcPr>
          <w:p>
            <w:pPr>
              <w:ind w:left="200"/>
              <w:spacing w:after="0"/>
              <w:rPr>
                <w:sz w:val="20"/>
                <w:szCs w:val="20"/>
                <w:color w:val="auto"/>
              </w:rPr>
            </w:pPr>
            <w:r>
              <w:rPr>
                <w:rFonts w:ascii="Arial" w:cs="Arial" w:eastAsia="Arial" w:hAnsi="Arial"/>
                <w:sz w:val="16"/>
                <w:szCs w:val="16"/>
                <w:color w:val="004483"/>
              </w:rPr>
              <w:t>Amortization of Net Actuarial Gain (Loss), net of tax (expense) benefit of $30,</w:t>
            </w:r>
          </w:p>
        </w:tc>
        <w:tc>
          <w:tcPr>
            <w:tcW w:w="420" w:type="dxa"/>
            <w:vAlign w:val="bottom"/>
          </w:tcPr>
          <w:p>
            <w:pPr>
              <w:spacing w:after="0"/>
              <w:rPr>
                <w:sz w:val="16"/>
                <w:szCs w:val="16"/>
                <w:color w:val="auto"/>
              </w:rPr>
            </w:pPr>
          </w:p>
        </w:tc>
        <w:tc>
          <w:tcPr>
            <w:tcW w:w="980" w:type="dxa"/>
            <w:vAlign w:val="bottom"/>
            <w:vMerge w:val="restart"/>
          </w:tcPr>
          <w:p>
            <w:pPr>
              <w:jc w:val="right"/>
              <w:ind w:right="3"/>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ind w:right="63"/>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$39, and $(49)</w:t>
            </w:r>
          </w:p>
        </w:tc>
        <w:tc>
          <w:tcPr>
            <w:tcW w:w="4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vMerge w:val="continue"/>
          </w:tcPr>
          <w:p>
            <w:pPr>
              <w:spacing w:after="0"/>
              <w:rPr>
                <w:sz w:val="18"/>
                <w:szCs w:val="18"/>
                <w:color w:val="auto"/>
              </w:rPr>
            </w:pPr>
          </w:p>
        </w:tc>
        <w:tc>
          <w:tcPr>
            <w:tcW w:w="80" w:type="dxa"/>
            <w:vAlign w:val="bottom"/>
            <w:tcBorders>
              <w:bottom w:val="single" w:sz="8" w:color="004483"/>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vMerge w:val="continue"/>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b w:val="1"/>
                <w:bCs w:val="1"/>
                <w:color w:val="auto"/>
              </w:rPr>
              <w:t>461,168</w:t>
            </w:r>
          </w:p>
        </w:tc>
        <w:tc>
          <w:tcPr>
            <w:tcW w:w="8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004483"/>
            </w:tcBorders>
          </w:tcPr>
          <w:p>
            <w:pPr>
              <w:jc w:val="right"/>
              <w:ind w:right="248"/>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374,512</w:t>
            </w:r>
          </w:p>
        </w:tc>
        <w:tc>
          <w:tcPr>
            <w:tcW w:w="180" w:type="dxa"/>
            <w:vAlign w:val="bottom"/>
          </w:tcPr>
          <w:p>
            <w:pPr>
              <w:spacing w:after="0"/>
              <w:rPr>
                <w:sz w:val="18"/>
                <w:szCs w:val="18"/>
                <w:color w:val="auto"/>
              </w:rPr>
            </w:pPr>
          </w:p>
        </w:tc>
        <w:tc>
          <w:tcPr>
            <w:tcW w:w="42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339,391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EAGLE MATERIALS INC. AND SUBSIDIARIES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080" w:type="dxa"/>
            <w:vAlign w:val="bottom"/>
            <w:gridSpan w:val="3"/>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March 31,</w:t>
            </w:r>
          </w:p>
        </w:tc>
        <w:tc>
          <w:tcPr>
            <w:tcW w:w="1080" w:type="dxa"/>
            <w:vAlign w:val="bottom"/>
            <w:shd w:val="clear" w:color="auto" w:fill="004483"/>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3"/>
                <w:szCs w:val="13"/>
                <w:b w:val="1"/>
                <w:bCs w:val="1"/>
                <w:color w:val="auto"/>
              </w:rPr>
              <w:t>2022</w:t>
            </w:r>
          </w:p>
        </w:tc>
      </w:tr>
      <w:tr>
        <w:trPr>
          <w:trHeight w:val="183"/>
        </w:trPr>
        <w:tc>
          <w:tcPr>
            <w:tcW w:w="76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3"/>
          </w:tcPr>
          <w:p>
            <w:pPr>
              <w:jc w:val="right"/>
              <w:ind w:right="119"/>
              <w:spacing w:after="0"/>
              <w:rPr>
                <w:sz w:val="20"/>
                <w:szCs w:val="20"/>
                <w:color w:val="auto"/>
              </w:rPr>
            </w:pPr>
            <w:r>
              <w:rPr>
                <w:rFonts w:ascii="Arial" w:cs="Arial" w:eastAsia="Arial" w:hAnsi="Arial"/>
                <w:sz w:val="13"/>
                <w:szCs w:val="13"/>
                <w:color w:val="auto"/>
              </w:rPr>
              <w:t>(dollars in thousands)</w:t>
            </w:r>
          </w:p>
        </w:tc>
        <w:tc>
          <w:tcPr>
            <w:tcW w:w="1080" w:type="dxa"/>
            <w:vAlign w:val="bottom"/>
            <w:tcBorders>
              <w:bottom w:val="single" w:sz="8" w:color="004483"/>
            </w:tcBorders>
          </w:tcPr>
          <w:p>
            <w:pPr>
              <w:spacing w:after="0"/>
              <w:rPr>
                <w:sz w:val="15"/>
                <w:szCs w:val="15"/>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7"/>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15,242</w:t>
            </w:r>
          </w:p>
        </w:tc>
        <w:tc>
          <w:tcPr>
            <w:tcW w:w="840" w:type="dxa"/>
            <w:vAlign w:val="bottom"/>
            <w:tcBorders>
              <w:bottom w:val="single" w:sz="8" w:color="A6A6A6"/>
            </w:tcBorders>
            <w:gridSpan w:val="2"/>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19,416</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195,052</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176,276</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291,882</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236,661</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 Receivable</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16,267</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7,202</w:t>
            </w:r>
          </w:p>
        </w:tc>
      </w:tr>
      <w:tr>
        <w:trPr>
          <w:trHeight w:val="24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Prepaid and Other Assets</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3,060</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3,172</w:t>
            </w:r>
          </w:p>
        </w:tc>
      </w:tr>
      <w:tr>
        <w:trPr>
          <w:trHeight w:val="207"/>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Current Assets</w:t>
            </w:r>
          </w:p>
        </w:tc>
        <w:tc>
          <w:tcPr>
            <w:tcW w:w="4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521,503</w:t>
            </w:r>
          </w:p>
        </w:tc>
        <w:tc>
          <w:tcPr>
            <w:tcW w:w="2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442,727</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 net</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1,662,061</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1,616,539</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Notes Receivable</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7,382</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8,485</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Investment in Joint Venture</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89,111</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80,637</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Lease Right-of-Use Assets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20,759</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23,856</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 net</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466,043</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387,898</w:t>
            </w:r>
          </w:p>
        </w:tc>
      </w:tr>
      <w:tr>
        <w:trPr>
          <w:trHeight w:val="23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Assets</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14,143</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19,510</w:t>
            </w:r>
          </w:p>
        </w:tc>
      </w:tr>
      <w:tr>
        <w:trPr>
          <w:trHeight w:val="209"/>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Assets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b w:val="1"/>
                <w:bCs w:val="1"/>
                <w:color w:val="auto"/>
              </w:rPr>
              <w:t>2,781,002</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b w:val="1"/>
                <w:bCs w:val="1"/>
                <w:color w:val="auto"/>
              </w:rPr>
              <w:t>2,579,652</w:t>
            </w:r>
          </w:p>
        </w:tc>
      </w:tr>
      <w:tr>
        <w:trPr>
          <w:trHeight w:val="210"/>
        </w:trPr>
        <w:tc>
          <w:tcPr>
            <w:tcW w:w="762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r>
      <w:tr>
        <w:trPr>
          <w:trHeight w:val="207"/>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110,408</w:t>
            </w:r>
          </w:p>
        </w:tc>
        <w:tc>
          <w:tcPr>
            <w:tcW w:w="840" w:type="dxa"/>
            <w:vAlign w:val="bottom"/>
            <w:tcBorders>
              <w:bottom w:val="single" w:sz="8" w:color="A6A6A6"/>
            </w:tcBorders>
            <w:gridSpan w:val="2"/>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113,679</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Accrued Liabilities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86,472</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86,754</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Operating Lease Liabilities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6,009</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7,118</w:t>
            </w:r>
          </w:p>
        </w:tc>
      </w:tr>
      <w:tr>
        <w:trPr>
          <w:trHeight w:val="23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Current Portion of Long-term Debt</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w:t>
            </w:r>
          </w:p>
        </w:tc>
      </w:tr>
      <w:tr>
        <w:trPr>
          <w:trHeight w:val="206"/>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Current Liabilities</w:t>
            </w:r>
          </w:p>
        </w:tc>
        <w:tc>
          <w:tcPr>
            <w:tcW w:w="4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212,889</w:t>
            </w:r>
          </w:p>
        </w:tc>
        <w:tc>
          <w:tcPr>
            <w:tcW w:w="2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207,551</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Long-term Debt</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1,079,032</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938,265</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24,940</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29,212</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Long-term Liabilities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41,603</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38,699</w:t>
            </w:r>
          </w:p>
        </w:tc>
      </w:tr>
      <w:tr>
        <w:trPr>
          <w:trHeight w:val="24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Deferred Income Taxes</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236,844</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232,369</w:t>
            </w:r>
          </w:p>
        </w:tc>
      </w:tr>
      <w:tr>
        <w:trPr>
          <w:trHeight w:val="236"/>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Liabilities</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1,595,308</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1,446,096</w:t>
            </w:r>
          </w:p>
        </w:tc>
      </w:tr>
      <w:tr>
        <w:trPr>
          <w:trHeight w:val="207"/>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Stockholders’ Equity</w:t>
            </w:r>
          </w:p>
        </w:tc>
        <w:tc>
          <w:tcPr>
            <w:tcW w:w="4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7620" w:type="dxa"/>
            <w:vAlign w:val="bottom"/>
          </w:tcPr>
          <w:p>
            <w:pPr>
              <w:ind w:left="200"/>
              <w:spacing w:after="0"/>
              <w:rPr>
                <w:sz w:val="20"/>
                <w:szCs w:val="20"/>
                <w:color w:val="auto"/>
              </w:rPr>
            </w:pPr>
            <w:r>
              <w:rPr>
                <w:rFonts w:ascii="Arial" w:cs="Arial" w:eastAsia="Arial" w:hAnsi="Arial"/>
                <w:sz w:val="16"/>
                <w:szCs w:val="16"/>
                <w:color w:val="004483"/>
              </w:rPr>
              <w:t>Common Stock, Par Value $0.01; Authorized 100,000,000 Shares;</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0"/>
        </w:trPr>
        <w:tc>
          <w:tcPr>
            <w:tcW w:w="7620" w:type="dxa"/>
            <w:vAlign w:val="bottom"/>
            <w:tcBorders>
              <w:bottom w:val="single" w:sz="8" w:color="A6A6A6"/>
            </w:tcBorders>
          </w:tcPr>
          <w:p>
            <w:pPr>
              <w:ind w:left="340"/>
              <w:spacing w:after="0"/>
              <w:rPr>
                <w:sz w:val="20"/>
                <w:szCs w:val="20"/>
                <w:color w:val="auto"/>
              </w:rPr>
            </w:pPr>
            <w:r>
              <w:rPr>
                <w:rFonts w:ascii="Arial" w:cs="Arial" w:eastAsia="Arial" w:hAnsi="Arial"/>
                <w:sz w:val="16"/>
                <w:szCs w:val="16"/>
                <w:color w:val="004483"/>
              </w:rPr>
              <w:t>Issued and Outstanding 35,768,376 and 38,710,929 Shares, respectively</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358</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387</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Capital in Excess of Par Value</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(3,547 )</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(3,175 )</w:t>
            </w:r>
          </w:p>
        </w:tc>
      </w:tr>
      <w:tr>
        <w:trPr>
          <w:trHeight w:val="23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Retained Earnings</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1,188,883</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1,136,344</w:t>
            </w:r>
          </w:p>
        </w:tc>
      </w:tr>
      <w:tr>
        <w:trPr>
          <w:trHeight w:val="230"/>
        </w:trPr>
        <w:tc>
          <w:tcPr>
            <w:tcW w:w="7620" w:type="dxa"/>
            <w:vAlign w:val="bottom"/>
          </w:tcPr>
          <w:p>
            <w:pPr>
              <w:ind w:left="380"/>
              <w:spacing w:after="0"/>
              <w:rPr>
                <w:sz w:val="20"/>
                <w:szCs w:val="20"/>
                <w:color w:val="auto"/>
              </w:rPr>
            </w:pPr>
            <w:r>
              <w:rPr>
                <w:rFonts w:ascii="Arial" w:cs="Arial" w:eastAsia="Arial" w:hAnsi="Arial"/>
                <w:sz w:val="16"/>
                <w:szCs w:val="16"/>
                <w:color w:val="004483"/>
              </w:rPr>
              <w:t>Total Stockholders’ Equity</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1,185,694</w:t>
            </w:r>
          </w:p>
        </w:tc>
        <w:tc>
          <w:tcPr>
            <w:tcW w:w="220" w:type="dxa"/>
            <w:vAlign w:val="bottom"/>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1,133,556</w:t>
            </w:r>
          </w:p>
        </w:tc>
      </w:tr>
      <w:tr>
        <w:trPr>
          <w:trHeight w:val="216"/>
        </w:trPr>
        <w:tc>
          <w:tcPr>
            <w:tcW w:w="762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2,781,002</w:t>
            </w:r>
          </w:p>
        </w:tc>
        <w:tc>
          <w:tcPr>
            <w:tcW w:w="220" w:type="dxa"/>
            <w:vAlign w:val="bottom"/>
          </w:tcPr>
          <w:p>
            <w:pPr>
              <w:spacing w:after="0"/>
              <w:rPr>
                <w:sz w:val="18"/>
                <w:szCs w:val="18"/>
                <w:color w:val="auto"/>
              </w:rPr>
            </w:pP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2,579,652</w:t>
            </w:r>
          </w:p>
        </w:tc>
      </w:tr>
      <w:tr>
        <w:trPr>
          <w:trHeight w:val="20"/>
        </w:trPr>
        <w:tc>
          <w:tcPr>
            <w:tcW w:w="76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80" w:type="dxa"/>
            <w:vAlign w:val="bottom"/>
            <w:shd w:val="clear" w:color="auto" w:fill="004483"/>
          </w:tcPr>
          <w:p>
            <w:pPr>
              <w:spacing w:after="0"/>
              <w:rPr>
                <w:sz w:val="14"/>
                <w:szCs w:val="14"/>
                <w:color w:val="auto"/>
              </w:rPr>
            </w:pPr>
          </w:p>
        </w:tc>
        <w:tc>
          <w:tcPr>
            <w:tcW w:w="2860" w:type="dxa"/>
            <w:vAlign w:val="bottom"/>
            <w:gridSpan w:val="5"/>
            <w:shd w:val="clear" w:color="auto" w:fill="004483"/>
          </w:tcPr>
          <w:p>
            <w:pPr>
              <w:jc w:val="center"/>
              <w:ind w:left="860"/>
              <w:spacing w:after="0"/>
              <w:rPr>
                <w:sz w:val="20"/>
                <w:szCs w:val="20"/>
                <w:color w:val="auto"/>
              </w:rPr>
            </w:pPr>
            <w:r>
              <w:rPr>
                <w:rFonts w:ascii="Arial" w:cs="Arial" w:eastAsia="Arial" w:hAnsi="Arial"/>
                <w:sz w:val="13"/>
                <w:szCs w:val="13"/>
                <w:b w:val="1"/>
                <w:bCs w:val="1"/>
                <w:color w:val="FFFFFF"/>
                <w:w w:val="96"/>
              </w:rPr>
              <w:t>For the Years Ended March 31,</w:t>
            </w:r>
          </w:p>
        </w:tc>
        <w:tc>
          <w:tcPr>
            <w:tcW w:w="380" w:type="dxa"/>
            <w:vAlign w:val="bottom"/>
            <w:shd w:val="clear" w:color="auto" w:fill="004483"/>
          </w:tcPr>
          <w:p>
            <w:pPr>
              <w:spacing w:after="0"/>
              <w:rPr>
                <w:sz w:val="14"/>
                <w:szCs w:val="14"/>
                <w:color w:val="auto"/>
              </w:rPr>
            </w:pPr>
          </w:p>
        </w:tc>
        <w:tc>
          <w:tcPr>
            <w:tcW w:w="1060" w:type="dxa"/>
            <w:vAlign w:val="bottom"/>
            <w:shd w:val="clear" w:color="auto" w:fill="004483"/>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3"/>
                <w:szCs w:val="13"/>
                <w:b w:val="1"/>
                <w:bCs w:val="1"/>
                <w:color w:val="auto"/>
              </w:rPr>
              <w:t>2021</w:t>
            </w:r>
          </w:p>
        </w:tc>
      </w:tr>
      <w:tr>
        <w:trPr>
          <w:trHeight w:val="183"/>
        </w:trPr>
        <w:tc>
          <w:tcPr>
            <w:tcW w:w="656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106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62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380" w:type="dxa"/>
            <w:vAlign w:val="bottom"/>
            <w:tcBorders>
              <w:bottom w:val="single" w:sz="8" w:color="004483"/>
            </w:tcBorders>
          </w:tcPr>
          <w:p>
            <w:pPr>
              <w:spacing w:after="0"/>
              <w:rPr>
                <w:sz w:val="15"/>
                <w:szCs w:val="15"/>
                <w:color w:val="auto"/>
              </w:rPr>
            </w:pPr>
          </w:p>
        </w:tc>
        <w:tc>
          <w:tcPr>
            <w:tcW w:w="1060" w:type="dxa"/>
            <w:vAlign w:val="bottom"/>
            <w:tcBorders>
              <w:bottom w:val="single" w:sz="8" w:color="004483"/>
            </w:tcBorders>
          </w:tcPr>
          <w:p>
            <w:pPr>
              <w:spacing w:after="0"/>
              <w:rPr>
                <w:sz w:val="15"/>
                <w:szCs w:val="15"/>
                <w:color w:val="auto"/>
              </w:rPr>
            </w:pPr>
          </w:p>
        </w:tc>
      </w:tr>
      <w:tr>
        <w:trPr>
          <w:trHeight w:val="216"/>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r>
      <w:tr>
        <w:trPr>
          <w:trHeight w:val="207"/>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461,540</w:t>
            </w:r>
          </w:p>
        </w:tc>
        <w:tc>
          <w:tcPr>
            <w:tcW w:w="560" w:type="dxa"/>
            <w:vAlign w:val="bottom"/>
            <w:tcBorders>
              <w:bottom w:val="single" w:sz="8" w:color="A6A6A6"/>
            </w:tcBorders>
            <w:gridSpan w:val="2"/>
          </w:tcPr>
          <w:p>
            <w:pPr>
              <w:jc w:val="right"/>
              <w:ind w:right="18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374,247</w:t>
            </w:r>
          </w:p>
        </w:tc>
        <w:tc>
          <w:tcPr>
            <w:tcW w:w="18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339,444</w:t>
            </w:r>
          </w:p>
        </w:tc>
      </w:tr>
      <w:tr>
        <w:trPr>
          <w:trHeight w:val="189"/>
        </w:trPr>
        <w:tc>
          <w:tcPr>
            <w:tcW w:w="6560" w:type="dxa"/>
            <w:vAlign w:val="bottom"/>
          </w:tcPr>
          <w:p>
            <w:pPr>
              <w:ind w:left="20"/>
              <w:spacing w:after="0"/>
              <w:rPr>
                <w:sz w:val="20"/>
                <w:szCs w:val="20"/>
                <w:color w:val="auto"/>
              </w:rPr>
            </w:pPr>
            <w:r>
              <w:rPr>
                <w:rFonts w:ascii="Arial" w:cs="Arial" w:eastAsia="Arial" w:hAnsi="Arial"/>
                <w:sz w:val="16"/>
                <w:szCs w:val="16"/>
                <w:color w:val="004483"/>
              </w:rPr>
              <w:t>Adjustments to Reconcile Net Earnings to Net Cash Provided</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138,554</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128,811</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129,087</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Write-off of Debt Issuance Costs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6,101</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4,475</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6,383</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59,319</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17,155</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14,264</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15,293</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Gain on Sale of Businesses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(61,203 )</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(35,474 )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(32,488 )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(37,441 )</w:t>
            </w:r>
          </w:p>
        </w:tc>
      </w:tr>
      <w:tr>
        <w:trPr>
          <w:trHeight w:val="210"/>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27,000</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27,250</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36,000</w:t>
            </w:r>
          </w:p>
        </w:tc>
      </w:tr>
      <w:tr>
        <w:trPr>
          <w:trHeight w:val="210"/>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(12,035 )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(29,209 )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2,127</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(47,946 )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(912 )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30,002</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(7,797 )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27,192</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9,541</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4,955</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(1,331 )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(6,455 )</w:t>
            </w:r>
          </w:p>
        </w:tc>
      </w:tr>
      <w:tr>
        <w:trPr>
          <w:trHeight w:val="23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 Receivable</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(8,701 )</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(3,137 )</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127,359</w:t>
            </w:r>
          </w:p>
        </w:tc>
      </w:tr>
      <w:tr>
        <w:trPr>
          <w:trHeight w:val="237"/>
        </w:trPr>
        <w:tc>
          <w:tcPr>
            <w:tcW w:w="656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541,726</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517,171</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643,073</w:t>
            </w:r>
          </w:p>
        </w:tc>
      </w:tr>
      <w:tr>
        <w:trPr>
          <w:trHeight w:val="209"/>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r>
      <w:tr>
        <w:trPr>
          <w:trHeight w:val="207"/>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(110,143 )</w:t>
            </w:r>
          </w:p>
        </w:tc>
        <w:tc>
          <w:tcPr>
            <w:tcW w:w="18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(74,121 )</w:t>
            </w:r>
          </w:p>
        </w:tc>
        <w:tc>
          <w:tcPr>
            <w:tcW w:w="18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(53,933 )</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(158,451 )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39"/>
        </w:trPr>
        <w:tc>
          <w:tcPr>
            <w:tcW w:w="6560" w:type="dxa"/>
            <w:vAlign w:val="bottom"/>
          </w:tcPr>
          <w:p>
            <w:pPr>
              <w:ind w:left="200"/>
              <w:spacing w:after="0"/>
              <w:rPr>
                <w:sz w:val="20"/>
                <w:szCs w:val="20"/>
                <w:color w:val="auto"/>
              </w:rPr>
            </w:pPr>
            <w:r>
              <w:rPr>
                <w:rFonts w:ascii="Arial" w:cs="Arial" w:eastAsia="Arial" w:hAnsi="Arial"/>
                <w:sz w:val="16"/>
                <w:szCs w:val="16"/>
                <w:color w:val="004483"/>
              </w:rPr>
              <w:t>Proceeds from Sale of Businesses</w:t>
            </w:r>
          </w:p>
        </w:tc>
        <w:tc>
          <w:tcPr>
            <w:tcW w:w="3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91,022</w:t>
            </w:r>
          </w:p>
        </w:tc>
      </w:tr>
      <w:tr>
        <w:trPr>
          <w:trHeight w:val="236"/>
        </w:trPr>
        <w:tc>
          <w:tcPr>
            <w:tcW w:w="656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(Used in) Investing Activities</w:t>
            </w:r>
          </w:p>
        </w:tc>
        <w:tc>
          <w:tcPr>
            <w:tcW w:w="380" w:type="dxa"/>
            <w:vAlign w:val="bottom"/>
            <w:tcBorders>
              <w:top w:val="single" w:sz="8" w:color="004483"/>
              <w:bottom w:val="single" w:sz="8" w:color="004483"/>
            </w:tcBorders>
          </w:tcPr>
          <w:p>
            <w:pPr>
              <w:spacing w:after="0"/>
              <w:rPr>
                <w:sz w:val="20"/>
                <w:szCs w:val="20"/>
                <w:color w:val="auto"/>
              </w:rPr>
            </w:pPr>
          </w:p>
        </w:tc>
        <w:tc>
          <w:tcPr>
            <w:tcW w:w="10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(268,594 )</w:t>
            </w:r>
          </w:p>
        </w:tc>
        <w:tc>
          <w:tcPr>
            <w:tcW w:w="180" w:type="dxa"/>
            <w:vAlign w:val="bottom"/>
            <w:tcBorders>
              <w:top w:val="single" w:sz="8" w:color="A6A6A6"/>
              <w:bottom w:val="single" w:sz="8" w:color="A6A6A6"/>
            </w:tcBorders>
          </w:tcPr>
          <w:p>
            <w:pPr>
              <w:spacing w:after="0"/>
              <w:rPr>
                <w:sz w:val="20"/>
                <w:szCs w:val="20"/>
                <w:color w:val="auto"/>
              </w:rPr>
            </w:pPr>
          </w:p>
        </w:tc>
        <w:tc>
          <w:tcPr>
            <w:tcW w:w="380" w:type="dxa"/>
            <w:vAlign w:val="bottom"/>
            <w:tcBorders>
              <w:top w:val="single" w:sz="8" w:color="004483"/>
              <w:bottom w:val="single" w:sz="8" w:color="004483"/>
            </w:tcBorders>
          </w:tcPr>
          <w:p>
            <w:pPr>
              <w:spacing w:after="0"/>
              <w:rPr>
                <w:sz w:val="20"/>
                <w:szCs w:val="20"/>
                <w:color w:val="auto"/>
              </w:rPr>
            </w:pPr>
          </w:p>
        </w:tc>
        <w:tc>
          <w:tcPr>
            <w:tcW w:w="10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(74,121 )</w:t>
            </w:r>
          </w:p>
        </w:tc>
        <w:tc>
          <w:tcPr>
            <w:tcW w:w="180" w:type="dxa"/>
            <w:vAlign w:val="bottom"/>
            <w:tcBorders>
              <w:top w:val="single" w:sz="8" w:color="A6A6A6"/>
              <w:bottom w:val="single" w:sz="8" w:color="A6A6A6"/>
            </w:tcBorders>
          </w:tcPr>
          <w:p>
            <w:pPr>
              <w:spacing w:after="0"/>
              <w:rPr>
                <w:sz w:val="20"/>
                <w:szCs w:val="20"/>
                <w:color w:val="auto"/>
              </w:rPr>
            </w:pPr>
          </w:p>
        </w:tc>
        <w:tc>
          <w:tcPr>
            <w:tcW w:w="380" w:type="dxa"/>
            <w:vAlign w:val="bottom"/>
            <w:tcBorders>
              <w:top w:val="single" w:sz="8" w:color="004483"/>
              <w:bottom w:val="single" w:sz="8" w:color="004483"/>
            </w:tcBorders>
          </w:tcPr>
          <w:p>
            <w:pPr>
              <w:spacing w:after="0"/>
              <w:rPr>
                <w:sz w:val="20"/>
                <w:szCs w:val="20"/>
                <w:color w:val="auto"/>
              </w:rPr>
            </w:pPr>
          </w:p>
        </w:tc>
        <w:tc>
          <w:tcPr>
            <w:tcW w:w="1060" w:type="dxa"/>
            <w:vAlign w:val="bottom"/>
            <w:tcBorders>
              <w:top w:val="single" w:sz="8" w:color="004483"/>
              <w:bottom w:val="single" w:sz="8" w:color="004483"/>
            </w:tcBorders>
          </w:tcPr>
          <w:p>
            <w:pPr>
              <w:jc w:val="right"/>
              <w:ind w:right="60"/>
              <w:spacing w:after="0"/>
              <w:rPr>
                <w:sz w:val="20"/>
                <w:szCs w:val="20"/>
                <w:color w:val="auto"/>
              </w:rPr>
            </w:pPr>
            <w:r>
              <w:rPr>
                <w:rFonts w:ascii="Arial" w:cs="Arial" w:eastAsia="Arial" w:hAnsi="Arial"/>
                <w:sz w:val="16"/>
                <w:szCs w:val="16"/>
                <w:color w:val="auto"/>
              </w:rPr>
              <w:t>37,089</w:t>
            </w:r>
          </w:p>
        </w:tc>
      </w:tr>
      <w:tr>
        <w:trPr>
          <w:trHeight w:val="210"/>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r>
      <w:tr>
        <w:trPr>
          <w:trHeight w:val="207"/>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3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200,000</w:t>
            </w:r>
          </w:p>
        </w:tc>
        <w:tc>
          <w:tcPr>
            <w:tcW w:w="18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200,000</w:t>
            </w:r>
          </w:p>
        </w:tc>
        <w:tc>
          <w:tcPr>
            <w:tcW w:w="18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(43,000 )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(560,000 )</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743,692</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(350,000 )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(665,000 )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(37,496 )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(30,770 )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(4,163 )</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(387,717 )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(589,742 )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5,418</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21,366</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40,455</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(8,407 )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Payment of Debt Issuance Costs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(903 )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(7,985 )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(2,396 )</w:t>
            </w:r>
          </w:p>
        </w:tc>
      </w:tr>
      <w:tr>
        <w:trPr>
          <w:trHeight w:val="24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(6,108 )</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(5,308 )</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(4,186 )</w:t>
            </w:r>
          </w:p>
        </w:tc>
      </w:tr>
      <w:tr>
        <w:trPr>
          <w:trHeight w:val="236"/>
        </w:trPr>
        <w:tc>
          <w:tcPr>
            <w:tcW w:w="656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(277,306 )</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(692,154 )</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(530,290 )</w:t>
            </w:r>
          </w:p>
        </w:tc>
      </w:tr>
      <w:tr>
        <w:trPr>
          <w:trHeight w:val="210"/>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(4,174 )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(249,104 )</w:t>
            </w:r>
          </w:p>
        </w:tc>
        <w:tc>
          <w:tcPr>
            <w:tcW w:w="1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149,872</w:t>
            </w:r>
          </w:p>
        </w:tc>
      </w:tr>
      <w:tr>
        <w:trPr>
          <w:trHeight w:val="237"/>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19,416</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268,520</w:t>
            </w:r>
          </w:p>
        </w:tc>
        <w:tc>
          <w:tcPr>
            <w:tcW w:w="18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118,648</w:t>
            </w:r>
          </w:p>
        </w:tc>
      </w:tr>
      <w:tr>
        <w:trPr>
          <w:trHeight w:val="20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8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15,242</w:t>
            </w:r>
          </w:p>
        </w:tc>
        <w:tc>
          <w:tcPr>
            <w:tcW w:w="180" w:type="dxa"/>
            <w:vAlign w:val="bottom"/>
          </w:tcPr>
          <w:p>
            <w:pPr>
              <w:spacing w:after="0"/>
              <w:rPr>
                <w:sz w:val="18"/>
                <w:szCs w:val="18"/>
                <w:color w:val="auto"/>
              </w:rPr>
            </w:pPr>
          </w:p>
        </w:tc>
        <w:tc>
          <w:tcPr>
            <w:tcW w:w="380" w:type="dxa"/>
            <w:vAlign w:val="bottom"/>
            <w:tcBorders>
              <w:bottom w:val="single" w:sz="8" w:color="004483"/>
            </w:tcBorders>
          </w:tcPr>
          <w:p>
            <w:pPr>
              <w:jc w:val="right"/>
              <w:ind w:right="188"/>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19,416</w:t>
            </w:r>
          </w:p>
        </w:tc>
        <w:tc>
          <w:tcPr>
            <w:tcW w:w="180" w:type="dxa"/>
            <w:vAlign w:val="bottom"/>
          </w:tcPr>
          <w:p>
            <w:pPr>
              <w:spacing w:after="0"/>
              <w:rPr>
                <w:sz w:val="18"/>
                <w:szCs w:val="18"/>
                <w:color w:val="auto"/>
              </w:rPr>
            </w:pPr>
          </w:p>
        </w:tc>
        <w:tc>
          <w:tcPr>
            <w:tcW w:w="38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268,520</w:t>
            </w:r>
          </w:p>
        </w:tc>
      </w:tr>
      <w:tr>
        <w:trPr>
          <w:trHeight w:val="20"/>
        </w:trPr>
        <w:tc>
          <w:tcPr>
            <w:tcW w:w="656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Capital in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Comprehensi</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4"/>
                <w:szCs w:val="14"/>
                <w:b w:val="1"/>
                <w:bCs w:val="1"/>
                <w:color w:val="auto"/>
              </w:rPr>
              <w:t>Excess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ve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8"/>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r>
      <w:tr>
        <w:trPr>
          <w:trHeight w:val="183"/>
        </w:trPr>
        <w:tc>
          <w:tcPr>
            <w:tcW w:w="498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92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gridSpan w:val="3"/>
          </w:tcPr>
          <w:p>
            <w:pPr>
              <w:jc w:val="right"/>
              <w:spacing w:after="0"/>
              <w:rPr>
                <w:sz w:val="20"/>
                <w:szCs w:val="20"/>
                <w:color w:val="auto"/>
              </w:rPr>
            </w:pPr>
            <w:r>
              <w:rPr>
                <w:rFonts w:ascii="Arial" w:cs="Arial" w:eastAsia="Arial" w:hAnsi="Arial"/>
                <w:sz w:val="13"/>
                <w:szCs w:val="13"/>
                <w:color w:val="auto"/>
                <w:w w:val="98"/>
              </w:rPr>
              <w:t>(dollars in thousands)</w:t>
            </w:r>
          </w:p>
        </w:tc>
        <w:tc>
          <w:tcPr>
            <w:tcW w:w="14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r>
      <w:tr>
        <w:trPr>
          <w:trHeight w:val="21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2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416</w:t>
            </w:r>
          </w:p>
        </w:tc>
        <w:tc>
          <w:tcPr>
            <w:tcW w:w="360" w:type="dxa"/>
            <w:vAlign w:val="bottom"/>
            <w:tcBorders>
              <w:bottom w:val="single" w:sz="8" w:color="A6A6A6"/>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10,943</w:t>
            </w:r>
          </w:p>
        </w:tc>
        <w:tc>
          <w:tcPr>
            <w:tcW w:w="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960,065</w:t>
            </w:r>
          </w:p>
        </w:tc>
        <w:tc>
          <w:tcPr>
            <w:tcW w:w="440" w:type="dxa"/>
            <w:vAlign w:val="bottom"/>
            <w:tcBorders>
              <w:bottom w:val="single" w:sz="8" w:color="A6A6A6"/>
            </w:tcBorders>
            <w:gridSpan w:val="2"/>
          </w:tcPr>
          <w:p>
            <w:pPr>
              <w:jc w:val="right"/>
              <w:ind w:right="10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(3,581 )</w:t>
            </w:r>
          </w:p>
        </w:tc>
        <w:tc>
          <w:tcPr>
            <w:tcW w:w="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967,843</w:t>
            </w:r>
          </w:p>
        </w:tc>
      </w:tr>
      <w:tr>
        <w:trPr>
          <w:trHeight w:val="20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339,444</w:t>
            </w:r>
          </w:p>
        </w:tc>
        <w:tc>
          <w:tcPr>
            <w:tcW w:w="14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339,444</w:t>
            </w:r>
          </w:p>
        </w:tc>
      </w:tr>
      <w:tr>
        <w:trPr>
          <w:trHeight w:val="21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Vesting</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40,449</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40,457</w:t>
            </w:r>
          </w:p>
        </w:tc>
      </w:tr>
      <w:tr>
        <w:trPr>
          <w:trHeight w:val="21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15,291</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15,291</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(4,186 )</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(4,186 )</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 of Business with Unfunded Pension Liability</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254</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254</w:t>
            </w:r>
          </w:p>
        </w:tc>
      </w:tr>
      <w:tr>
        <w:trPr>
          <w:trHeight w:val="23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(113 )</w:t>
            </w: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(113 )</w:t>
            </w:r>
          </w:p>
        </w:tc>
      </w:tr>
      <w:tr>
        <w:trPr>
          <w:trHeight w:val="21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424</w:t>
            </w:r>
          </w:p>
        </w:tc>
        <w:tc>
          <w:tcPr>
            <w:tcW w:w="360" w:type="dxa"/>
            <w:vAlign w:val="bottom"/>
            <w:tcBorders>
              <w:bottom w:val="single" w:sz="8" w:color="A6A6A6"/>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62,497</w:t>
            </w:r>
          </w:p>
        </w:tc>
        <w:tc>
          <w:tcPr>
            <w:tcW w:w="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1,299,509</w:t>
            </w:r>
          </w:p>
        </w:tc>
        <w:tc>
          <w:tcPr>
            <w:tcW w:w="440" w:type="dxa"/>
            <w:vAlign w:val="bottom"/>
            <w:tcBorders>
              <w:bottom w:val="single" w:sz="8" w:color="A6A6A6"/>
            </w:tcBorders>
            <w:gridSpan w:val="2"/>
          </w:tcPr>
          <w:p>
            <w:pPr>
              <w:jc w:val="right"/>
              <w:ind w:right="10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(3,440 )</w:t>
            </w:r>
          </w:p>
        </w:tc>
        <w:tc>
          <w:tcPr>
            <w:tcW w:w="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1,358,990</w:t>
            </w:r>
          </w:p>
        </w:tc>
      </w:tr>
      <w:tr>
        <w:trPr>
          <w:trHeight w:val="207"/>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374,247</w:t>
            </w:r>
          </w:p>
        </w:tc>
        <w:tc>
          <w:tcPr>
            <w:tcW w:w="14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374,247</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Vesting</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21,363</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21,366</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14,264</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14,264</w:t>
            </w:r>
          </w:p>
        </w:tc>
      </w:tr>
      <w:tr>
        <w:trPr>
          <w:trHeight w:val="21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(5,308 )</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(5,308 )</w:t>
            </w:r>
          </w:p>
        </w:tc>
      </w:tr>
      <w:tr>
        <w:trPr>
          <w:trHeight w:val="21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(40 )</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(92,816 )</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(496,886 )</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(589,742 )</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Stockholders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(40,526 )</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(40,526 )</w:t>
            </w:r>
          </w:p>
        </w:tc>
      </w:tr>
      <w:tr>
        <w:trPr>
          <w:trHeight w:val="23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265</w:t>
            </w: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color w:val="auto"/>
              </w:rPr>
              <w:t>265</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b w:val="1"/>
                <w:bCs w:val="1"/>
                <w:color w:val="auto"/>
              </w:rPr>
              <w:t>387</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b w:val="1"/>
                <w:bCs w:val="1"/>
                <w:color w:val="auto"/>
              </w:rPr>
              <w:t>1,136,344</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(3,175 )</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b w:val="1"/>
                <w:bCs w:val="1"/>
                <w:color w:val="auto"/>
              </w:rPr>
              <w:t>1,133,556</w:t>
            </w:r>
          </w:p>
        </w:tc>
      </w:tr>
      <w:tr>
        <w:trPr>
          <w:trHeight w:val="207"/>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461,540</w:t>
            </w:r>
          </w:p>
        </w:tc>
        <w:tc>
          <w:tcPr>
            <w:tcW w:w="14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461,540</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Vesting</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5,416</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5,418</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17,155</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17,155</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(6,108 )</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(6,108 )</w:t>
            </w:r>
          </w:p>
        </w:tc>
      </w:tr>
      <w:tr>
        <w:trPr>
          <w:trHeight w:val="21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(31 )</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(16,463 )</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(371,961 )</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(388,455 )</w:t>
            </w: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Stockholders</w:t>
            </w:r>
          </w:p>
        </w:tc>
        <w:tc>
          <w:tcPr>
            <w:tcW w:w="2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(37,040 )</w:t>
            </w:r>
          </w:p>
        </w:tc>
        <w:tc>
          <w:tcPr>
            <w:tcW w:w="14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(37,040 )</w:t>
            </w:r>
          </w:p>
        </w:tc>
      </w:tr>
      <w:tr>
        <w:trPr>
          <w:trHeight w:val="240"/>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(372 )</w:t>
            </w: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(372 )</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4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358</w:t>
            </w:r>
          </w:p>
        </w:tc>
        <w:tc>
          <w:tcPr>
            <w:tcW w:w="16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1,188,883</w:t>
            </w:r>
          </w:p>
        </w:tc>
        <w:tc>
          <w:tcPr>
            <w:tcW w:w="140" w:type="dxa"/>
            <w:vAlign w:val="bottom"/>
          </w:tcPr>
          <w:p>
            <w:pPr>
              <w:spacing w:after="0"/>
              <w:rPr>
                <w:sz w:val="18"/>
                <w:szCs w:val="18"/>
                <w:color w:val="auto"/>
              </w:rPr>
            </w:pPr>
          </w:p>
        </w:tc>
        <w:tc>
          <w:tcPr>
            <w:tcW w:w="300" w:type="dxa"/>
            <w:vAlign w:val="bottom"/>
            <w:tcBorders>
              <w:bottom w:val="single" w:sz="8" w:color="004483"/>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(3,547 )</w:t>
            </w: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rPr>
              <w:t>1,185,694</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ind w:right="7260" w:firstLine="8"/>
        <w:spacing w:after="0" w:line="345" w:lineRule="auto"/>
        <w:tabs>
          <w:tab w:leader="none" w:pos="330" w:val="left"/>
        </w:tabs>
        <w:numPr>
          <w:ilvl w:val="0"/>
          <w:numId w:val="22"/>
        </w:numPr>
        <w:rPr>
          <w:rFonts w:ascii="Arial" w:cs="Arial" w:eastAsia="Arial" w:hAnsi="Arial"/>
          <w:sz w:val="20"/>
          <w:szCs w:val="20"/>
          <w:b w:val="1"/>
          <w:bCs w:val="1"/>
          <w:color w:val="004483"/>
        </w:rPr>
      </w:pPr>
      <w:r>
        <w:rPr>
          <w:rFonts w:ascii="Arial" w:cs="Arial" w:eastAsia="Arial" w:hAnsi="Arial"/>
          <w:sz w:val="20"/>
          <w:szCs w:val="20"/>
          <w:b w:val="1"/>
          <w:bCs w:val="1"/>
          <w:color w:val="004483"/>
        </w:rPr>
        <w:t xml:space="preserve">SIGNIFICANT ACCOUNTING POLICIES </w:t>
      </w:r>
      <w:r>
        <w:rPr>
          <w:rFonts w:ascii="Arial" w:cs="Arial" w:eastAsia="Arial" w:hAnsi="Arial"/>
          <w:sz w:val="20"/>
          <w:szCs w:val="20"/>
          <w:b w:val="1"/>
          <w:bCs w:val="1"/>
          <w:u w:val="single" w:color="auto"/>
          <w:color w:val="004483"/>
        </w:rPr>
        <w:t>Basis of Presentation</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8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September 18, 2020, we sold our Oil and Gas Proppants business, which had been previously reported as a separate operating segment, for a purchase price of $2.0 million. The sale resulted in a gain of approximately $9.2 million. Because the sale of the Oil and Gas Proppants business was determined to meet the accounting criteria for discontinued operations, this segment is no longer separately reported in our reportable segment footnote for any of the periods presented. See Footnote (C) for more information about the sale of the Oil and Gas Proppants business.</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and Cash Equivalents</w:t>
      </w:r>
    </w:p>
    <w:p>
      <w:pPr>
        <w:spacing w:after="0" w:line="10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Cash Equivalents include short-term, highly liquid investments with original maturities of three months or less and are recorded at cost, which approximates market value.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Accounts and Notes Receivable</w:t>
      </w:r>
    </w:p>
    <w:p>
      <w:pPr>
        <w:spacing w:after="0" w:line="1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Accounts and Notes Receivable have been shown net of the allowance for doubtful accounts of $6.9 million and $6.7 million at March 31, 2023 and 2022, respectively. We perform ongoing credit evaluations of our customers’ financial condition and generally require no collateral from our customers. The allowance for noncollection of receivables is based on our assessment of the collectability of outstanding accounts receivable, and includes a provision for probable losses based on historical write-offs, adjusted for current economic trends in the construction industry, and a specific reserve for accounts deemed at risk. We have no significant credit risk concentration among our diversified customer base. Bad debt expense was approximately $0.3 million, $0.3 million, and $0.7million for the fiscal years ended March 31, 2023, 2022, and 2021, respectively. Write-offs of accounts receivable were approximately $0.1 million, $1.6 million, and $1.2 million for the fiscal years ended March 31, 2023, 2022, and 2021, respectively.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69" w:name="page70"/>
    <w:bookmarkEnd w:id="69"/>
    <w:p>
      <w:pPr>
        <w:ind w:right="20"/>
        <w:spacing w:after="0" w:line="241" w:lineRule="auto"/>
        <w:rPr>
          <w:sz w:val="20"/>
          <w:szCs w:val="20"/>
          <w:color w:val="auto"/>
        </w:rPr>
      </w:pPr>
      <w:r>
        <w:rPr>
          <w:rFonts w:ascii="Arial" w:cs="Arial" w:eastAsia="Arial" w:hAnsi="Arial"/>
          <w:sz w:val="18"/>
          <w:szCs w:val="18"/>
          <w:color w:val="auto"/>
        </w:rPr>
        <w:t>We had Notes Receivable totaling approximately $8.5 million at March 31, 2023, of which $ 1.1 million was classified as current. On April 28, 2023, we collected the entire $8.5 million balance owed under the Notes Receivable. From time to time, we lend funds to certain companies in the ordinary course of business. The notes are generally collateralized by certain assets of the borrowers, namely property and equipment. We monitor the credit risk of each borrower by focusing on the timeliness of payments, credit history review, credit metrics, and interaction with the borrowers.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Inventories</w:t>
      </w:r>
    </w:p>
    <w:p>
      <w:pPr>
        <w:spacing w:after="0" w:line="109"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540" w:type="dxa"/>
            <w:vAlign w:val="bottom"/>
            <w:shd w:val="clear" w:color="auto" w:fill="004483"/>
          </w:tcPr>
          <w:p>
            <w:pPr>
              <w:spacing w:after="0"/>
              <w:rPr>
                <w:sz w:val="14"/>
                <w:szCs w:val="14"/>
                <w:color w:val="auto"/>
              </w:rPr>
            </w:pPr>
          </w:p>
        </w:tc>
        <w:tc>
          <w:tcPr>
            <w:tcW w:w="2080" w:type="dxa"/>
            <w:vAlign w:val="bottom"/>
            <w:gridSpan w:val="3"/>
            <w:shd w:val="clear" w:color="auto" w:fill="004483"/>
          </w:tcPr>
          <w:p>
            <w:pPr>
              <w:jc w:val="right"/>
              <w:ind w:right="499"/>
              <w:spacing w:after="0"/>
              <w:rPr>
                <w:sz w:val="20"/>
                <w:szCs w:val="20"/>
                <w:color w:val="auto"/>
              </w:rPr>
            </w:pPr>
            <w:r>
              <w:rPr>
                <w:rFonts w:ascii="Arial" w:cs="Arial" w:eastAsia="Arial" w:hAnsi="Arial"/>
                <w:sz w:val="13"/>
                <w:szCs w:val="13"/>
                <w:b w:val="1"/>
                <w:bCs w:val="1"/>
                <w:color w:val="FFFFFF"/>
              </w:rPr>
              <w:t>March 31,</w:t>
            </w:r>
          </w:p>
        </w:tc>
        <w:tc>
          <w:tcPr>
            <w:tcW w:w="1020" w:type="dxa"/>
            <w:vAlign w:val="bottom"/>
            <w:shd w:val="clear" w:color="auto" w:fill="004483"/>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6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81"/>
              <w:spacing w:after="0"/>
              <w:rPr>
                <w:sz w:val="20"/>
                <w:szCs w:val="20"/>
                <w:color w:val="auto"/>
              </w:rPr>
            </w:pPr>
            <w:r>
              <w:rPr>
                <w:rFonts w:ascii="Arial" w:cs="Arial" w:eastAsia="Arial" w:hAnsi="Arial"/>
                <w:sz w:val="13"/>
                <w:szCs w:val="13"/>
                <w:b w:val="1"/>
                <w:bCs w:val="1"/>
                <w:color w:val="auto"/>
              </w:rPr>
              <w:t>2022</w:t>
            </w:r>
          </w:p>
        </w:tc>
      </w:tr>
      <w:tr>
        <w:trPr>
          <w:trHeight w:val="183"/>
        </w:trPr>
        <w:tc>
          <w:tcPr>
            <w:tcW w:w="7600" w:type="dxa"/>
            <w:vAlign w:val="bottom"/>
            <w:tcBorders>
              <w:bottom w:val="single" w:sz="8" w:color="004483"/>
            </w:tcBorders>
          </w:tcPr>
          <w:p>
            <w:pPr>
              <w:spacing w:after="0"/>
              <w:rPr>
                <w:sz w:val="15"/>
                <w:szCs w:val="15"/>
                <w:color w:val="auto"/>
              </w:rPr>
            </w:pPr>
          </w:p>
        </w:tc>
        <w:tc>
          <w:tcPr>
            <w:tcW w:w="54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3"/>
          </w:tcPr>
          <w:p>
            <w:pPr>
              <w:jc w:val="right"/>
              <w:ind w:right="199"/>
              <w:spacing w:after="0"/>
              <w:rPr>
                <w:sz w:val="20"/>
                <w:szCs w:val="20"/>
                <w:color w:val="auto"/>
              </w:rPr>
            </w:pPr>
            <w:r>
              <w:rPr>
                <w:rFonts w:ascii="Arial" w:cs="Arial" w:eastAsia="Arial" w:hAnsi="Arial"/>
                <w:sz w:val="13"/>
                <w:szCs w:val="13"/>
                <w:color w:val="auto"/>
              </w:rPr>
              <w:t>(dollars in thousands)</w:t>
            </w:r>
          </w:p>
        </w:tc>
        <w:tc>
          <w:tcPr>
            <w:tcW w:w="1020" w:type="dxa"/>
            <w:vAlign w:val="bottom"/>
            <w:tcBorders>
              <w:bottom w:val="single" w:sz="8" w:color="004483"/>
            </w:tcBorders>
          </w:tcPr>
          <w:p>
            <w:pPr>
              <w:spacing w:after="0"/>
              <w:rPr>
                <w:sz w:val="15"/>
                <w:szCs w:val="15"/>
                <w:color w:val="auto"/>
              </w:rPr>
            </w:pPr>
          </w:p>
        </w:tc>
      </w:tr>
      <w:tr>
        <w:trPr>
          <w:trHeight w:val="216"/>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Raw Materials and Materials-in-Progress</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96,880</w:t>
            </w:r>
          </w:p>
        </w:tc>
        <w:tc>
          <w:tcPr>
            <w:tcW w:w="920" w:type="dxa"/>
            <w:vAlign w:val="bottom"/>
            <w:tcBorders>
              <w:bottom w:val="single" w:sz="8" w:color="A6A6A6"/>
            </w:tcBorders>
            <w:gridSpan w:val="2"/>
          </w:tcPr>
          <w:p>
            <w:pPr>
              <w:jc w:val="right"/>
              <w:ind w:right="5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81,308</w:t>
            </w:r>
          </w:p>
        </w:tc>
      </w:tr>
      <w:tr>
        <w:trPr>
          <w:trHeight w:val="20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386191"/>
              </w:rPr>
              <w:t>Finished Cement</w:t>
            </w: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46,364</w:t>
            </w:r>
          </w:p>
        </w:tc>
        <w:tc>
          <w:tcPr>
            <w:tcW w:w="2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38,769</w:t>
            </w:r>
          </w:p>
        </w:tc>
      </w:tr>
      <w:tr>
        <w:trPr>
          <w:trHeight w:val="20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3983C5"/>
              </w:rPr>
              <w:t>Aggregates</w:t>
            </w: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8,309</w:t>
            </w:r>
          </w:p>
        </w:tc>
        <w:tc>
          <w:tcPr>
            <w:tcW w:w="2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3,558</w:t>
            </w:r>
          </w:p>
        </w:tc>
      </w:tr>
      <w:tr>
        <w:trPr>
          <w:trHeight w:val="21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Gypsum Wallboard</w:t>
            </w: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4,244</w:t>
            </w:r>
          </w:p>
        </w:tc>
        <w:tc>
          <w:tcPr>
            <w:tcW w:w="2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3,452</w:t>
            </w:r>
          </w:p>
        </w:tc>
      </w:tr>
      <w:tr>
        <w:trPr>
          <w:trHeight w:val="20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EB949"/>
              </w:rPr>
              <w:t>Paperboard</w:t>
            </w: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8,651</w:t>
            </w:r>
          </w:p>
        </w:tc>
        <w:tc>
          <w:tcPr>
            <w:tcW w:w="2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7,462</w:t>
            </w:r>
          </w:p>
        </w:tc>
      </w:tr>
      <w:tr>
        <w:trPr>
          <w:trHeight w:val="21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Repair Parts and Supplies</w:t>
            </w:r>
          </w:p>
        </w:tc>
        <w:tc>
          <w:tcPr>
            <w:tcW w:w="5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112,885</w:t>
            </w:r>
          </w:p>
        </w:tc>
        <w:tc>
          <w:tcPr>
            <w:tcW w:w="2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91,593</w:t>
            </w:r>
          </w:p>
        </w:tc>
      </w:tr>
      <w:tr>
        <w:trPr>
          <w:trHeight w:val="236"/>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Fuel and Coal</w:t>
            </w:r>
          </w:p>
        </w:tc>
        <w:tc>
          <w:tcPr>
            <w:tcW w:w="54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14,549</w:t>
            </w:r>
          </w:p>
        </w:tc>
        <w:tc>
          <w:tcPr>
            <w:tcW w:w="22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10,519</w:t>
            </w:r>
          </w:p>
        </w:tc>
      </w:tr>
      <w:tr>
        <w:trPr>
          <w:trHeight w:val="210"/>
        </w:trPr>
        <w:tc>
          <w:tcPr>
            <w:tcW w:w="760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291,882</w:t>
            </w:r>
          </w:p>
        </w:tc>
        <w:tc>
          <w:tcPr>
            <w:tcW w:w="22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236,661</w:t>
            </w:r>
          </w:p>
        </w:tc>
      </w:tr>
      <w:tr>
        <w:trPr>
          <w:trHeight w:val="20"/>
        </w:trPr>
        <w:tc>
          <w:tcPr>
            <w:tcW w:w="760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Property, Plant, and Equipment</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$129.6 million, $122.4 million, and $120.7 million, for the fiscal years ended March 31, 2023, 2022, and 2021,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Plants</w:t>
            </w:r>
          </w:p>
        </w:tc>
        <w:tc>
          <w:tcPr>
            <w:tcW w:w="5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8"/>
                <w:szCs w:val="18"/>
                <w:color w:val="auto"/>
              </w:rPr>
              <w:t>20 to 30 years</w:t>
            </w:r>
          </w:p>
        </w:tc>
      </w:tr>
      <w:tr>
        <w:trPr>
          <w:trHeight w:val="223"/>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Buildings</w:t>
            </w:r>
          </w:p>
        </w:tc>
        <w:tc>
          <w:tcPr>
            <w:tcW w:w="50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20 to 40 years</w:t>
            </w:r>
          </w:p>
        </w:tc>
      </w:tr>
      <w:tr>
        <w:trPr>
          <w:trHeight w:val="223"/>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Machinery and Equipment</w:t>
            </w:r>
          </w:p>
        </w:tc>
        <w:tc>
          <w:tcPr>
            <w:tcW w:w="50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3 to 25 years</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 expenses are included in each segment’s costs and expenses. We incurred $173.4 million, $147.8 million, and</w:t>
      </w:r>
    </w:p>
    <w:p>
      <w:pPr>
        <w:spacing w:after="0" w:line="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$137.2 million of maintenance and repair expenses in the fiscal years ended March 31, 2023, 2022, and 2021, respectively, which is included in Cost of Goods Sold on the Consolidated Statement of Earnings.</w:t>
      </w:r>
    </w:p>
    <w:p>
      <w:pPr>
        <w:spacing w:after="0" w:line="77"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We periodically evaluate whether current events or circumstances indicate that the carrying value of our depreciable assets may not be recoverable. See Impairment or Disposal of Long-lived and Intangible Assets in the following section for more information about the impairments.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u w:val="single" w:color="auto"/>
          <w:color w:val="004483"/>
        </w:rPr>
        <w:t>Goodwill and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w:t>
      </w:r>
    </w:p>
    <w:p>
      <w:pPr>
        <w:spacing w:after="0" w:line="11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6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8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 reporting unit exceeds its fair value, then an impairment charge equal to the difference, not to exceed the total amount of Goodwill, is recorded.</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in order to test the reasonableness of our fair value calculations.</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performed qualitative assessments on all of our reporting units in the fourth quarter of fiscal 2023 and 2022. As a result of these qualitative assessments, we determined it was not more likely than not that an impairment existed; therefore, we did not perform a Step 1 quantitative test in either fiscal 2023 or 2022. We performed a Step 1 quantitative impairment test on our all of our reporting units with Goodwill during the fourth quarter of fiscal 2021. We estimated the fair value of the reporting unit using a discounted cash flow model as well as a market analysis. Key assumptions in the model included estimated average net sales prices, sales volumes, and the estimated weighted average cost of capital specific to each industry. Based on the results of the Step 1 quantitative impairment analysis, we concluded that the fair values of the reporting units substantially exceeded their carrying values, and therefore no impairment was recognized.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004483"/>
        </w:rPr>
        <w:t>GOODWILL AND INTANGIBLE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at March 31, 2023 and 2022, consist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24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140" w:type="dxa"/>
            <w:vAlign w:val="bottom"/>
            <w:gridSpan w:val="2"/>
            <w:shd w:val="clear" w:color="auto" w:fill="004483"/>
          </w:tcPr>
          <w:p>
            <w:pPr>
              <w:jc w:val="center"/>
              <w:ind w:right="2"/>
              <w:spacing w:after="0"/>
              <w:rPr>
                <w:sz w:val="20"/>
                <w:szCs w:val="20"/>
                <w:color w:val="auto"/>
              </w:rPr>
            </w:pPr>
            <w:r>
              <w:rPr>
                <w:rFonts w:ascii="Arial" w:cs="Arial" w:eastAsia="Arial" w:hAnsi="Arial"/>
                <w:sz w:val="13"/>
                <w:szCs w:val="13"/>
                <w:b w:val="1"/>
                <w:bCs w:val="1"/>
                <w:color w:val="FFFFFF"/>
                <w:w w:val="97"/>
              </w:rPr>
              <w:t>March 31, 2023</w:t>
            </w:r>
          </w:p>
        </w:tc>
        <w:tc>
          <w:tcPr>
            <w:tcW w:w="16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0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240" w:type="dxa"/>
            <w:vAlign w:val="bottom"/>
          </w:tcPr>
          <w:p>
            <w:pPr>
              <w:jc w:val="right"/>
              <w:ind w:right="86"/>
              <w:spacing w:after="0" w:line="127" w:lineRule="exact"/>
              <w:rPr>
                <w:sz w:val="20"/>
                <w:szCs w:val="20"/>
                <w:color w:val="auto"/>
              </w:rPr>
            </w:pPr>
            <w:r>
              <w:rPr>
                <w:rFonts w:ascii="Arial" w:cs="Arial" w:eastAsia="Arial" w:hAnsi="Arial"/>
                <w:sz w:val="13"/>
                <w:szCs w:val="13"/>
                <w:b w:val="1"/>
                <w:bCs w:val="1"/>
                <w:color w:val="auto"/>
              </w:rPr>
              <w:t>Amortization</w:t>
            </w:r>
          </w:p>
        </w:tc>
        <w:tc>
          <w:tcPr>
            <w:tcW w:w="260" w:type="dxa"/>
            <w:vAlign w:val="bottom"/>
          </w:tcPr>
          <w:p>
            <w:pPr>
              <w:spacing w:after="0"/>
              <w:rPr>
                <w:sz w:val="11"/>
                <w:szCs w:val="11"/>
                <w:color w:val="auto"/>
              </w:rPr>
            </w:pPr>
          </w:p>
        </w:tc>
        <w:tc>
          <w:tcPr>
            <w:tcW w:w="90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Additions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64"/>
              <w:spacing w:after="0" w:line="127"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Arial" w:cs="Arial" w:eastAsia="Arial" w:hAnsi="Arial"/>
                <w:sz w:val="13"/>
                <w:szCs w:val="13"/>
                <w:b w:val="1"/>
                <w:bCs w:val="1"/>
                <w:color w:val="auto"/>
              </w:rPr>
              <w:t>Period</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4"/>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60" w:type="dxa"/>
            <w:vAlign w:val="bottom"/>
            <w:tcBorders>
              <w:bottom w:val="single" w:sz="8" w:color="004483"/>
            </w:tcBorders>
          </w:tcPr>
          <w:p>
            <w:pPr>
              <w:spacing w:after="0"/>
              <w:rPr>
                <w:sz w:val="15"/>
                <w:szCs w:val="15"/>
                <w:color w:val="auto"/>
              </w:rPr>
            </w:pPr>
          </w:p>
        </w:tc>
        <w:tc>
          <w:tcPr>
            <w:tcW w:w="124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gridSpan w:val="3"/>
          </w:tcPr>
          <w:p>
            <w:pPr>
              <w:jc w:val="center"/>
              <w:ind w:left="8"/>
              <w:spacing w:after="0"/>
              <w:rPr>
                <w:sz w:val="20"/>
                <w:szCs w:val="20"/>
                <w:color w:val="auto"/>
              </w:rPr>
            </w:pPr>
            <w:r>
              <w:rPr>
                <w:rFonts w:ascii="Arial" w:cs="Arial" w:eastAsia="Arial" w:hAnsi="Arial"/>
                <w:sz w:val="13"/>
                <w:szCs w:val="13"/>
                <w:color w:val="auto"/>
                <w:w w:val="96"/>
              </w:rPr>
              <w:t>(dollars in thousands)</w:t>
            </w:r>
          </w:p>
        </w:tc>
        <w:tc>
          <w:tcPr>
            <w:tcW w:w="1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w:t>
            </w:r>
          </w:p>
        </w:tc>
        <w:tc>
          <w:tcPr>
            <w:tcW w:w="12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Customer Contracts and Relationships</w:t>
            </w:r>
          </w:p>
        </w:tc>
        <w:tc>
          <w:tcPr>
            <w:tcW w:w="1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108,610</w:t>
            </w:r>
          </w:p>
        </w:tc>
        <w:tc>
          <w:tcPr>
            <w:tcW w:w="400" w:type="dxa"/>
            <w:vAlign w:val="bottom"/>
            <w:tcBorders>
              <w:bottom w:val="single" w:sz="8" w:color="A6A6A6"/>
            </w:tcBorders>
            <w:gridSpan w:val="2"/>
          </w:tcPr>
          <w:p>
            <w:pPr>
              <w:jc w:val="right"/>
              <w:ind w:right="8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32,584</w:t>
            </w:r>
          </w:p>
        </w:tc>
        <w:tc>
          <w:tcPr>
            <w:tcW w:w="3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(75,413 )</w:t>
            </w:r>
          </w:p>
        </w:tc>
        <w:tc>
          <w:tcPr>
            <w:tcW w:w="40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65,781</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Permits</w:t>
            </w:r>
          </w:p>
        </w:tc>
        <w:tc>
          <w:tcPr>
            <w:tcW w:w="1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25-40 years</w:t>
            </w: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30,410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350</w:t>
            </w:r>
          </w:p>
        </w:tc>
        <w:tc>
          <w:tcPr>
            <w:tcW w:w="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(12,519 )</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18,241</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Trade Name</w:t>
            </w:r>
          </w:p>
        </w:tc>
        <w:tc>
          <w:tcPr>
            <w:tcW w:w="1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400</w:t>
            </w:r>
          </w:p>
        </w:tc>
        <w:tc>
          <w:tcPr>
            <w:tcW w:w="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(590 )</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40"/>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12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color w:val="auto"/>
              </w:rPr>
              <w:t>329,137</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51,574</w:t>
            </w:r>
          </w:p>
        </w:tc>
        <w:tc>
          <w:tcPr>
            <w:tcW w:w="160" w:type="dxa"/>
            <w:vAlign w:val="bottom"/>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380,711</w:t>
            </w:r>
          </w:p>
        </w:tc>
        <w:tc>
          <w:tcPr>
            <w:tcW w:w="0" w:type="dxa"/>
            <w:vAlign w:val="bottom"/>
          </w:tcPr>
          <w:p>
            <w:pPr>
              <w:spacing w:after="0"/>
              <w:rPr>
                <w:sz w:val="1"/>
                <w:szCs w:val="1"/>
                <w:color w:val="auto"/>
              </w:rPr>
            </w:pPr>
          </w:p>
        </w:tc>
      </w:tr>
      <w:tr>
        <w:trPr>
          <w:trHeight w:val="209"/>
        </w:trPr>
        <w:tc>
          <w:tcPr>
            <w:tcW w:w="4960" w:type="dxa"/>
            <w:vAlign w:val="bottom"/>
          </w:tcPr>
          <w:p>
            <w:pPr>
              <w:ind w:left="200"/>
              <w:spacing w:after="0"/>
              <w:rPr>
                <w:sz w:val="20"/>
                <w:szCs w:val="20"/>
                <w:color w:val="auto"/>
              </w:rPr>
            </w:pPr>
            <w:r>
              <w:rPr>
                <w:rFonts w:ascii="Arial" w:cs="Arial" w:eastAsia="Arial" w:hAnsi="Arial"/>
                <w:sz w:val="16"/>
                <w:szCs w:val="16"/>
                <w:b w:val="1"/>
                <w:bCs w:val="1"/>
                <w:color w:val="auto"/>
              </w:rPr>
              <w:t>Total Goodwill and Intangible Assets</w:t>
            </w:r>
          </w:p>
        </w:tc>
        <w:tc>
          <w:tcPr>
            <w:tcW w:w="1240" w:type="dxa"/>
            <w:vAlign w:val="bottom"/>
          </w:tcPr>
          <w:p>
            <w:pPr>
              <w:spacing w:after="0"/>
              <w:rPr>
                <w:sz w:val="18"/>
                <w:szCs w:val="18"/>
                <w:color w:val="auto"/>
              </w:rPr>
            </w:pPr>
          </w:p>
        </w:tc>
        <w:tc>
          <w:tcPr>
            <w:tcW w:w="26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b w:val="1"/>
                <w:bCs w:val="1"/>
                <w:color w:val="auto"/>
              </w:rPr>
              <w:t>469,657</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88"/>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84,908</w:t>
            </w:r>
          </w:p>
        </w:tc>
        <w:tc>
          <w:tcPr>
            <w:tcW w:w="16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(88,522 )</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466,043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00448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24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140" w:type="dxa"/>
            <w:vAlign w:val="bottom"/>
            <w:gridSpan w:val="2"/>
            <w:shd w:val="clear" w:color="auto" w:fill="004483"/>
          </w:tcPr>
          <w:p>
            <w:pPr>
              <w:jc w:val="center"/>
              <w:ind w:right="2"/>
              <w:spacing w:after="0"/>
              <w:rPr>
                <w:sz w:val="20"/>
                <w:szCs w:val="20"/>
                <w:color w:val="auto"/>
              </w:rPr>
            </w:pPr>
            <w:r>
              <w:rPr>
                <w:rFonts w:ascii="Arial" w:cs="Arial" w:eastAsia="Arial" w:hAnsi="Arial"/>
                <w:sz w:val="13"/>
                <w:szCs w:val="13"/>
                <w:b w:val="1"/>
                <w:bCs w:val="1"/>
                <w:color w:val="FFFFFF"/>
                <w:w w:val="97"/>
              </w:rPr>
              <w:t>March 31, 2022</w:t>
            </w:r>
          </w:p>
        </w:tc>
        <w:tc>
          <w:tcPr>
            <w:tcW w:w="16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0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240" w:type="dxa"/>
            <w:vAlign w:val="bottom"/>
          </w:tcPr>
          <w:p>
            <w:pPr>
              <w:jc w:val="right"/>
              <w:ind w:right="86"/>
              <w:spacing w:after="0" w:line="127" w:lineRule="exact"/>
              <w:rPr>
                <w:sz w:val="20"/>
                <w:szCs w:val="20"/>
                <w:color w:val="auto"/>
              </w:rPr>
            </w:pPr>
            <w:r>
              <w:rPr>
                <w:rFonts w:ascii="Arial" w:cs="Arial" w:eastAsia="Arial" w:hAnsi="Arial"/>
                <w:sz w:val="13"/>
                <w:szCs w:val="13"/>
                <w:b w:val="1"/>
                <w:bCs w:val="1"/>
                <w:color w:val="auto"/>
              </w:rPr>
              <w:t>Amortization</w:t>
            </w:r>
          </w:p>
        </w:tc>
        <w:tc>
          <w:tcPr>
            <w:tcW w:w="260" w:type="dxa"/>
            <w:vAlign w:val="bottom"/>
          </w:tcPr>
          <w:p>
            <w:pPr>
              <w:spacing w:after="0"/>
              <w:rPr>
                <w:sz w:val="11"/>
                <w:szCs w:val="11"/>
                <w:color w:val="auto"/>
              </w:rPr>
            </w:pPr>
          </w:p>
        </w:tc>
        <w:tc>
          <w:tcPr>
            <w:tcW w:w="90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Additions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64"/>
              <w:spacing w:after="0" w:line="127"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Arial" w:cs="Arial" w:eastAsia="Arial" w:hAnsi="Arial"/>
                <w:sz w:val="13"/>
                <w:szCs w:val="13"/>
                <w:b w:val="1"/>
                <w:bCs w:val="1"/>
                <w:color w:val="auto"/>
              </w:rPr>
              <w:t>Period</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60" w:type="dxa"/>
            <w:vAlign w:val="bottom"/>
            <w:tcBorders>
              <w:bottom w:val="single" w:sz="8" w:color="004483"/>
            </w:tcBorders>
          </w:tcPr>
          <w:p>
            <w:pPr>
              <w:spacing w:after="0"/>
              <w:rPr>
                <w:sz w:val="15"/>
                <w:szCs w:val="15"/>
                <w:color w:val="auto"/>
              </w:rPr>
            </w:pPr>
          </w:p>
        </w:tc>
        <w:tc>
          <w:tcPr>
            <w:tcW w:w="124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gridSpan w:val="3"/>
          </w:tcPr>
          <w:p>
            <w:pPr>
              <w:jc w:val="center"/>
              <w:ind w:left="8"/>
              <w:spacing w:after="0"/>
              <w:rPr>
                <w:sz w:val="20"/>
                <w:szCs w:val="20"/>
                <w:color w:val="auto"/>
              </w:rPr>
            </w:pPr>
            <w:r>
              <w:rPr>
                <w:rFonts w:ascii="Arial" w:cs="Arial" w:eastAsia="Arial" w:hAnsi="Arial"/>
                <w:sz w:val="13"/>
                <w:szCs w:val="13"/>
                <w:color w:val="auto"/>
                <w:w w:val="96"/>
              </w:rPr>
              <w:t>(dollars in thousands)</w:t>
            </w:r>
          </w:p>
        </w:tc>
        <w:tc>
          <w:tcPr>
            <w:tcW w:w="1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w:t>
            </w:r>
          </w:p>
        </w:tc>
        <w:tc>
          <w:tcPr>
            <w:tcW w:w="12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Customer Contracts and Relationships</w:t>
            </w:r>
          </w:p>
        </w:tc>
        <w:tc>
          <w:tcPr>
            <w:tcW w:w="1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108,610</w:t>
            </w:r>
          </w:p>
        </w:tc>
        <w:tc>
          <w:tcPr>
            <w:tcW w:w="400" w:type="dxa"/>
            <w:vAlign w:val="bottom"/>
            <w:tcBorders>
              <w:bottom w:val="single" w:sz="8" w:color="A6A6A6"/>
            </w:tcBorders>
            <w:gridSpan w:val="2"/>
          </w:tcPr>
          <w:p>
            <w:pPr>
              <w:jc w:val="right"/>
              <w:ind w:right="8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(69,866 )</w:t>
            </w:r>
          </w:p>
        </w:tc>
        <w:tc>
          <w:tcPr>
            <w:tcW w:w="40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38,744</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Permits</w:t>
            </w:r>
          </w:p>
        </w:tc>
        <w:tc>
          <w:tcPr>
            <w:tcW w:w="1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25-40 years</w:t>
            </w: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30,410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(11,629 )</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18,781</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Trade Name</w:t>
            </w:r>
          </w:p>
        </w:tc>
        <w:tc>
          <w:tcPr>
            <w:tcW w:w="1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uto"/>
              </w:rPr>
              <w:t>15 years</w:t>
            </w: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(264 )</w:t>
            </w: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3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12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color w:val="auto"/>
              </w:rPr>
              <w:t>329,137</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329,137</w:t>
            </w:r>
          </w:p>
        </w:tc>
        <w:tc>
          <w:tcPr>
            <w:tcW w:w="0" w:type="dxa"/>
            <w:vAlign w:val="bottom"/>
          </w:tcPr>
          <w:p>
            <w:pPr>
              <w:spacing w:after="0"/>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6"/>
                <w:szCs w:val="16"/>
                <w:b w:val="1"/>
                <w:bCs w:val="1"/>
                <w:color w:val="auto"/>
              </w:rPr>
              <w:t>Total Goodwill and Intangible Assets</w:t>
            </w:r>
          </w:p>
        </w:tc>
        <w:tc>
          <w:tcPr>
            <w:tcW w:w="1240" w:type="dxa"/>
            <w:vAlign w:val="bottom"/>
          </w:tcPr>
          <w:p>
            <w:pPr>
              <w:spacing w:after="0"/>
              <w:rPr>
                <w:sz w:val="18"/>
                <w:szCs w:val="18"/>
                <w:color w:val="auto"/>
              </w:rPr>
            </w:pPr>
          </w:p>
        </w:tc>
        <w:tc>
          <w:tcPr>
            <w:tcW w:w="26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b w:val="1"/>
                <w:bCs w:val="1"/>
                <w:color w:val="auto"/>
              </w:rPr>
              <w:t>469,657</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88"/>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(81,759 )</w:t>
            </w: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387,898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color w:val="auto"/>
        </w:rPr>
        <w:t>Amortization expense of intangibles was $6.8 million, $4.4 million, and $4.5 million for the fiscal years ended March 31, 2023, 2022, and 2021, respectively. Amortization expense is expected to be approximately $6.8 million in fiscal 2024, $6.6 million in fiscal 2025 and 2026, $6.4 million in fiscal 2027, and $6.3 million in fiscal 2028.</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or Disposal of Long-Lived and Intangible Assets</w:t>
      </w:r>
    </w:p>
    <w:p>
      <w:pPr>
        <w:spacing w:after="0" w:line="1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 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2023.</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primarily composed of financing costs related to our Revolving Credit Facility, deferred expenses, and deposits.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u w:val="single" w:color="auto"/>
          <w:color w:val="004483"/>
        </w:rPr>
        <w:t>Income Taxes</w:t>
      </w:r>
    </w:p>
    <w:p>
      <w:pPr>
        <w:spacing w:after="0" w:line="10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 See Footnote (J)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Stock Repurchases</w:t>
      </w:r>
    </w:p>
    <w:p>
      <w:pPr>
        <w:spacing w:after="0" w:line="109"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Shares repurchased by the Company are considered retired and available for future issuance. When shares are repurchased, the Company first reduces Capital in Excess of Par Value, and if there is no balance in this account, the purchases are recorded as a reduction of Retained Earnings.</w:t>
      </w:r>
    </w:p>
    <w:p>
      <w:pPr>
        <w:spacing w:after="0" w:line="76"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color w:val="auto"/>
        </w:rPr>
        <w:t>On May 17, 2022, the Board of Directors authorized the Company to repurchase an additional 7,500,000 shares. During fiscal years 2023 and 2022, we repurchased 3,075,788 and 3,982,657 shares, respectively, at average prices of $126.05 and $ 148.08, respectively. We did not repurchase any shares in fiscal 2021. At March 31, 2023, the remaining authorized shares for repurchase totaled 7,747,204 shares.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Revenue Recognition</w:t>
      </w:r>
    </w:p>
    <w:p>
      <w:pPr>
        <w:spacing w:after="0" w:line="1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majority of Revenue from the sale of concrete, aggregates, and gypsum wallboard is originated by purchase orders from our customers, who are mainly third-party contractors and suppliers. Revenue from the sale of cement is sold point-of-sale to customers under sales orders. Revenue from our Recycled Paperboard segment is generated mostly through long-term supply agreements. These agreements do not have a stated maturity date, but may be terminated by either party with a two to three year notice period. We invoice customers upon shipment, and our collection terms range from 30 to 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8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occurs at the time the product is shipped from the production facility.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billed to the customer 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recorded as Revenue, while costs incurred for shipping and handling are recorded as expenses and included in Cost of Goods Sold.</w:t>
      </w:r>
    </w:p>
    <w:p>
      <w:pPr>
        <w:spacing w:after="0" w:line="104"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Approximately $229.6 million, $199.1 million, and $177.5 million of freight for the fiscal years ended March 31, 2023, 2022, and 2021, respectively, were included in both Revenue and Cost of Goods Sold in our Consolidated Statement of Earnings.</w:t>
      </w:r>
    </w:p>
    <w:p>
      <w:pPr>
        <w:spacing w:after="0" w:line="6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See Footnote (I) for disaggregation of Revenue by segment.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Comprehensive Income/Losses</w:t>
      </w:r>
    </w:p>
    <w:p>
      <w:pPr>
        <w:spacing w:after="0" w:line="10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As of March 31, 2023, we have an Accumulated Other Comprehensive Loss of $3.5 million, which is net of income taxes of $1.0 million, in connection with recognizing the difference between the fair value of the pension assets and the projected benefit obligation.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Consolidated Cash Flows – Supplemental Disclosures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p>
        </w:tc>
        <w:tc>
          <w:tcPr>
            <w:tcW w:w="480" w:type="dxa"/>
            <w:vAlign w:val="bottom"/>
            <w:shd w:val="clear" w:color="auto" w:fill="004483"/>
          </w:tcPr>
          <w:p>
            <w:pPr>
              <w:spacing w:after="0"/>
              <w:rPr>
                <w:sz w:val="20"/>
                <w:szCs w:val="20"/>
                <w:color w:val="auto"/>
              </w:rPr>
            </w:pPr>
          </w:p>
        </w:tc>
        <w:tc>
          <w:tcPr>
            <w:tcW w:w="980" w:type="dxa"/>
            <w:vAlign w:val="bottom"/>
            <w:shd w:val="clear" w:color="auto" w:fill="004483"/>
          </w:tcPr>
          <w:p>
            <w:pPr>
              <w:spacing w:after="0"/>
              <w:rPr>
                <w:sz w:val="20"/>
                <w:szCs w:val="20"/>
                <w:color w:val="auto"/>
              </w:rPr>
            </w:pPr>
          </w:p>
        </w:tc>
        <w:tc>
          <w:tcPr>
            <w:tcW w:w="140" w:type="dxa"/>
            <w:vAlign w:val="bottom"/>
            <w:shd w:val="clear" w:color="auto" w:fill="004483"/>
          </w:tcPr>
          <w:p>
            <w:pPr>
              <w:spacing w:after="0"/>
              <w:rPr>
                <w:sz w:val="20"/>
                <w:szCs w:val="20"/>
                <w:color w:val="auto"/>
              </w:rPr>
            </w:pPr>
          </w:p>
        </w:tc>
        <w:tc>
          <w:tcPr>
            <w:tcW w:w="1920" w:type="dxa"/>
            <w:vAlign w:val="bottom"/>
            <w:gridSpan w:val="4"/>
            <w:shd w:val="clear" w:color="auto" w:fill="004483"/>
          </w:tcPr>
          <w:p>
            <w:pPr>
              <w:jc w:val="center"/>
              <w:ind w:right="80"/>
              <w:spacing w:after="0"/>
              <w:rPr>
                <w:sz w:val="20"/>
                <w:szCs w:val="20"/>
                <w:color w:val="auto"/>
              </w:rPr>
            </w:pPr>
            <w:r>
              <w:rPr>
                <w:rFonts w:ascii="Arial" w:cs="Arial" w:eastAsia="Arial" w:hAnsi="Arial"/>
                <w:sz w:val="13"/>
                <w:szCs w:val="13"/>
                <w:b w:val="1"/>
                <w:bCs w:val="1"/>
                <w:color w:val="FFFFFF"/>
                <w:w w:val="96"/>
              </w:rPr>
              <w:t>For the Years Ended March 31,</w:t>
            </w:r>
          </w:p>
        </w:tc>
        <w:tc>
          <w:tcPr>
            <w:tcW w:w="580" w:type="dxa"/>
            <w:vAlign w:val="bottom"/>
            <w:shd w:val="clear" w:color="auto" w:fill="004483"/>
          </w:tcPr>
          <w:p>
            <w:pPr>
              <w:spacing w:after="0"/>
              <w:rPr>
                <w:sz w:val="20"/>
                <w:szCs w:val="20"/>
                <w:color w:val="auto"/>
              </w:rPr>
            </w:pPr>
          </w:p>
        </w:tc>
        <w:tc>
          <w:tcPr>
            <w:tcW w:w="940" w:type="dxa"/>
            <w:vAlign w:val="bottom"/>
            <w:shd w:val="clear" w:color="auto" w:fill="004483"/>
          </w:tcPr>
          <w:p>
            <w:pPr>
              <w:spacing w:after="0"/>
              <w:rPr>
                <w:sz w:val="20"/>
                <w:szCs w:val="20"/>
                <w:color w:val="auto"/>
              </w:rPr>
            </w:pPr>
          </w:p>
        </w:tc>
        <w:tc>
          <w:tcPr>
            <w:tcW w:w="140" w:type="dxa"/>
            <w:vAlign w:val="bottom"/>
            <w:shd w:val="clear" w:color="auto" w:fill="004483"/>
          </w:tcPr>
          <w:p>
            <w:pPr>
              <w:spacing w:after="0"/>
              <w:rPr>
                <w:sz w:val="20"/>
                <w:szCs w:val="20"/>
                <w:color w:val="auto"/>
              </w:rPr>
            </w:pPr>
          </w:p>
        </w:tc>
      </w:tr>
      <w:tr>
        <w:trPr>
          <w:trHeight w:val="162"/>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r>
      <w:tr>
        <w:trPr>
          <w:trHeight w:val="183"/>
        </w:trPr>
        <w:tc>
          <w:tcPr>
            <w:tcW w:w="606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1620" w:type="dxa"/>
            <w:vAlign w:val="bottom"/>
            <w:tcBorders>
              <w:bottom w:val="single" w:sz="8" w:color="004483"/>
            </w:tcBorders>
            <w:gridSpan w:val="3"/>
          </w:tcPr>
          <w:p>
            <w:pPr>
              <w:jc w:val="center"/>
              <w:ind w:right="380"/>
              <w:spacing w:after="0"/>
              <w:rPr>
                <w:sz w:val="20"/>
                <w:szCs w:val="20"/>
                <w:color w:val="auto"/>
              </w:rPr>
            </w:pPr>
            <w:r>
              <w:rPr>
                <w:rFonts w:ascii="Arial" w:cs="Arial" w:eastAsia="Arial" w:hAnsi="Arial"/>
                <w:sz w:val="13"/>
                <w:szCs w:val="13"/>
                <w:color w:val="auto"/>
                <w:w w:val="96"/>
              </w:rPr>
              <w:t>(dollars in thousands)</w:t>
            </w:r>
          </w:p>
        </w:tc>
        <w:tc>
          <w:tcPr>
            <w:tcW w:w="58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37"/>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Payments:</w:t>
            </w:r>
          </w:p>
        </w:tc>
        <w:tc>
          <w:tcPr>
            <w:tcW w:w="480" w:type="dxa"/>
            <w:vAlign w:val="bottom"/>
            <w:tcBorders>
              <w:bottom w:val="single" w:sz="8" w:color="A6A6A6"/>
            </w:tcBorders>
          </w:tcPr>
          <w:p>
            <w:pPr>
              <w:spacing w:after="0"/>
              <w:rPr>
                <w:sz w:val="20"/>
                <w:szCs w:val="20"/>
                <w:color w:val="auto"/>
              </w:rPr>
            </w:pPr>
          </w:p>
        </w:tc>
        <w:tc>
          <w:tcPr>
            <w:tcW w:w="98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94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r>
      <w:tr>
        <w:trPr>
          <w:trHeight w:val="240"/>
        </w:trPr>
        <w:tc>
          <w:tcPr>
            <w:tcW w:w="606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31,596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21,298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42,343</w:t>
            </w:r>
          </w:p>
        </w:tc>
        <w:tc>
          <w:tcPr>
            <w:tcW w:w="140" w:type="dxa"/>
            <w:vAlign w:val="bottom"/>
          </w:tcPr>
          <w:p>
            <w:pPr>
              <w:spacing w:after="0"/>
              <w:rPr>
                <w:sz w:val="20"/>
                <w:szCs w:val="20"/>
                <w:color w:val="auto"/>
              </w:rPr>
            </w:pPr>
          </w:p>
        </w:tc>
      </w:tr>
      <w:tr>
        <w:trPr>
          <w:trHeight w:val="236"/>
        </w:trPr>
        <w:tc>
          <w:tcPr>
            <w:tcW w:w="60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480" w:type="dxa"/>
            <w:vAlign w:val="bottom"/>
            <w:tcBorders>
              <w:top w:val="single" w:sz="8" w:color="A6A6A6"/>
              <w:bottom w:val="single" w:sz="8" w:color="A6A6A6"/>
            </w:tcBorders>
          </w:tcPr>
          <w:p>
            <w:pPr>
              <w:spacing w:after="0"/>
              <w:rPr>
                <w:sz w:val="20"/>
                <w:szCs w:val="20"/>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131,512</w:t>
            </w:r>
          </w:p>
        </w:tc>
        <w:tc>
          <w:tcPr>
            <w:tcW w:w="140" w:type="dxa"/>
            <w:vAlign w:val="bottom"/>
          </w:tcPr>
          <w:p>
            <w:pPr>
              <w:spacing w:after="0"/>
              <w:rPr>
                <w:sz w:val="20"/>
                <w:szCs w:val="20"/>
                <w:color w:val="auto"/>
              </w:rPr>
            </w:pPr>
          </w:p>
        </w:tc>
        <w:tc>
          <w:tcPr>
            <w:tcW w:w="300" w:type="dxa"/>
            <w:vAlign w:val="bottom"/>
            <w:tcBorders>
              <w:top w:val="single" w:sz="8" w:color="A6A6A6"/>
              <w:bottom w:val="single" w:sz="8" w:color="A6A6A6"/>
            </w:tcBorders>
          </w:tcPr>
          <w:p>
            <w:pPr>
              <w:spacing w:after="0"/>
              <w:rPr>
                <w:sz w:val="20"/>
                <w:szCs w:val="20"/>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86,407</w:t>
            </w:r>
          </w:p>
        </w:tc>
        <w:tc>
          <w:tcPr>
            <w:tcW w:w="1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580" w:type="dxa"/>
            <w:vAlign w:val="bottom"/>
            <w:tcBorders>
              <w:top w:val="single" w:sz="8" w:color="A6A6A6"/>
              <w:bottom w:val="single" w:sz="8" w:color="A6A6A6"/>
            </w:tcBorders>
          </w:tcPr>
          <w:p>
            <w:pPr>
              <w:spacing w:after="0"/>
              <w:rPr>
                <w:sz w:val="20"/>
                <w:szCs w:val="20"/>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32,870</w:t>
            </w:r>
          </w:p>
        </w:tc>
        <w:tc>
          <w:tcPr>
            <w:tcW w:w="140" w:type="dxa"/>
            <w:vAlign w:val="bottom"/>
          </w:tcPr>
          <w:p>
            <w:pPr>
              <w:spacing w:after="0"/>
              <w:rPr>
                <w:sz w:val="20"/>
                <w:szCs w:val="20"/>
                <w:color w:val="auto"/>
              </w:rPr>
            </w:pPr>
          </w:p>
        </w:tc>
      </w:tr>
      <w:tr>
        <w:trPr>
          <w:trHeight w:val="237"/>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480" w:type="dxa"/>
            <w:vAlign w:val="bottom"/>
            <w:tcBorders>
              <w:bottom w:val="single" w:sz="8" w:color="A6A6A6"/>
            </w:tcBorders>
          </w:tcPr>
          <w:p>
            <w:pPr>
              <w:spacing w:after="0"/>
              <w:rPr>
                <w:sz w:val="20"/>
                <w:szCs w:val="20"/>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8,314</w:t>
            </w:r>
          </w:p>
        </w:tc>
        <w:tc>
          <w:tcPr>
            <w:tcW w:w="140" w:type="dxa"/>
            <w:vAlign w:val="bottom"/>
          </w:tcPr>
          <w:p>
            <w:pPr>
              <w:spacing w:after="0"/>
              <w:rPr>
                <w:sz w:val="20"/>
                <w:szCs w:val="20"/>
                <w:color w:val="auto"/>
              </w:rPr>
            </w:pPr>
          </w:p>
        </w:tc>
        <w:tc>
          <w:tcPr>
            <w:tcW w:w="30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8,141</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10,741</w:t>
            </w:r>
          </w:p>
        </w:tc>
        <w:tc>
          <w:tcPr>
            <w:tcW w:w="140" w:type="dxa"/>
            <w:vAlign w:val="bottom"/>
          </w:tcPr>
          <w:p>
            <w:pPr>
              <w:spacing w:after="0"/>
              <w:rPr>
                <w:sz w:val="20"/>
                <w:szCs w:val="20"/>
                <w:color w:val="auto"/>
              </w:rPr>
            </w:pPr>
          </w:p>
        </w:tc>
      </w:tr>
      <w:tr>
        <w:trPr>
          <w:trHeight w:val="239"/>
        </w:trPr>
        <w:tc>
          <w:tcPr>
            <w:tcW w:w="6060" w:type="dxa"/>
            <w:vAlign w:val="bottom"/>
            <w:tcBorders>
              <w:bottom w:val="single" w:sz="8" w:color="A6A6A6"/>
            </w:tcBorders>
          </w:tcPr>
          <w:p>
            <w:pPr>
              <w:spacing w:after="0"/>
              <w:rPr>
                <w:sz w:val="20"/>
                <w:szCs w:val="20"/>
                <w:color w:val="auto"/>
              </w:rPr>
            </w:pPr>
          </w:p>
        </w:tc>
        <w:tc>
          <w:tcPr>
            <w:tcW w:w="480" w:type="dxa"/>
            <w:vAlign w:val="bottom"/>
            <w:tcBorders>
              <w:bottom w:val="single" w:sz="8" w:color="A6A6A6"/>
            </w:tcBorders>
          </w:tcPr>
          <w:p>
            <w:pPr>
              <w:spacing w:after="0"/>
              <w:rPr>
                <w:sz w:val="20"/>
                <w:szCs w:val="20"/>
                <w:color w:val="auto"/>
              </w:rPr>
            </w:pPr>
          </w:p>
        </w:tc>
        <w:tc>
          <w:tcPr>
            <w:tcW w:w="98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94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480" w:type="dxa"/>
            <w:vAlign w:val="bottom"/>
            <w:tcBorders>
              <w:bottom w:val="single" w:sz="8" w:color="A6A6A6"/>
            </w:tcBorders>
          </w:tcPr>
          <w:p>
            <w:pPr>
              <w:spacing w:after="0"/>
              <w:rPr>
                <w:sz w:val="20"/>
                <w:szCs w:val="20"/>
                <w:color w:val="auto"/>
              </w:rPr>
            </w:pPr>
          </w:p>
        </w:tc>
        <w:tc>
          <w:tcPr>
            <w:tcW w:w="98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940" w:type="dxa"/>
            <w:vAlign w:val="bottom"/>
            <w:tcBorders>
              <w:bottom w:val="single" w:sz="8" w:color="A6A6A6"/>
            </w:tcBorders>
          </w:tcPr>
          <w:p>
            <w:pPr>
              <w:spacing w:after="0"/>
              <w:rPr>
                <w:sz w:val="20"/>
                <w:szCs w:val="20"/>
                <w:color w:val="auto"/>
              </w:rPr>
            </w:pPr>
          </w:p>
        </w:tc>
        <w:tc>
          <w:tcPr>
            <w:tcW w:w="140" w:type="dxa"/>
            <w:vAlign w:val="bottom"/>
          </w:tcPr>
          <w:p>
            <w:pPr>
              <w:spacing w:after="0"/>
              <w:rPr>
                <w:sz w:val="20"/>
                <w:szCs w:val="20"/>
                <w:color w:val="auto"/>
              </w:rPr>
            </w:pPr>
          </w:p>
        </w:tc>
      </w:tr>
      <w:tr>
        <w:trPr>
          <w:trHeight w:val="213"/>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Right-of-Use Assets Obtained for Capitalized Operating Leases</w:t>
            </w:r>
          </w:p>
        </w:tc>
        <w:tc>
          <w:tcPr>
            <w:tcW w:w="4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1,711</w:t>
            </w:r>
          </w:p>
        </w:tc>
        <w:tc>
          <w:tcPr>
            <w:tcW w:w="140" w:type="dxa"/>
            <w:vAlign w:val="bottom"/>
          </w:tcPr>
          <w:p>
            <w:pPr>
              <w:spacing w:after="0"/>
              <w:rPr>
                <w:sz w:val="18"/>
                <w:szCs w:val="18"/>
                <w:color w:val="auto"/>
              </w:rPr>
            </w:pPr>
          </w:p>
        </w:tc>
        <w:tc>
          <w:tcPr>
            <w:tcW w:w="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2,598</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8"/>
                <w:szCs w:val="18"/>
                <w:color w:val="auto"/>
              </w:rPr>
            </w:pPr>
          </w:p>
        </w:tc>
      </w:tr>
      <w:tr>
        <w:trPr>
          <w:trHeight w:val="209"/>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Excise Tax on Share Repurchases</w:t>
            </w: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738</w:t>
            </w:r>
          </w:p>
        </w:tc>
        <w:tc>
          <w:tcPr>
            <w:tcW w:w="140" w:type="dxa"/>
            <w:vAlign w:val="bottom"/>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Selling, General, and Administrative Expenses</w:t>
      </w:r>
    </w:p>
    <w:p>
      <w:pPr>
        <w:spacing w:after="0" w:line="10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Selling, General, and Administrative Expenses of the operating units are included in Cost of Goods Sold on the Consolidated Statements of Earnings. Corporate General and Administrative (Corporate G&amp;A) Expenses include administration, financial, legal, employee benefits, and other corporate activities, and are shown separately in the Consolidated Statements of Earnings. Corporate G&amp;A also includes stock compensation expense. See Footnote (L)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Total Selling, General, and Administrative Expenses for each of the periods are summarized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940" w:type="dxa"/>
            <w:vAlign w:val="bottom"/>
            <w:shd w:val="clear" w:color="auto" w:fill="004483"/>
          </w:tcPr>
          <w:p>
            <w:pPr>
              <w:spacing w:after="0"/>
              <w:rPr>
                <w:sz w:val="14"/>
                <w:szCs w:val="14"/>
                <w:color w:val="auto"/>
              </w:rPr>
            </w:pPr>
          </w:p>
        </w:tc>
        <w:tc>
          <w:tcPr>
            <w:tcW w:w="1940" w:type="dxa"/>
            <w:vAlign w:val="bottom"/>
            <w:gridSpan w:val="5"/>
            <w:shd w:val="clear" w:color="auto" w:fill="004483"/>
          </w:tcPr>
          <w:p>
            <w:pPr>
              <w:jc w:val="center"/>
              <w:ind w:right="20"/>
              <w:spacing w:after="0"/>
              <w:rPr>
                <w:sz w:val="20"/>
                <w:szCs w:val="20"/>
                <w:color w:val="auto"/>
              </w:rPr>
            </w:pPr>
            <w:r>
              <w:rPr>
                <w:rFonts w:ascii="Arial" w:cs="Arial" w:eastAsia="Arial" w:hAnsi="Arial"/>
                <w:sz w:val="13"/>
                <w:szCs w:val="13"/>
                <w:b w:val="1"/>
                <w:bCs w:val="1"/>
                <w:color w:val="FFFFFF"/>
                <w:w w:val="96"/>
              </w:rPr>
              <w:t>For the Years Ended March 31,</w:t>
            </w:r>
          </w:p>
        </w:tc>
        <w:tc>
          <w:tcPr>
            <w:tcW w:w="420" w:type="dxa"/>
            <w:vAlign w:val="bottom"/>
            <w:shd w:val="clear" w:color="auto" w:fill="004483"/>
          </w:tcPr>
          <w:p>
            <w:pPr>
              <w:spacing w:after="0"/>
              <w:rPr>
                <w:sz w:val="14"/>
                <w:szCs w:val="14"/>
                <w:color w:val="auto"/>
              </w:rPr>
            </w:pPr>
          </w:p>
        </w:tc>
        <w:tc>
          <w:tcPr>
            <w:tcW w:w="1060" w:type="dxa"/>
            <w:vAlign w:val="bottom"/>
            <w:shd w:val="clear" w:color="auto" w:fill="004483"/>
          </w:tcPr>
          <w:p>
            <w:pPr>
              <w:spacing w:after="0"/>
              <w:rPr>
                <w:sz w:val="14"/>
                <w:szCs w:val="14"/>
                <w:color w:val="auto"/>
              </w:rPr>
            </w:pPr>
          </w:p>
        </w:tc>
      </w:tr>
      <w:tr>
        <w:trPr>
          <w:trHeight w:val="162"/>
        </w:trPr>
        <w:tc>
          <w:tcPr>
            <w:tcW w:w="6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4"/>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Arial" w:cs="Arial" w:eastAsia="Arial" w:hAnsi="Arial"/>
                <w:sz w:val="13"/>
                <w:szCs w:val="13"/>
                <w:b w:val="1"/>
                <w:bCs w:val="1"/>
                <w:color w:val="auto"/>
              </w:rPr>
              <w:t>2021</w:t>
            </w:r>
          </w:p>
        </w:tc>
      </w:tr>
      <w:tr>
        <w:trPr>
          <w:trHeight w:val="183"/>
        </w:trPr>
        <w:tc>
          <w:tcPr>
            <w:tcW w:w="646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420" w:type="dxa"/>
            <w:vAlign w:val="bottom"/>
            <w:tcBorders>
              <w:bottom w:val="single" w:sz="8" w:color="004483"/>
            </w:tcBorders>
          </w:tcPr>
          <w:p>
            <w:pPr>
              <w:spacing w:after="0"/>
              <w:rPr>
                <w:sz w:val="15"/>
                <w:szCs w:val="15"/>
                <w:color w:val="auto"/>
              </w:rPr>
            </w:pPr>
          </w:p>
        </w:tc>
        <w:tc>
          <w:tcPr>
            <w:tcW w:w="1060" w:type="dxa"/>
            <w:vAlign w:val="bottom"/>
            <w:tcBorders>
              <w:bottom w:val="single" w:sz="8" w:color="004483"/>
            </w:tcBorders>
          </w:tcPr>
          <w:p>
            <w:pPr>
              <w:spacing w:after="0"/>
              <w:rPr>
                <w:sz w:val="15"/>
                <w:szCs w:val="15"/>
                <w:color w:val="auto"/>
              </w:rPr>
            </w:pPr>
          </w:p>
        </w:tc>
      </w:tr>
      <w:tr>
        <w:trPr>
          <w:trHeight w:val="216"/>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Units Selling, G&amp;A</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65,468</w:t>
            </w:r>
          </w:p>
        </w:tc>
        <w:tc>
          <w:tcPr>
            <w:tcW w:w="720" w:type="dxa"/>
            <w:vAlign w:val="bottom"/>
            <w:tcBorders>
              <w:bottom w:val="single" w:sz="8" w:color="A6A6A6"/>
            </w:tcBorders>
            <w:gridSpan w:val="3"/>
          </w:tcPr>
          <w:p>
            <w:pPr>
              <w:jc w:val="right"/>
              <w:ind w:right="2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56,561</w:t>
            </w:r>
          </w:p>
        </w:tc>
        <w:tc>
          <w:tcPr>
            <w:tcW w:w="1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56,309</w:t>
            </w:r>
          </w:p>
        </w:tc>
      </w:tr>
      <w:tr>
        <w:trPr>
          <w:trHeight w:val="237"/>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Corporate G&amp;A</w:t>
            </w:r>
          </w:p>
        </w:tc>
        <w:tc>
          <w:tcPr>
            <w:tcW w:w="4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53,630</w:t>
            </w:r>
          </w:p>
        </w:tc>
        <w:tc>
          <w:tcPr>
            <w:tcW w:w="12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46,801</w:t>
            </w:r>
          </w:p>
        </w:tc>
        <w:tc>
          <w:tcPr>
            <w:tcW w:w="18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06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49,511</w:t>
            </w:r>
          </w:p>
        </w:tc>
      </w:tr>
      <w:tr>
        <w:trPr>
          <w:trHeight w:val="210"/>
        </w:trPr>
        <w:tc>
          <w:tcPr>
            <w:tcW w:w="646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119,098</w:t>
            </w:r>
          </w:p>
        </w:tc>
        <w:tc>
          <w:tcPr>
            <w:tcW w:w="12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004483"/>
            </w:tcBorders>
          </w:tcPr>
          <w:p>
            <w:pPr>
              <w:jc w:val="right"/>
              <w:ind w:right="248"/>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103,362</w:t>
            </w:r>
          </w:p>
        </w:tc>
        <w:tc>
          <w:tcPr>
            <w:tcW w:w="180" w:type="dxa"/>
            <w:vAlign w:val="bottom"/>
          </w:tcPr>
          <w:p>
            <w:pPr>
              <w:spacing w:after="0"/>
              <w:rPr>
                <w:sz w:val="18"/>
                <w:szCs w:val="18"/>
                <w:color w:val="auto"/>
              </w:rPr>
            </w:pPr>
          </w:p>
        </w:tc>
        <w:tc>
          <w:tcPr>
            <w:tcW w:w="42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105,820</w:t>
            </w:r>
          </w:p>
        </w:tc>
      </w:tr>
      <w:tr>
        <w:trPr>
          <w:trHeight w:val="20"/>
        </w:trPr>
        <w:tc>
          <w:tcPr>
            <w:tcW w:w="64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u w:val="single" w:color="auto"/>
          <w:color w:val="004483"/>
        </w:rPr>
        <w:t>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420" w:type="dxa"/>
            <w:vAlign w:val="bottom"/>
            <w:shd w:val="clear" w:color="auto" w:fill="004483"/>
          </w:tcPr>
          <w:p>
            <w:pPr>
              <w:spacing w:after="0"/>
              <w:rPr>
                <w:sz w:val="14"/>
                <w:szCs w:val="14"/>
                <w:color w:val="auto"/>
              </w:rPr>
            </w:pPr>
          </w:p>
        </w:tc>
        <w:tc>
          <w:tcPr>
            <w:tcW w:w="1900" w:type="dxa"/>
            <w:vAlign w:val="bottom"/>
            <w:gridSpan w:val="4"/>
            <w:shd w:val="clear" w:color="auto" w:fill="004483"/>
          </w:tcPr>
          <w:p>
            <w:pPr>
              <w:spacing w:after="0"/>
              <w:rPr>
                <w:sz w:val="20"/>
                <w:szCs w:val="20"/>
                <w:color w:val="auto"/>
              </w:rPr>
            </w:pPr>
            <w:r>
              <w:rPr>
                <w:rFonts w:ascii="Arial" w:cs="Arial" w:eastAsia="Arial" w:hAnsi="Arial"/>
                <w:sz w:val="13"/>
                <w:szCs w:val="13"/>
                <w:b w:val="1"/>
                <w:bCs w:val="1"/>
                <w:color w:val="FFFFFF"/>
                <w:w w:val="98"/>
              </w:rPr>
              <w:t>For the Years Ended March 31,</w:t>
            </w:r>
          </w:p>
        </w:tc>
        <w:tc>
          <w:tcPr>
            <w:tcW w:w="1480" w:type="dxa"/>
            <w:vAlign w:val="bottom"/>
            <w:shd w:val="clear" w:color="auto" w:fill="004483"/>
          </w:tcPr>
          <w:p>
            <w:pPr>
              <w:spacing w:after="0"/>
              <w:rPr>
                <w:sz w:val="14"/>
                <w:szCs w:val="14"/>
                <w:color w:val="auto"/>
              </w:rPr>
            </w:pPr>
          </w:p>
        </w:tc>
      </w:tr>
      <w:tr>
        <w:trPr>
          <w:trHeight w:val="183"/>
        </w:trPr>
        <w:tc>
          <w:tcPr>
            <w:tcW w:w="6440" w:type="dxa"/>
            <w:vAlign w:val="bottom"/>
            <w:tcBorders>
              <w:bottom w:val="single" w:sz="8" w:color="004483"/>
            </w:tcBorders>
          </w:tcPr>
          <w:p>
            <w:pPr>
              <w:spacing w:after="0"/>
              <w:rPr>
                <w:sz w:val="15"/>
                <w:szCs w:val="15"/>
                <w:color w:val="auto"/>
              </w:rPr>
            </w:pPr>
          </w:p>
        </w:tc>
        <w:tc>
          <w:tcPr>
            <w:tcW w:w="1420" w:type="dxa"/>
            <w:vAlign w:val="bottom"/>
            <w:tcBorders>
              <w:bottom w:val="single" w:sz="8" w:color="004483"/>
            </w:tcBorders>
          </w:tcPr>
          <w:p>
            <w:pPr>
              <w:jc w:val="right"/>
              <w:ind w:right="2"/>
              <w:spacing w:after="0"/>
              <w:rPr>
                <w:sz w:val="20"/>
                <w:szCs w:val="20"/>
                <w:color w:val="auto"/>
              </w:rPr>
            </w:pPr>
            <w:r>
              <w:rPr>
                <w:rFonts w:ascii="Arial" w:cs="Arial" w:eastAsia="Arial" w:hAnsi="Arial"/>
                <w:sz w:val="13"/>
                <w:szCs w:val="13"/>
                <w:b w:val="1"/>
                <w:bCs w:val="1"/>
                <w:color w:val="auto"/>
              </w:rPr>
              <w:t>2023</w:t>
            </w:r>
          </w:p>
        </w:tc>
        <w:tc>
          <w:tcPr>
            <w:tcW w:w="1720" w:type="dxa"/>
            <w:vAlign w:val="bottom"/>
            <w:tcBorders>
              <w:bottom w:val="single" w:sz="8" w:color="004483"/>
            </w:tcBorders>
            <w:gridSpan w:val="3"/>
          </w:tcPr>
          <w:p>
            <w:pPr>
              <w:jc w:val="right"/>
              <w:ind w:right="59"/>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004483"/>
            </w:tcBorders>
          </w:tcPr>
          <w:p>
            <w:pPr>
              <w:spacing w:after="0"/>
              <w:rPr>
                <w:sz w:val="15"/>
                <w:szCs w:val="15"/>
                <w:color w:val="auto"/>
              </w:rPr>
            </w:pPr>
          </w:p>
        </w:tc>
        <w:tc>
          <w:tcPr>
            <w:tcW w:w="1480" w:type="dxa"/>
            <w:vAlign w:val="bottom"/>
            <w:tcBorders>
              <w:bottom w:val="single" w:sz="8" w:color="004483"/>
            </w:tcBorders>
          </w:tcPr>
          <w:p>
            <w:pPr>
              <w:jc w:val="right"/>
              <w:ind w:right="62"/>
              <w:spacing w:after="0"/>
              <w:rPr>
                <w:sz w:val="20"/>
                <w:szCs w:val="20"/>
                <w:color w:val="auto"/>
              </w:rPr>
            </w:pPr>
            <w:r>
              <w:rPr>
                <w:rFonts w:ascii="Arial" w:cs="Arial" w:eastAsia="Arial" w:hAnsi="Arial"/>
                <w:sz w:val="13"/>
                <w:szCs w:val="13"/>
                <w:b w:val="1"/>
                <w:bCs w:val="1"/>
                <w:color w:val="auto"/>
              </w:rPr>
              <w:t>2021</w:t>
            </w:r>
          </w:p>
        </w:tc>
      </w:tr>
      <w:tr>
        <w:trPr>
          <w:trHeight w:val="213"/>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Weighted-Average Shares of Common Stock Outstanding</w:t>
            </w:r>
          </w:p>
        </w:tc>
        <w:tc>
          <w:tcPr>
            <w:tcW w:w="1420" w:type="dxa"/>
            <w:vAlign w:val="bottom"/>
            <w:tcBorders>
              <w:bottom w:val="single" w:sz="8" w:color="A6A6A6"/>
            </w:tcBorders>
          </w:tcPr>
          <w:p>
            <w:pPr>
              <w:jc w:val="right"/>
              <w:ind w:right="2"/>
              <w:spacing w:after="0"/>
              <w:rPr>
                <w:sz w:val="20"/>
                <w:szCs w:val="20"/>
                <w:color w:val="auto"/>
              </w:rPr>
            </w:pPr>
            <w:r>
              <w:rPr>
                <w:rFonts w:ascii="Arial" w:cs="Arial" w:eastAsia="Arial" w:hAnsi="Arial"/>
                <w:sz w:val="16"/>
                <w:szCs w:val="16"/>
                <w:color w:val="auto"/>
              </w:rPr>
              <w:t>36,798,354</w:t>
            </w:r>
          </w:p>
        </w:tc>
        <w:tc>
          <w:tcPr>
            <w:tcW w:w="1720" w:type="dxa"/>
            <w:vAlign w:val="bottom"/>
            <w:tcBorders>
              <w:bottom w:val="single" w:sz="8" w:color="A6A6A6"/>
            </w:tcBorders>
            <w:gridSpan w:val="3"/>
          </w:tcPr>
          <w:p>
            <w:pPr>
              <w:jc w:val="right"/>
              <w:ind w:right="59"/>
              <w:spacing w:after="0"/>
              <w:rPr>
                <w:sz w:val="20"/>
                <w:szCs w:val="20"/>
                <w:color w:val="auto"/>
              </w:rPr>
            </w:pPr>
            <w:r>
              <w:rPr>
                <w:rFonts w:ascii="Arial" w:cs="Arial" w:eastAsia="Arial" w:hAnsi="Arial"/>
                <w:sz w:val="16"/>
                <w:szCs w:val="16"/>
                <w:color w:val="auto"/>
              </w:rPr>
              <w:t>40,547,048</w:t>
            </w:r>
          </w:p>
        </w:tc>
        <w:tc>
          <w:tcPr>
            <w:tcW w:w="18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41,543,067</w:t>
            </w:r>
          </w:p>
        </w:tc>
      </w:tr>
      <w:tr>
        <w:trPr>
          <w:trHeight w:val="209"/>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42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spacing w:after="0"/>
              <w:rPr>
                <w:sz w:val="18"/>
                <w:szCs w:val="18"/>
                <w:color w:val="auto"/>
              </w:rPr>
            </w:pPr>
          </w:p>
        </w:tc>
      </w:tr>
      <w:tr>
        <w:trPr>
          <w:trHeight w:val="209"/>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Assumed Exercise of Outstanding Dilutive Options</w:t>
            </w:r>
          </w:p>
        </w:tc>
        <w:tc>
          <w:tcPr>
            <w:tcW w:w="1420" w:type="dxa"/>
            <w:vAlign w:val="bottom"/>
            <w:tcBorders>
              <w:bottom w:val="single" w:sz="8" w:color="A6A6A6"/>
            </w:tcBorders>
          </w:tcPr>
          <w:p>
            <w:pPr>
              <w:jc w:val="right"/>
              <w:ind w:right="2"/>
              <w:spacing w:after="0"/>
              <w:rPr>
                <w:sz w:val="20"/>
                <w:szCs w:val="20"/>
                <w:color w:val="auto"/>
              </w:rPr>
            </w:pPr>
            <w:r>
              <w:rPr>
                <w:rFonts w:ascii="Arial" w:cs="Arial" w:eastAsia="Arial" w:hAnsi="Arial"/>
                <w:sz w:val="16"/>
                <w:szCs w:val="16"/>
                <w:color w:val="auto"/>
              </w:rPr>
              <w:t>418,659</w:t>
            </w:r>
          </w:p>
        </w:tc>
        <w:tc>
          <w:tcPr>
            <w:tcW w:w="1720" w:type="dxa"/>
            <w:vAlign w:val="bottom"/>
            <w:tcBorders>
              <w:bottom w:val="single" w:sz="8" w:color="A6A6A6"/>
            </w:tcBorders>
            <w:gridSpan w:val="3"/>
          </w:tcPr>
          <w:p>
            <w:pPr>
              <w:jc w:val="right"/>
              <w:ind w:right="59"/>
              <w:spacing w:after="0"/>
              <w:rPr>
                <w:sz w:val="20"/>
                <w:szCs w:val="20"/>
                <w:color w:val="auto"/>
              </w:rPr>
            </w:pPr>
            <w:r>
              <w:rPr>
                <w:rFonts w:ascii="Arial" w:cs="Arial" w:eastAsia="Arial" w:hAnsi="Arial"/>
                <w:sz w:val="16"/>
                <w:szCs w:val="16"/>
                <w:color w:val="auto"/>
              </w:rPr>
              <w:t>539,309</w:t>
            </w:r>
          </w:p>
        </w:tc>
        <w:tc>
          <w:tcPr>
            <w:tcW w:w="18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570,325</w:t>
            </w:r>
          </w:p>
        </w:tc>
      </w:tr>
      <w:tr>
        <w:trPr>
          <w:trHeight w:val="210"/>
        </w:trPr>
        <w:tc>
          <w:tcPr>
            <w:tcW w:w="6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Shares Repurchased from Proceeds of Assumed Exercised Options</w:t>
            </w:r>
          </w:p>
        </w:tc>
        <w:tc>
          <w:tcPr>
            <w:tcW w:w="14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(290,590 )</w:t>
            </w:r>
          </w:p>
        </w:tc>
        <w:tc>
          <w:tcPr>
            <w:tcW w:w="172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(343,917 )</w:t>
            </w:r>
          </w:p>
        </w:tc>
        <w:tc>
          <w:tcPr>
            <w:tcW w:w="180" w:type="dxa"/>
            <w:vAlign w:val="bottom"/>
            <w:tcBorders>
              <w:bottom w:val="single" w:sz="8" w:color="A6A6A6"/>
            </w:tcBorders>
          </w:tcPr>
          <w:p>
            <w:pPr>
              <w:spacing w:after="0"/>
              <w:rPr>
                <w:sz w:val="18"/>
                <w:szCs w:val="18"/>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(429,815 )</w:t>
            </w:r>
          </w:p>
        </w:tc>
      </w:tr>
      <w:tr>
        <w:trPr>
          <w:trHeight w:val="239"/>
        </w:trPr>
        <w:tc>
          <w:tcPr>
            <w:tcW w:w="6440" w:type="dxa"/>
            <w:vAlign w:val="bottom"/>
          </w:tcPr>
          <w:p>
            <w:pPr>
              <w:ind w:left="20"/>
              <w:spacing w:after="0"/>
              <w:rPr>
                <w:sz w:val="20"/>
                <w:szCs w:val="20"/>
                <w:color w:val="auto"/>
              </w:rPr>
            </w:pPr>
            <w:r>
              <w:rPr>
                <w:rFonts w:ascii="Arial" w:cs="Arial" w:eastAsia="Arial" w:hAnsi="Arial"/>
                <w:sz w:val="16"/>
                <w:szCs w:val="16"/>
                <w:color w:val="004483"/>
              </w:rPr>
              <w:t>Restricted Stock Units</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126,519</w:t>
            </w:r>
          </w:p>
        </w:tc>
        <w:tc>
          <w:tcPr>
            <w:tcW w:w="1720" w:type="dxa"/>
            <w:vAlign w:val="bottom"/>
            <w:gridSpan w:val="3"/>
          </w:tcPr>
          <w:p>
            <w:pPr>
              <w:jc w:val="right"/>
              <w:ind w:right="59"/>
              <w:spacing w:after="0"/>
              <w:rPr>
                <w:sz w:val="20"/>
                <w:szCs w:val="20"/>
                <w:color w:val="auto"/>
              </w:rPr>
            </w:pPr>
            <w:r>
              <w:rPr>
                <w:rFonts w:ascii="Arial" w:cs="Arial" w:eastAsia="Arial" w:hAnsi="Arial"/>
                <w:sz w:val="16"/>
                <w:szCs w:val="16"/>
                <w:color w:val="auto"/>
              </w:rPr>
              <w:t>187,272</w:t>
            </w:r>
          </w:p>
        </w:tc>
        <w:tc>
          <w:tcPr>
            <w:tcW w:w="180" w:type="dxa"/>
            <w:vAlign w:val="bottom"/>
          </w:tcPr>
          <w:p>
            <w:pPr>
              <w:spacing w:after="0"/>
              <w:rPr>
                <w:sz w:val="20"/>
                <w:szCs w:val="20"/>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143,132</w:t>
            </w:r>
          </w:p>
        </w:tc>
      </w:tr>
      <w:tr>
        <w:trPr>
          <w:trHeight w:val="210"/>
        </w:trPr>
        <w:tc>
          <w:tcPr>
            <w:tcW w:w="644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Common Stock and Dilutive Securities Outstanding</w:t>
            </w:r>
          </w:p>
        </w:tc>
        <w:tc>
          <w:tcPr>
            <w:tcW w:w="1420" w:type="dxa"/>
            <w:vAlign w:val="bottom"/>
            <w:tcBorders>
              <w:top w:val="single" w:sz="8" w:color="004483"/>
              <w:bottom w:val="single" w:sz="8" w:color="004483"/>
            </w:tcBorders>
          </w:tcPr>
          <w:p>
            <w:pPr>
              <w:jc w:val="right"/>
              <w:ind w:right="2"/>
              <w:spacing w:after="0"/>
              <w:rPr>
                <w:sz w:val="20"/>
                <w:szCs w:val="20"/>
                <w:color w:val="auto"/>
              </w:rPr>
            </w:pPr>
            <w:r>
              <w:rPr>
                <w:rFonts w:ascii="Arial" w:cs="Arial" w:eastAsia="Arial" w:hAnsi="Arial"/>
                <w:sz w:val="16"/>
                <w:szCs w:val="16"/>
                <w:b w:val="1"/>
                <w:bCs w:val="1"/>
                <w:color w:val="auto"/>
              </w:rPr>
              <w:t>37,052,942</w:t>
            </w:r>
          </w:p>
        </w:tc>
        <w:tc>
          <w:tcPr>
            <w:tcW w:w="60" w:type="dxa"/>
            <w:vAlign w:val="bottom"/>
            <w:tcBorders>
              <w:top w:val="single" w:sz="8" w:color="004483"/>
              <w:bottom w:val="single" w:sz="8" w:color="004483"/>
            </w:tcBorders>
          </w:tcPr>
          <w:p>
            <w:pPr>
              <w:spacing w:after="0"/>
              <w:rPr>
                <w:sz w:val="18"/>
                <w:szCs w:val="18"/>
                <w:color w:val="auto"/>
              </w:rPr>
            </w:pPr>
          </w:p>
        </w:tc>
        <w:tc>
          <w:tcPr>
            <w:tcW w:w="180" w:type="dxa"/>
            <w:vAlign w:val="bottom"/>
            <w:tcBorders>
              <w:top w:val="single" w:sz="8" w:color="A6A6A6"/>
            </w:tcBorders>
          </w:tcPr>
          <w:p>
            <w:pPr>
              <w:spacing w:after="0"/>
              <w:rPr>
                <w:sz w:val="18"/>
                <w:szCs w:val="18"/>
                <w:color w:val="auto"/>
              </w:rPr>
            </w:pPr>
          </w:p>
        </w:tc>
        <w:tc>
          <w:tcPr>
            <w:tcW w:w="1480" w:type="dxa"/>
            <w:vAlign w:val="bottom"/>
            <w:tcBorders>
              <w:top w:val="single" w:sz="8" w:color="004483"/>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rPr>
              <w:t>40,929,712</w:t>
            </w:r>
          </w:p>
        </w:tc>
        <w:tc>
          <w:tcPr>
            <w:tcW w:w="180" w:type="dxa"/>
            <w:vAlign w:val="bottom"/>
            <w:tcBorders>
              <w:top w:val="single" w:sz="8" w:color="A6A6A6"/>
            </w:tcBorders>
          </w:tcPr>
          <w:p>
            <w:pPr>
              <w:spacing w:after="0"/>
              <w:rPr>
                <w:sz w:val="18"/>
                <w:szCs w:val="18"/>
                <w:color w:val="auto"/>
              </w:rPr>
            </w:pPr>
          </w:p>
        </w:tc>
        <w:tc>
          <w:tcPr>
            <w:tcW w:w="1480" w:type="dxa"/>
            <w:vAlign w:val="bottom"/>
            <w:tcBorders>
              <w:top w:val="single" w:sz="8" w:color="004483"/>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41,826,709</w:t>
            </w:r>
          </w:p>
        </w:tc>
      </w:tr>
      <w:tr>
        <w:trPr>
          <w:trHeight w:val="20"/>
        </w:trPr>
        <w:tc>
          <w:tcPr>
            <w:tcW w:w="6440" w:type="dxa"/>
            <w:vAlign w:val="bottom"/>
          </w:tcPr>
          <w:p>
            <w:pPr>
              <w:spacing w:after="0" w:line="20" w:lineRule="exact"/>
              <w:rPr>
                <w:sz w:val="1"/>
                <w:szCs w:val="1"/>
                <w:color w:val="auto"/>
              </w:rPr>
            </w:pPr>
          </w:p>
        </w:tc>
        <w:tc>
          <w:tcPr>
            <w:tcW w:w="142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004483"/>
            </w:tcBorders>
          </w:tcPr>
          <w:p>
            <w:pPr>
              <w:spacing w:after="0" w:line="20" w:lineRule="exact"/>
              <w:rPr>
                <w:sz w:val="1"/>
                <w:szCs w:val="1"/>
                <w:color w:val="auto"/>
              </w:rPr>
            </w:pPr>
          </w:p>
        </w:tc>
      </w:tr>
    </w:tbl>
    <w:p>
      <w:pPr>
        <w:spacing w:after="0" w:line="19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line Less Shares Repurchased from Proceeds of Assumed Exercised Options includes unearned compensation related to outstanding stock options.</w:t>
      </w:r>
    </w:p>
    <w:p>
      <w:pPr>
        <w:spacing w:after="0" w:line="65"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There were 52,375; 6,053; and 569,431 stock options at an average exercise price of $127.06 per share, $139.80 per share, and $89.11 per share, respectively, that were excluded from the computation of diluted earnings per share for the fiscal years ended March 31, 2023, 2022, and 2021, because such inclusion would have been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Share-Based Compensation</w:t>
      </w:r>
    </w:p>
    <w:p>
      <w:pPr>
        <w:spacing w:after="0" w:line="10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Fair Value Measures</w:t>
      </w:r>
    </w:p>
    <w:p>
      <w:pPr>
        <w:spacing w:after="0" w:line="10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and liabilities in active markets;</w:t>
      </w:r>
    </w:p>
    <w:p>
      <w:pPr>
        <w:spacing w:after="0" w:line="10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quoted prices for identical or similar assets and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and</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75" w:name="page76"/>
    <w:bookmarkEnd w:id="75"/>
    <w:p>
      <w:pPr>
        <w:jc w:val="both"/>
        <w:ind w:right="9400" w:firstLine="8"/>
        <w:spacing w:after="0" w:line="364" w:lineRule="auto"/>
        <w:tabs>
          <w:tab w:leader="none" w:pos="322" w:val="left"/>
        </w:tabs>
        <w:numPr>
          <w:ilvl w:val="0"/>
          <w:numId w:val="23"/>
        </w:numPr>
        <w:rPr>
          <w:rFonts w:ascii="Arial" w:cs="Arial" w:eastAsia="Arial" w:hAnsi="Arial"/>
          <w:sz w:val="19"/>
          <w:szCs w:val="19"/>
          <w:b w:val="1"/>
          <w:bCs w:val="1"/>
          <w:color w:val="004483"/>
        </w:rPr>
      </w:pPr>
      <w:r>
        <w:rPr>
          <w:rFonts w:ascii="Arial" w:cs="Arial" w:eastAsia="Arial" w:hAnsi="Arial"/>
          <w:sz w:val="19"/>
          <w:szCs w:val="19"/>
          <w:b w:val="1"/>
          <w:bCs w:val="1"/>
          <w:color w:val="004483"/>
        </w:rPr>
        <w:t xml:space="preserve">ACQUISITIONS </w:t>
      </w:r>
      <w:r>
        <w:rPr>
          <w:rFonts w:ascii="Arial" w:cs="Arial" w:eastAsia="Arial" w:hAnsi="Arial"/>
          <w:sz w:val="19"/>
          <w:szCs w:val="19"/>
          <w:i w:val="1"/>
          <w:iCs w:val="1"/>
          <w:color w:val="004483"/>
        </w:rPr>
        <w:t>ConAgg Acquisition</w:t>
      </w:r>
    </w:p>
    <w:p>
      <w:pPr>
        <w:ind w:right="100"/>
        <w:spacing w:after="0" w:line="241" w:lineRule="auto"/>
        <w:rPr>
          <w:sz w:val="20"/>
          <w:szCs w:val="20"/>
          <w:color w:val="auto"/>
        </w:rPr>
      </w:pPr>
      <w:r>
        <w:rPr>
          <w:rFonts w:ascii="Arial" w:cs="Arial" w:eastAsia="Arial" w:hAnsi="Arial"/>
          <w:sz w:val="18"/>
          <w:szCs w:val="18"/>
          <w:color w:val="auto"/>
        </w:rPr>
        <w:t>On April 22, 2022, we purchased the assets of a readymix concrete and aggregates business (the ConAgg Acquisition), which was accounted for under the acquisition method. The purchase price of the ConAgg Acquisition, after subsequent working capital adjustments, was approximately $120.2 million. The purchase price and expenses incurred in connection with the ConAgg Acquisition were funded primarily through borrowings under our Revolving Credit Facility. Operations related to the ConAgg Acquisition are included in the Concrete and Aggregates business in our segment reporting from April 22, 2022 through March 31, 2023.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Purchase Price to assets acquired and liabilities assumed: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6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tcPr>
          <w:p>
            <w:pPr>
              <w:jc w:val="right"/>
              <w:ind w:right="442"/>
              <w:spacing w:after="0"/>
              <w:rPr>
                <w:sz w:val="20"/>
                <w:szCs w:val="20"/>
                <w:color w:val="auto"/>
              </w:rPr>
            </w:pPr>
            <w:r>
              <w:rPr>
                <w:rFonts w:ascii="Arial" w:cs="Arial" w:eastAsia="Arial" w:hAnsi="Arial"/>
                <w:sz w:val="13"/>
                <w:szCs w:val="13"/>
                <w:color w:val="auto"/>
              </w:rPr>
              <w:t>(dollars in thousands)</w:t>
            </w:r>
          </w:p>
        </w:tc>
      </w:tr>
      <w:tr>
        <w:trPr>
          <w:trHeight w:val="213"/>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Working Capital</w:t>
            </w: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10,780</w:t>
            </w: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39,489</w:t>
            </w:r>
          </w:p>
        </w:tc>
      </w:tr>
      <w:tr>
        <w:trPr>
          <w:trHeight w:val="210"/>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300" w:type="dxa"/>
            <w:vAlign w:val="bottom"/>
            <w:tcBorders>
              <w:bottom w:val="single" w:sz="8" w:color="A6A6A6"/>
            </w:tcBorders>
          </w:tcPr>
          <w:p>
            <w:pPr>
              <w:spacing w:after="0"/>
              <w:rPr>
                <w:sz w:val="18"/>
                <w:szCs w:val="18"/>
                <w:color w:val="auto"/>
              </w:rPr>
            </w:pPr>
          </w:p>
        </w:tc>
        <w:tc>
          <w:tcPr>
            <w:tcW w:w="1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30,750</w:t>
            </w:r>
          </w:p>
        </w:tc>
      </w:tr>
      <w:tr>
        <w:trPr>
          <w:trHeight w:val="23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300" w:type="dxa"/>
            <w:vAlign w:val="bottom"/>
            <w:tcBorders>
              <w:bottom w:val="single" w:sz="8" w:color="004483"/>
            </w:tcBorders>
          </w:tcPr>
          <w:p>
            <w:pPr>
              <w:spacing w:after="0"/>
              <w:rPr>
                <w:sz w:val="20"/>
                <w:szCs w:val="20"/>
                <w:color w:val="auto"/>
              </w:rPr>
            </w:pPr>
          </w:p>
        </w:tc>
        <w:tc>
          <w:tcPr>
            <w:tcW w:w="1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39,135</w:t>
            </w:r>
          </w:p>
        </w:tc>
      </w:tr>
      <w:tr>
        <w:trPr>
          <w:trHeight w:val="210"/>
        </w:trPr>
        <w:tc>
          <w:tcPr>
            <w:tcW w:w="8860" w:type="dxa"/>
            <w:vAlign w:val="bottom"/>
          </w:tcPr>
          <w:p>
            <w:pPr>
              <w:ind w:left="200"/>
              <w:spacing w:after="0"/>
              <w:rPr>
                <w:sz w:val="20"/>
                <w:szCs w:val="20"/>
                <w:color w:val="auto"/>
              </w:rPr>
            </w:pPr>
            <w:r>
              <w:rPr>
                <w:rFonts w:ascii="Arial" w:cs="Arial" w:eastAsia="Arial" w:hAnsi="Arial"/>
                <w:sz w:val="16"/>
                <w:szCs w:val="16"/>
                <w:b w:val="1"/>
                <w:bCs w:val="1"/>
                <w:color w:val="auto"/>
              </w:rPr>
              <w:t>Total Purchase Price</w:t>
            </w: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120,154</w:t>
            </w:r>
          </w:p>
        </w:tc>
      </w:tr>
      <w:tr>
        <w:trPr>
          <w:trHeight w:val="20"/>
        </w:trPr>
        <w:tc>
          <w:tcPr>
            <w:tcW w:w="886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940" w:type="dxa"/>
            <w:vAlign w:val="bottom"/>
            <w:tcBorders>
              <w:bottom w:val="single" w:sz="8" w:color="004483"/>
            </w:tcBorders>
          </w:tcPr>
          <w:p>
            <w:pPr>
              <w:spacing w:after="0" w:line="20" w:lineRule="exact"/>
              <w:rPr>
                <w:sz w:val="1"/>
                <w:szCs w:val="1"/>
                <w:color w:val="auto"/>
              </w:rPr>
            </w:pPr>
          </w:p>
        </w:tc>
      </w:tr>
    </w:tbl>
    <w:p>
      <w:pPr>
        <w:spacing w:after="0" w:line="203"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The estimated useful lives assigned to Property, Plant, and Equipment range from 5 to15 years, while the estimated useful lives assigned to Intangible Assets range from 2 to 15 years.</w:t>
      </w:r>
    </w:p>
    <w:p>
      <w:pPr>
        <w:spacing w:after="0" w:line="65"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The following table presents the Revenue and Operating Earnings related to the ConAgg Acquisition that has been included in our Consolidated Statement of Earnings from April 22, 2022 through March 31, 2023.</w:t>
      </w:r>
    </w:p>
    <w:p>
      <w:pPr>
        <w:spacing w:after="0" w:line="298" w:lineRule="exact"/>
        <w:rPr>
          <w:sz w:val="20"/>
          <w:szCs w:val="20"/>
          <w:color w:val="auto"/>
        </w:rPr>
      </w:pPr>
    </w:p>
    <w:p>
      <w:pPr>
        <w:ind w:left="9080"/>
        <w:spacing w:after="0"/>
        <w:rPr>
          <w:sz w:val="20"/>
          <w:szCs w:val="20"/>
          <w:color w:val="auto"/>
        </w:rPr>
      </w:pPr>
      <w:r>
        <w:rPr>
          <w:rFonts w:ascii="Arial" w:cs="Arial" w:eastAsia="Arial" w:hAnsi="Arial"/>
          <w:sz w:val="13"/>
          <w:szCs w:val="13"/>
          <w:b w:val="1"/>
          <w:bCs w:val="1"/>
          <w:color w:val="FFFFFF"/>
        </w:rPr>
        <w:t>For the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-88900</wp:posOffset>
            </wp:positionV>
            <wp:extent cx="155194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51940" cy="102870"/>
                    </a:xfrm>
                    <a:prstGeom prst="rect">
                      <a:avLst/>
                    </a:prstGeom>
                    <a:noFill/>
                  </pic:spPr>
                </pic:pic>
              </a:graphicData>
            </a:graphic>
          </wp:anchor>
        </w:drawing>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2023</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4580" w:type="dxa"/>
            <w:vAlign w:val="bottom"/>
            <w:tcBorders>
              <w:top w:val="single" w:sz="8" w:color="004483"/>
              <w:bottom w:val="single" w:sz="8" w:color="A6A6A6"/>
            </w:tcBorders>
          </w:tcPr>
          <w:p>
            <w:pPr>
              <w:jc w:val="right"/>
              <w:ind w:right="7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44,546</w:t>
            </w:r>
          </w:p>
        </w:tc>
      </w:tr>
      <w:tr>
        <w:trPr>
          <w:trHeight w:val="210"/>
        </w:trPr>
        <w:tc>
          <w:tcPr>
            <w:tcW w:w="51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Earnings</w:t>
            </w:r>
          </w:p>
        </w:tc>
        <w:tc>
          <w:tcPr>
            <w:tcW w:w="4580" w:type="dxa"/>
            <w:vAlign w:val="bottom"/>
            <w:tcBorders>
              <w:bottom w:val="single" w:sz="8" w:color="A6A6A6"/>
            </w:tcBorders>
          </w:tcPr>
          <w:p>
            <w:pPr>
              <w:jc w:val="right"/>
              <w:ind w:right="7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1,615</w:t>
            </w:r>
          </w:p>
        </w:tc>
      </w:tr>
    </w:tbl>
    <w:p>
      <w:pPr>
        <w:spacing w:after="0" w:line="203"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Included in Operating Earnings shown above is approximately $8.2 million and $2.2 million related to depreciation and amortization and the recording of inventories at fair value,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Terminal Acquisition</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September 16, 2022, we acquired a cement distribution terminal located in Nashville, Tennessee (the Terminal Acquisition), which was accounted for under the acquisition method. The purchase price of the Terminal Acquisition was approximately $39.5 million. The Terminal Acquisition was funded through borrowings under our Revolving Credit Facility. Operations related to the Terminal Acquisition are included in the segment reporting for our Cement business from September 16, 2022 through March 31, 2023.</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following table summarizes allocation of the Terminal Acquisition purchase price to the assets acquired and liabilities assumed: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60" w:type="dxa"/>
            <w:vAlign w:val="bottom"/>
            <w:tcBorders>
              <w:bottom w:val="single" w:sz="8" w:color="004483"/>
            </w:tcBorders>
          </w:tcPr>
          <w:p>
            <w:pPr>
              <w:spacing w:after="0"/>
              <w:rPr>
                <w:sz w:val="15"/>
                <w:szCs w:val="15"/>
                <w:color w:val="auto"/>
              </w:rPr>
            </w:pPr>
          </w:p>
        </w:tc>
        <w:tc>
          <w:tcPr>
            <w:tcW w:w="560" w:type="dxa"/>
            <w:vAlign w:val="bottom"/>
            <w:tcBorders>
              <w:bottom w:val="single" w:sz="8" w:color="004483"/>
            </w:tcBorders>
          </w:tcPr>
          <w:p>
            <w:pPr>
              <w:spacing w:after="0"/>
              <w:rPr>
                <w:sz w:val="15"/>
                <w:szCs w:val="15"/>
                <w:color w:val="auto"/>
              </w:rPr>
            </w:pPr>
          </w:p>
        </w:tc>
        <w:tc>
          <w:tcPr>
            <w:tcW w:w="1680" w:type="dxa"/>
            <w:vAlign w:val="bottom"/>
            <w:tcBorders>
              <w:bottom w:val="single" w:sz="8" w:color="004483"/>
            </w:tcBorders>
          </w:tcPr>
          <w:p>
            <w:pPr>
              <w:jc w:val="right"/>
              <w:spacing w:after="0"/>
              <w:rPr>
                <w:sz w:val="20"/>
                <w:szCs w:val="20"/>
                <w:color w:val="auto"/>
              </w:rPr>
            </w:pPr>
            <w:r>
              <w:rPr>
                <w:rFonts w:ascii="Arial" w:cs="Arial" w:eastAsia="Arial" w:hAnsi="Arial"/>
                <w:sz w:val="13"/>
                <w:szCs w:val="13"/>
                <w:color w:val="auto"/>
              </w:rPr>
              <w:t>(dollars in thousands)</w:t>
            </w:r>
          </w:p>
        </w:tc>
      </w:tr>
      <w:tr>
        <w:trPr>
          <w:trHeight w:val="213"/>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Working Capital</w:t>
            </w:r>
          </w:p>
        </w:tc>
        <w:tc>
          <w:tcPr>
            <w:tcW w:w="560" w:type="dxa"/>
            <w:vAlign w:val="bottom"/>
            <w:tcBorders>
              <w:bottom w:val="single" w:sz="8" w:color="A6A6A6"/>
            </w:tcBorders>
          </w:tcPr>
          <w:p>
            <w:pPr>
              <w:jc w:val="right"/>
              <w:ind w:right="40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1,116</w:t>
            </w: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560" w:type="dxa"/>
            <w:vAlign w:val="bottom"/>
            <w:tcBorders>
              <w:bottom w:val="single" w:sz="8" w:color="A6A6A6"/>
            </w:tcBorders>
          </w:tcPr>
          <w:p>
            <w:pPr>
              <w:spacing w:after="0"/>
              <w:rPr>
                <w:sz w:val="18"/>
                <w:szCs w:val="18"/>
                <w:color w:val="auto"/>
              </w:rPr>
            </w:pPr>
          </w:p>
        </w:tc>
        <w:tc>
          <w:tcPr>
            <w:tcW w:w="1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23,301</w:t>
            </w: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560" w:type="dxa"/>
            <w:vAlign w:val="bottom"/>
            <w:tcBorders>
              <w:bottom w:val="single" w:sz="8" w:color="A6A6A6"/>
            </w:tcBorders>
          </w:tcPr>
          <w:p>
            <w:pPr>
              <w:spacing w:after="0"/>
              <w:rPr>
                <w:sz w:val="18"/>
                <w:szCs w:val="18"/>
                <w:color w:val="auto"/>
              </w:rPr>
            </w:pPr>
          </w:p>
        </w:tc>
        <w:tc>
          <w:tcPr>
            <w:tcW w:w="1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2,589</w:t>
            </w:r>
          </w:p>
        </w:tc>
      </w:tr>
      <w:tr>
        <w:trPr>
          <w:trHeight w:val="240"/>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560" w:type="dxa"/>
            <w:vAlign w:val="bottom"/>
            <w:tcBorders>
              <w:bottom w:val="single" w:sz="8" w:color="004483"/>
            </w:tcBorders>
          </w:tcPr>
          <w:p>
            <w:pPr>
              <w:spacing w:after="0"/>
              <w:rPr>
                <w:sz w:val="20"/>
                <w:szCs w:val="20"/>
                <w:color w:val="auto"/>
              </w:rPr>
            </w:pPr>
          </w:p>
        </w:tc>
        <w:tc>
          <w:tcPr>
            <w:tcW w:w="1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12,439</w:t>
            </w:r>
          </w:p>
        </w:tc>
      </w:tr>
      <w:tr>
        <w:trPr>
          <w:trHeight w:val="209"/>
        </w:trPr>
        <w:tc>
          <w:tcPr>
            <w:tcW w:w="8860" w:type="dxa"/>
            <w:vAlign w:val="bottom"/>
          </w:tcPr>
          <w:p>
            <w:pPr>
              <w:ind w:left="200"/>
              <w:spacing w:after="0"/>
              <w:rPr>
                <w:sz w:val="20"/>
                <w:szCs w:val="20"/>
                <w:color w:val="auto"/>
              </w:rPr>
            </w:pPr>
            <w:r>
              <w:rPr>
                <w:rFonts w:ascii="Arial" w:cs="Arial" w:eastAsia="Arial" w:hAnsi="Arial"/>
                <w:sz w:val="16"/>
                <w:szCs w:val="16"/>
                <w:b w:val="1"/>
                <w:bCs w:val="1"/>
                <w:color w:val="auto"/>
              </w:rPr>
              <w:t>Total Purchase Price</w:t>
            </w:r>
          </w:p>
        </w:tc>
        <w:tc>
          <w:tcPr>
            <w:tcW w:w="560" w:type="dxa"/>
            <w:vAlign w:val="bottom"/>
            <w:tcBorders>
              <w:bottom w:val="single" w:sz="8" w:color="004483"/>
            </w:tcBorders>
          </w:tcPr>
          <w:p>
            <w:pPr>
              <w:jc w:val="right"/>
              <w:ind w:right="404"/>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39,445</w:t>
            </w:r>
          </w:p>
        </w:tc>
      </w:tr>
      <w:tr>
        <w:trPr>
          <w:trHeight w:val="20"/>
        </w:trPr>
        <w:tc>
          <w:tcPr>
            <w:tcW w:w="886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680" w:type="dxa"/>
            <w:vAlign w:val="bottom"/>
            <w:tcBorders>
              <w:bottom w:val="single" w:sz="8" w:color="004483"/>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All Goodwill generated by the ConAgg and Terminal Acquisitions is deductible for income tax purposes.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Subsequent Acquisition</w:t>
      </w:r>
    </w:p>
    <w:p>
      <w:pPr>
        <w:spacing w:after="0" w:line="110" w:lineRule="exact"/>
        <w:rPr>
          <w:sz w:val="20"/>
          <w:szCs w:val="20"/>
          <w:color w:val="auto"/>
        </w:rPr>
      </w:pPr>
    </w:p>
    <w:p>
      <w:pPr>
        <w:ind w:right="860"/>
        <w:spacing w:after="0" w:line="260" w:lineRule="auto"/>
        <w:rPr>
          <w:sz w:val="20"/>
          <w:szCs w:val="20"/>
          <w:color w:val="auto"/>
        </w:rPr>
      </w:pPr>
      <w:r>
        <w:rPr>
          <w:rFonts w:ascii="Arial" w:cs="Arial" w:eastAsia="Arial" w:hAnsi="Arial"/>
          <w:sz w:val="18"/>
          <w:szCs w:val="18"/>
          <w:color w:val="auto"/>
        </w:rPr>
        <w:t>On May 3, 2023, we acquired a cement import distribution terminal in Stockton, California (the Stockton Acquisition). The Stockton Acquisition will be included in our Heavy Materials sector, in the Cement business segment, in fiscal 2024.</w:t>
      </w:r>
    </w:p>
    <w:p>
      <w:pPr>
        <w:spacing w:after="0" w:line="15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0"/>
          <w:szCs w:val="20"/>
          <w:b w:val="1"/>
          <w:bCs w:val="1"/>
          <w:color w:val="004483"/>
        </w:rPr>
      </w:pPr>
      <w:r>
        <w:rPr>
          <w:rFonts w:ascii="Arial" w:cs="Arial" w:eastAsia="Arial" w:hAnsi="Arial"/>
          <w:sz w:val="20"/>
          <w:szCs w:val="20"/>
          <w:b w:val="1"/>
          <w:bCs w:val="1"/>
          <w:color w:val="004483"/>
        </w:rPr>
        <w:t>DISCONTINUED OPERATIONS AND OTHER DISPOSITIONS</w:t>
      </w:r>
    </w:p>
    <w:p>
      <w:pPr>
        <w:spacing w:after="0" w:line="102" w:lineRule="exact"/>
        <w:rPr>
          <w:rFonts w:ascii="Arial" w:cs="Arial" w:eastAsia="Arial" w:hAnsi="Arial"/>
          <w:sz w:val="20"/>
          <w:szCs w:val="20"/>
          <w:b w:val="1"/>
          <w:bCs w:val="1"/>
          <w:color w:val="004483"/>
        </w:rPr>
      </w:pPr>
    </w:p>
    <w:p>
      <w:pPr>
        <w:spacing w:after="0"/>
        <w:rPr>
          <w:rFonts w:ascii="Arial" w:cs="Arial" w:eastAsia="Arial" w:hAnsi="Arial"/>
          <w:sz w:val="20"/>
          <w:szCs w:val="20"/>
          <w:b w:val="1"/>
          <w:bCs w:val="1"/>
          <w:color w:val="004483"/>
        </w:rPr>
      </w:pPr>
      <w:r>
        <w:rPr>
          <w:rFonts w:ascii="Arial" w:cs="Arial" w:eastAsia="Arial" w:hAnsi="Arial"/>
          <w:sz w:val="18"/>
          <w:szCs w:val="18"/>
          <w:i w:val="1"/>
          <w:iCs w:val="1"/>
          <w:color w:val="004483"/>
        </w:rPr>
        <w:t>Discontinued Operations</w:t>
      </w:r>
    </w:p>
    <w:p>
      <w:pPr>
        <w:spacing w:after="0" w:line="1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The shares were valued at March 31, 2023, 2022, and 2021 using Level 1 inputs at the quoted market price of the shares, and the shares are classified as Other Assets in our Consolidated Balance Sheet at March 31, 2023 and 2022.</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sale of the Oil and Gas Proppants business, which was previously disclosed as a reportable segment, was determined to meet the discontinued operations accounting criteria. The sale resulted in a gain of approximately $9.2 million for the year ended March 31, 2021, which is included in Earnings (Loss) from Discontinued Operations on the Consolidated Statement of Earnings.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8" w:right="37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The following is a summary of operating results included in Earnings from Discontinued Operations for the fiscal year ended March 31, 2021:</w:t>
      </w:r>
    </w:p>
    <w:p>
      <w:pPr>
        <w:sectPr>
          <w:pgSz w:w="11900" w:h="16838" w:orient="portrait"/>
          <w:cols w:equalWidth="0" w:num="1">
            <w:col w:w="11240"/>
          </w:cols>
          <w:pgMar w:left="320" w:top="47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04659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4659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56661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6661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6661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Other Nonoperating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6661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Gain on Sale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666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6661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Earnings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6661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829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17385E"/>
        </w:rPr>
        <w:t>Net Earnings from Discontinued Operations</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20" w:type="dxa"/>
            <w:vAlign w:val="bottom"/>
          </w:tcPr>
          <w:p>
            <w:pPr>
              <w:spacing w:after="0"/>
              <w:rPr>
                <w:sz w:val="13"/>
                <w:szCs w:val="1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(dollars in thousands)</w:t>
            </w:r>
          </w:p>
        </w:tc>
      </w:tr>
      <w:tr>
        <w:trPr>
          <w:trHeight w:val="256"/>
        </w:trPr>
        <w:tc>
          <w:tcPr>
            <w:tcW w:w="42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1,045</w:t>
            </w:r>
          </w:p>
        </w:tc>
        <w:tc>
          <w:tcPr>
            <w:tcW w:w="60" w:type="dxa"/>
            <w:vAlign w:val="bottom"/>
          </w:tcPr>
          <w:p>
            <w:pPr>
              <w:spacing w:after="0"/>
              <w:rPr>
                <w:sz w:val="22"/>
                <w:szCs w:val="22"/>
                <w:color w:val="auto"/>
              </w:rPr>
            </w:pPr>
          </w:p>
        </w:tc>
      </w:tr>
      <w:tr>
        <w:trPr>
          <w:trHeight w:val="233"/>
        </w:trPr>
        <w:tc>
          <w:tcPr>
            <w:tcW w:w="420" w:type="dxa"/>
            <w:vAlign w:val="bottom"/>
            <w:tcBorders>
              <w:bottom w:val="single" w:sz="8" w:color="004483"/>
            </w:tcBorders>
          </w:tcPr>
          <w:p>
            <w:pPr>
              <w:spacing w:after="0"/>
              <w:rPr>
                <w:sz w:val="20"/>
                <w:szCs w:val="20"/>
                <w:color w:val="auto"/>
              </w:rPr>
            </w:pPr>
          </w:p>
        </w:tc>
        <w:tc>
          <w:tcPr>
            <w:tcW w:w="15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3,415</w:t>
            </w:r>
          </w:p>
        </w:tc>
        <w:tc>
          <w:tcPr>
            <w:tcW w:w="60" w:type="dxa"/>
            <w:vAlign w:val="bottom"/>
          </w:tcPr>
          <w:p>
            <w:pPr>
              <w:spacing w:after="0"/>
              <w:rPr>
                <w:sz w:val="20"/>
                <w:szCs w:val="20"/>
                <w:color w:val="auto"/>
              </w:rPr>
            </w:pPr>
          </w:p>
        </w:tc>
      </w:tr>
      <w:tr>
        <w:trPr>
          <w:trHeight w:val="213"/>
        </w:trPr>
        <w:tc>
          <w:tcPr>
            <w:tcW w:w="4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(2,370 )</w:t>
            </w:r>
          </w:p>
        </w:tc>
      </w:tr>
      <w:tr>
        <w:trPr>
          <w:trHeight w:val="210"/>
        </w:trPr>
        <w:tc>
          <w:tcPr>
            <w:tcW w:w="420" w:type="dxa"/>
            <w:vAlign w:val="bottom"/>
            <w:tcBorders>
              <w:top w:val="single" w:sz="8" w:color="A6A6A6"/>
              <w:bottom w:val="single" w:sz="8" w:color="A6A6A6"/>
            </w:tcBorders>
          </w:tcPr>
          <w:p>
            <w:pPr>
              <w:spacing w:after="0"/>
              <w:rPr>
                <w:sz w:val="18"/>
                <w:szCs w:val="18"/>
                <w:color w:val="auto"/>
              </w:rPr>
            </w:pPr>
          </w:p>
        </w:tc>
        <w:tc>
          <w:tcPr>
            <w:tcW w:w="15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18"/>
                <w:szCs w:val="18"/>
                <w:color w:val="auto"/>
              </w:rPr>
            </w:pPr>
          </w:p>
        </w:tc>
      </w:tr>
      <w:tr>
        <w:trPr>
          <w:trHeight w:val="209"/>
        </w:trPr>
        <w:tc>
          <w:tcPr>
            <w:tcW w:w="420" w:type="dxa"/>
            <w:vAlign w:val="bottom"/>
            <w:tcBorders>
              <w:bottom w:val="single" w:sz="8" w:color="A6A6A6"/>
            </w:tcBorders>
          </w:tcPr>
          <w:p>
            <w:pPr>
              <w:spacing w:after="0"/>
              <w:rPr>
                <w:sz w:val="18"/>
                <w:szCs w:val="18"/>
                <w:color w:val="auto"/>
              </w:rPr>
            </w:pP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9,230</w:t>
            </w:r>
          </w:p>
        </w:tc>
        <w:tc>
          <w:tcPr>
            <w:tcW w:w="60" w:type="dxa"/>
            <w:vAlign w:val="bottom"/>
          </w:tcPr>
          <w:p>
            <w:pPr>
              <w:spacing w:after="0"/>
              <w:rPr>
                <w:sz w:val="18"/>
                <w:szCs w:val="18"/>
                <w:color w:val="auto"/>
              </w:rPr>
            </w:pPr>
          </w:p>
        </w:tc>
      </w:tr>
      <w:tr>
        <w:trPr>
          <w:trHeight w:val="233"/>
        </w:trPr>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20" w:type="dxa"/>
            <w:vAlign w:val="bottom"/>
            <w:tcBorders>
              <w:top w:val="single" w:sz="8" w:color="004483"/>
              <w:bottom w:val="single" w:sz="8" w:color="A6A6A6"/>
            </w:tcBorders>
          </w:tcPr>
          <w:p>
            <w:pPr>
              <w:spacing w:after="0"/>
              <w:rPr>
                <w:sz w:val="18"/>
                <w:szCs w:val="18"/>
                <w:color w:val="auto"/>
              </w:rPr>
            </w:pPr>
          </w:p>
        </w:tc>
        <w:tc>
          <w:tcPr>
            <w:tcW w:w="1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7,086</w:t>
            </w:r>
          </w:p>
        </w:tc>
        <w:tc>
          <w:tcPr>
            <w:tcW w:w="60" w:type="dxa"/>
            <w:vAlign w:val="bottom"/>
          </w:tcPr>
          <w:p>
            <w:pPr>
              <w:spacing w:after="0"/>
              <w:rPr>
                <w:sz w:val="18"/>
                <w:szCs w:val="18"/>
                <w:color w:val="auto"/>
              </w:rPr>
            </w:pPr>
          </w:p>
        </w:tc>
      </w:tr>
      <w:tr>
        <w:trPr>
          <w:trHeight w:val="233"/>
        </w:trPr>
        <w:tc>
          <w:tcPr>
            <w:tcW w:w="4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(1,808 )</w:t>
            </w:r>
          </w:p>
        </w:tc>
      </w:tr>
      <w:tr>
        <w:trPr>
          <w:trHeight w:val="213"/>
        </w:trPr>
        <w:tc>
          <w:tcPr>
            <w:tcW w:w="420" w:type="dxa"/>
            <w:vAlign w:val="bottom"/>
            <w:tcBorders>
              <w:top w:val="single" w:sz="8" w:color="004483"/>
              <w:bottom w:val="single" w:sz="8" w:color="004483"/>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5,278</w:t>
            </w:r>
          </w:p>
        </w:tc>
        <w:tc>
          <w:tcPr>
            <w:tcW w:w="60" w:type="dxa"/>
            <w:vAlign w:val="bottom"/>
          </w:tcPr>
          <w:p>
            <w:pPr>
              <w:spacing w:after="0"/>
              <w:rPr>
                <w:sz w:val="18"/>
                <w:szCs w:val="18"/>
                <w:color w:val="auto"/>
              </w:rPr>
            </w:pPr>
          </w:p>
        </w:tc>
      </w:tr>
      <w:tr>
        <w:trPr>
          <w:trHeight w:val="20"/>
        </w:trPr>
        <w:tc>
          <w:tcPr>
            <w:tcW w:w="420" w:type="dxa"/>
            <w:vAlign w:val="bottom"/>
            <w:tcBorders>
              <w:bottom w:val="single" w:sz="8" w:color="004483"/>
            </w:tcBorders>
          </w:tcPr>
          <w:p>
            <w:pPr>
              <w:spacing w:after="0" w:line="20" w:lineRule="exact"/>
              <w:rPr>
                <w:sz w:val="1"/>
                <w:szCs w:val="1"/>
                <w:color w:val="auto"/>
              </w:rPr>
            </w:pPr>
          </w:p>
        </w:tc>
        <w:tc>
          <w:tcPr>
            <w:tcW w:w="15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60" w:space="720"/>
            <w:col w:w="2060"/>
          </w:cols>
          <w:pgMar w:left="320" w:top="478" w:right="339" w:bottom="1440" w:gutter="0" w:footer="0" w:header="0"/>
          <w:type w:val="continuous"/>
        </w:sectPr>
      </w:pPr>
    </w:p>
    <w:p>
      <w:pPr>
        <w:spacing w:after="0" w:line="9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significant components of our Consolidated Statements of Cash Flows for discontinued operations for the fiscal year ended March 31, 2021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(dollars in thousands)</w:t>
            </w:r>
          </w:p>
        </w:tc>
      </w:tr>
      <w:tr>
        <w:trPr>
          <w:trHeight w:val="213"/>
        </w:trPr>
        <w:tc>
          <w:tcPr>
            <w:tcW w:w="578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004483"/>
              </w:rPr>
              <w:t>Depreciation and Amortization</w:t>
            </w:r>
          </w:p>
        </w:tc>
        <w:tc>
          <w:tcPr>
            <w:tcW w:w="3820" w:type="dxa"/>
            <w:vAlign w:val="bottom"/>
            <w:tcBorders>
              <w:top w:val="single" w:sz="8" w:color="004483"/>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221</w:t>
            </w:r>
          </w:p>
        </w:tc>
        <w:tc>
          <w:tcPr>
            <w:tcW w:w="60" w:type="dxa"/>
            <w:vAlign w:val="bottom"/>
          </w:tcPr>
          <w:p>
            <w:pPr>
              <w:spacing w:after="0"/>
              <w:rPr>
                <w:sz w:val="18"/>
                <w:szCs w:val="18"/>
                <w:color w:val="auto"/>
              </w:rPr>
            </w:pPr>
          </w:p>
        </w:tc>
      </w:tr>
      <w:tr>
        <w:trPr>
          <w:trHeight w:val="210"/>
        </w:trPr>
        <w:tc>
          <w:tcPr>
            <w:tcW w:w="57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Impairment Losses</w:t>
            </w:r>
          </w:p>
        </w:tc>
        <w:tc>
          <w:tcPr>
            <w:tcW w:w="382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9"/>
        </w:trPr>
        <w:tc>
          <w:tcPr>
            <w:tcW w:w="5780" w:type="dxa"/>
            <w:vAlign w:val="bottom"/>
          </w:tcPr>
          <w:p>
            <w:pPr>
              <w:ind w:left="200"/>
              <w:spacing w:after="0"/>
              <w:rPr>
                <w:sz w:val="20"/>
                <w:szCs w:val="20"/>
                <w:color w:val="auto"/>
              </w:rPr>
            </w:pPr>
            <w:r>
              <w:rPr>
                <w:rFonts w:ascii="Arial" w:cs="Arial" w:eastAsia="Arial" w:hAnsi="Arial"/>
                <w:sz w:val="16"/>
                <w:szCs w:val="16"/>
                <w:color w:val="004483"/>
              </w:rPr>
              <w:t>Gain on Sale of Business</w:t>
            </w:r>
          </w:p>
        </w:tc>
        <w:tc>
          <w:tcPr>
            <w:tcW w:w="3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(9,230 )</w:t>
            </w:r>
          </w:p>
        </w:tc>
      </w:tr>
      <w:tr>
        <w:trPr>
          <w:trHeight w:val="209"/>
        </w:trPr>
        <w:tc>
          <w:tcPr>
            <w:tcW w:w="57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Net Change in Inventory</w:t>
            </w:r>
          </w:p>
        </w:tc>
        <w:tc>
          <w:tcPr>
            <w:tcW w:w="3820" w:type="dxa"/>
            <w:vAlign w:val="bottom"/>
            <w:tcBorders>
              <w:top w:val="single" w:sz="8" w:color="A6A6A6"/>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9"/>
        </w:trPr>
        <w:tc>
          <w:tcPr>
            <w:tcW w:w="57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Capital Expenditures</w:t>
            </w:r>
          </w:p>
        </w:tc>
        <w:tc>
          <w:tcPr>
            <w:tcW w:w="382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(D) PROPERTY, PLANT, AND EQUIPMENT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Cost by major category and Accumulated Depreciation are summarized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100" w:type="dxa"/>
            <w:vAlign w:val="bottom"/>
            <w:gridSpan w:val="3"/>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March 31,</w:t>
            </w:r>
          </w:p>
        </w:tc>
        <w:tc>
          <w:tcPr>
            <w:tcW w:w="1100" w:type="dxa"/>
            <w:vAlign w:val="bottom"/>
            <w:shd w:val="clear" w:color="auto" w:fill="004483"/>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6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ind w:right="81"/>
              <w:spacing w:after="0"/>
              <w:rPr>
                <w:sz w:val="20"/>
                <w:szCs w:val="20"/>
                <w:color w:val="auto"/>
              </w:rPr>
            </w:pPr>
            <w:r>
              <w:rPr>
                <w:rFonts w:ascii="Arial" w:cs="Arial" w:eastAsia="Arial" w:hAnsi="Arial"/>
                <w:sz w:val="13"/>
                <w:szCs w:val="13"/>
                <w:b w:val="1"/>
                <w:bCs w:val="1"/>
                <w:color w:val="auto"/>
              </w:rPr>
              <w:t>2022</w:t>
            </w:r>
          </w:p>
        </w:tc>
      </w:tr>
      <w:tr>
        <w:trPr>
          <w:trHeight w:val="183"/>
        </w:trPr>
        <w:tc>
          <w:tcPr>
            <w:tcW w:w="760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100" w:type="dxa"/>
            <w:vAlign w:val="bottom"/>
            <w:tcBorders>
              <w:bottom w:val="single" w:sz="8" w:color="004483"/>
            </w:tcBorders>
            <w:gridSpan w:val="3"/>
          </w:tcPr>
          <w:p>
            <w:pPr>
              <w:jc w:val="right"/>
              <w:ind w:right="119"/>
              <w:spacing w:after="0"/>
              <w:rPr>
                <w:sz w:val="20"/>
                <w:szCs w:val="20"/>
                <w:color w:val="auto"/>
              </w:rPr>
            </w:pPr>
            <w:r>
              <w:rPr>
                <w:rFonts w:ascii="Arial" w:cs="Arial" w:eastAsia="Arial" w:hAnsi="Arial"/>
                <w:sz w:val="13"/>
                <w:szCs w:val="13"/>
                <w:color w:val="auto"/>
              </w:rPr>
              <w:t>(dollars in thousands)</w:t>
            </w:r>
          </w:p>
        </w:tc>
        <w:tc>
          <w:tcPr>
            <w:tcW w:w="1100" w:type="dxa"/>
            <w:vAlign w:val="bottom"/>
            <w:tcBorders>
              <w:bottom w:val="single" w:sz="8" w:color="004483"/>
            </w:tcBorders>
          </w:tcPr>
          <w:p>
            <w:pPr>
              <w:spacing w:after="0"/>
              <w:rPr>
                <w:sz w:val="15"/>
                <w:szCs w:val="15"/>
                <w:color w:val="auto"/>
              </w:rPr>
            </w:pPr>
          </w:p>
        </w:tc>
      </w:tr>
      <w:tr>
        <w:trPr>
          <w:trHeight w:val="216"/>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Land and Quarries</w:t>
            </w:r>
          </w:p>
        </w:tc>
        <w:tc>
          <w:tcPr>
            <w:tcW w:w="440" w:type="dxa"/>
            <w:vAlign w:val="bottom"/>
            <w:tcBorders>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311,743</w:t>
            </w:r>
          </w:p>
        </w:tc>
        <w:tc>
          <w:tcPr>
            <w:tcW w:w="840" w:type="dxa"/>
            <w:vAlign w:val="bottom"/>
            <w:tcBorders>
              <w:bottom w:val="single" w:sz="8" w:color="A6A6A6"/>
            </w:tcBorders>
            <w:gridSpan w:val="2"/>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231,499</w:t>
            </w:r>
          </w:p>
        </w:tc>
      </w:tr>
      <w:tr>
        <w:trPr>
          <w:trHeight w:val="20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Plants</w:t>
            </w:r>
          </w:p>
        </w:tc>
        <w:tc>
          <w:tcPr>
            <w:tcW w:w="4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2,423,426</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2,380,926</w:t>
            </w:r>
          </w:p>
        </w:tc>
      </w:tr>
      <w:tr>
        <w:trPr>
          <w:trHeight w:val="21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Buildings, Machinery, and Equipment</w:t>
            </w:r>
          </w:p>
        </w:tc>
        <w:tc>
          <w:tcPr>
            <w:tcW w:w="44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226,018</w:t>
            </w:r>
          </w:p>
        </w:tc>
        <w:tc>
          <w:tcPr>
            <w:tcW w:w="22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194,753</w:t>
            </w:r>
          </w:p>
        </w:tc>
      </w:tr>
      <w:tr>
        <w:trPr>
          <w:trHeight w:val="237"/>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Construction in Progress</w:t>
            </w:r>
          </w:p>
        </w:tc>
        <w:tc>
          <w:tcPr>
            <w:tcW w:w="44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color w:val="auto"/>
              </w:rPr>
              <w:t>65,455</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50,270</w:t>
            </w:r>
          </w:p>
        </w:tc>
      </w:tr>
      <w:tr>
        <w:trPr>
          <w:trHeight w:val="206"/>
        </w:trPr>
        <w:tc>
          <w:tcPr>
            <w:tcW w:w="760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jc w:val="right"/>
              <w:ind w:right="64"/>
              <w:spacing w:after="0"/>
              <w:rPr>
                <w:sz w:val="20"/>
                <w:szCs w:val="20"/>
                <w:color w:val="auto"/>
              </w:rPr>
            </w:pPr>
            <w:r>
              <w:rPr>
                <w:rFonts w:ascii="Arial" w:cs="Arial" w:eastAsia="Arial" w:hAnsi="Arial"/>
                <w:sz w:val="16"/>
                <w:szCs w:val="16"/>
                <w:color w:val="auto"/>
              </w:rPr>
              <w:t>3,026,642</w:t>
            </w:r>
          </w:p>
        </w:tc>
        <w:tc>
          <w:tcPr>
            <w:tcW w:w="2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2,857,448</w:t>
            </w:r>
          </w:p>
        </w:tc>
      </w:tr>
      <w:tr>
        <w:trPr>
          <w:trHeight w:val="24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Accumulated Depreciation</w:t>
            </w:r>
          </w:p>
        </w:tc>
        <w:tc>
          <w:tcPr>
            <w:tcW w:w="44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(1,364,581 )</w:t>
            </w:r>
          </w:p>
        </w:tc>
        <w:tc>
          <w:tcPr>
            <w:tcW w:w="2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(1,240,909 )</w:t>
            </w:r>
          </w:p>
        </w:tc>
      </w:tr>
      <w:tr>
        <w:trPr>
          <w:trHeight w:val="210"/>
        </w:trPr>
        <w:tc>
          <w:tcPr>
            <w:tcW w:w="760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ind w:right="64"/>
              <w:spacing w:after="0"/>
              <w:rPr>
                <w:sz w:val="20"/>
                <w:szCs w:val="20"/>
                <w:color w:val="auto"/>
              </w:rPr>
            </w:pPr>
            <w:r>
              <w:rPr>
                <w:rFonts w:ascii="Arial" w:cs="Arial" w:eastAsia="Arial" w:hAnsi="Arial"/>
                <w:sz w:val="16"/>
                <w:szCs w:val="16"/>
                <w:b w:val="1"/>
                <w:bCs w:val="1"/>
                <w:color w:val="auto"/>
              </w:rPr>
              <w:t>1,662,061</w:t>
            </w:r>
          </w:p>
        </w:tc>
        <w:tc>
          <w:tcPr>
            <w:tcW w:w="220" w:type="dxa"/>
            <w:vAlign w:val="bottom"/>
          </w:tcPr>
          <w:p>
            <w:pPr>
              <w:spacing w:after="0"/>
              <w:rPr>
                <w:sz w:val="18"/>
                <w:szCs w:val="18"/>
                <w:color w:val="auto"/>
              </w:rPr>
            </w:pP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1,616,539</w:t>
            </w:r>
          </w:p>
        </w:tc>
      </w:tr>
      <w:tr>
        <w:trPr>
          <w:trHeight w:val="20"/>
        </w:trPr>
        <w:tc>
          <w:tcPr>
            <w:tcW w:w="76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004483"/>
        </w:rPr>
        <w:t>(E) 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580" w:type="dxa"/>
            <w:vAlign w:val="bottom"/>
            <w:shd w:val="clear" w:color="auto" w:fill="004483"/>
          </w:tcPr>
          <w:p>
            <w:pPr>
              <w:spacing w:after="0"/>
              <w:rPr>
                <w:sz w:val="14"/>
                <w:szCs w:val="14"/>
                <w:color w:val="auto"/>
              </w:rPr>
            </w:pPr>
          </w:p>
        </w:tc>
        <w:tc>
          <w:tcPr>
            <w:tcW w:w="2080" w:type="dxa"/>
            <w:vAlign w:val="bottom"/>
            <w:gridSpan w:val="3"/>
            <w:shd w:val="clear" w:color="auto" w:fill="004483"/>
          </w:tcPr>
          <w:p>
            <w:pPr>
              <w:jc w:val="right"/>
              <w:ind w:right="539"/>
              <w:spacing w:after="0"/>
              <w:rPr>
                <w:sz w:val="20"/>
                <w:szCs w:val="20"/>
                <w:color w:val="auto"/>
              </w:rPr>
            </w:pPr>
            <w:r>
              <w:rPr>
                <w:rFonts w:ascii="Arial" w:cs="Arial" w:eastAsia="Arial" w:hAnsi="Arial"/>
                <w:sz w:val="13"/>
                <w:szCs w:val="13"/>
                <w:b w:val="1"/>
                <w:bCs w:val="1"/>
                <w:color w:val="FFFFFF"/>
              </w:rPr>
              <w:t>March 31,</w:t>
            </w:r>
          </w:p>
        </w:tc>
        <w:tc>
          <w:tcPr>
            <w:tcW w:w="960" w:type="dxa"/>
            <w:vAlign w:val="bottom"/>
            <w:shd w:val="clear" w:color="auto" w:fill="004483"/>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3"/>
                <w:szCs w:val="13"/>
                <w:b w:val="1"/>
                <w:bCs w:val="1"/>
                <w:color w:val="auto"/>
              </w:rPr>
              <w:t>2022</w:t>
            </w:r>
          </w:p>
        </w:tc>
      </w:tr>
      <w:tr>
        <w:trPr>
          <w:trHeight w:val="183"/>
        </w:trPr>
        <w:tc>
          <w:tcPr>
            <w:tcW w:w="762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3"/>
          </w:tcPr>
          <w:p>
            <w:pPr>
              <w:jc w:val="right"/>
              <w:ind w:right="239"/>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004483"/>
            </w:tcBorders>
          </w:tcPr>
          <w:p>
            <w:pPr>
              <w:spacing w:after="0"/>
              <w:rPr>
                <w:sz w:val="15"/>
                <w:szCs w:val="15"/>
                <w:color w:val="auto"/>
              </w:rPr>
            </w:pPr>
          </w:p>
        </w:tc>
      </w:tr>
      <w:tr>
        <w:trPr>
          <w:trHeight w:val="213"/>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32,742</w:t>
            </w:r>
          </w:p>
        </w:tc>
        <w:tc>
          <w:tcPr>
            <w:tcW w:w="960" w:type="dxa"/>
            <w:vAlign w:val="bottom"/>
            <w:tcBorders>
              <w:bottom w:val="single" w:sz="8" w:color="A6A6A6"/>
            </w:tcBorders>
            <w:gridSpan w:val="2"/>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37,262</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16,130</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14,894</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7,163</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5,052</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9,186</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9,756</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6,671</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6,514</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3,051</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2,877</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1,663</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1,172</w:t>
            </w: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1,691</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989</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1,452</w:t>
            </w:r>
          </w:p>
        </w:tc>
        <w:tc>
          <w:tcPr>
            <w:tcW w:w="22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1,509</w:t>
            </w:r>
          </w:p>
        </w:tc>
      </w:tr>
      <w:tr>
        <w:trPr>
          <w:trHeight w:val="23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58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6,723</w:t>
            </w:r>
          </w:p>
        </w:tc>
        <w:tc>
          <w:tcPr>
            <w:tcW w:w="220" w:type="dxa"/>
            <w:vAlign w:val="bottom"/>
            <w:tcBorders>
              <w:bottom w:val="single" w:sz="8" w:color="A6A6A6"/>
            </w:tcBorders>
          </w:tcPr>
          <w:p>
            <w:pPr>
              <w:spacing w:after="0"/>
              <w:rPr>
                <w:sz w:val="20"/>
                <w:szCs w:val="20"/>
                <w:color w:val="auto"/>
              </w:rPr>
            </w:pPr>
          </w:p>
        </w:tc>
        <w:tc>
          <w:tcPr>
            <w:tcW w:w="74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6,729</w:t>
            </w:r>
          </w:p>
        </w:tc>
      </w:tr>
      <w:tr>
        <w:trPr>
          <w:trHeight w:val="209"/>
        </w:trPr>
        <w:tc>
          <w:tcPr>
            <w:tcW w:w="76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86,472</w:t>
            </w:r>
          </w:p>
        </w:tc>
        <w:tc>
          <w:tcPr>
            <w:tcW w:w="220" w:type="dxa"/>
            <w:vAlign w:val="bottom"/>
          </w:tcPr>
          <w:p>
            <w:pPr>
              <w:spacing w:after="0"/>
              <w:rPr>
                <w:sz w:val="18"/>
                <w:szCs w:val="18"/>
                <w:color w:val="auto"/>
              </w:rPr>
            </w:pPr>
          </w:p>
        </w:tc>
        <w:tc>
          <w:tcPr>
            <w:tcW w:w="740" w:type="dxa"/>
            <w:vAlign w:val="bottom"/>
            <w:tcBorders>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86,754</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(F) LEASES</w:t>
      </w:r>
    </w:p>
    <w:p>
      <w:pPr>
        <w:spacing w:after="0" w:line="10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These short-term equipment leases are not recorded on the balance sheet.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840" w:type="dxa"/>
            <w:vAlign w:val="bottom"/>
            <w:shd w:val="clear" w:color="auto" w:fill="004483"/>
          </w:tcPr>
          <w:p>
            <w:pPr>
              <w:spacing w:after="0"/>
              <w:rPr>
                <w:sz w:val="14"/>
                <w:szCs w:val="14"/>
                <w:color w:val="auto"/>
              </w:rPr>
            </w:pPr>
          </w:p>
        </w:tc>
        <w:tc>
          <w:tcPr>
            <w:tcW w:w="480" w:type="dxa"/>
            <w:vAlign w:val="bottom"/>
            <w:shd w:val="clear" w:color="auto" w:fill="004483"/>
          </w:tcPr>
          <w:p>
            <w:pPr>
              <w:spacing w:after="0"/>
              <w:rPr>
                <w:sz w:val="14"/>
                <w:szCs w:val="14"/>
                <w:color w:val="auto"/>
              </w:rPr>
            </w:pPr>
          </w:p>
        </w:tc>
        <w:tc>
          <w:tcPr>
            <w:tcW w:w="1960" w:type="dxa"/>
            <w:vAlign w:val="bottom"/>
            <w:gridSpan w:val="4"/>
            <w:shd w:val="clear" w:color="auto" w:fill="004483"/>
          </w:tcPr>
          <w:p>
            <w:pPr>
              <w:jc w:val="center"/>
              <w:spacing w:after="0"/>
              <w:rPr>
                <w:sz w:val="20"/>
                <w:szCs w:val="20"/>
                <w:color w:val="auto"/>
              </w:rPr>
            </w:pPr>
            <w:r>
              <w:rPr>
                <w:rFonts w:ascii="Arial" w:cs="Arial" w:eastAsia="Arial" w:hAnsi="Arial"/>
                <w:sz w:val="13"/>
                <w:szCs w:val="13"/>
                <w:b w:val="1"/>
                <w:bCs w:val="1"/>
                <w:color w:val="FFFFFF"/>
                <w:w w:val="96"/>
              </w:rPr>
              <w:t>For the Years Ended March 31,</w:t>
            </w:r>
          </w:p>
        </w:tc>
        <w:tc>
          <w:tcPr>
            <w:tcW w:w="320" w:type="dxa"/>
            <w:vAlign w:val="bottom"/>
            <w:shd w:val="clear" w:color="auto" w:fill="004483"/>
          </w:tcPr>
          <w:p>
            <w:pPr>
              <w:spacing w:after="0"/>
              <w:rPr>
                <w:sz w:val="14"/>
                <w:szCs w:val="14"/>
                <w:color w:val="auto"/>
              </w:rPr>
            </w:pPr>
          </w:p>
        </w:tc>
        <w:tc>
          <w:tcPr>
            <w:tcW w:w="10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75"/>
        </w:trPr>
        <w:tc>
          <w:tcPr>
            <w:tcW w:w="6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ind w:right="244"/>
              <w:spacing w:after="0"/>
              <w:rPr>
                <w:sz w:val="20"/>
                <w:szCs w:val="20"/>
                <w:color w:val="auto"/>
              </w:rPr>
            </w:pPr>
            <w:r>
              <w:rPr>
                <w:rFonts w:ascii="Arial" w:cs="Arial" w:eastAsia="Arial" w:hAnsi="Arial"/>
                <w:sz w:val="13"/>
                <w:szCs w:val="13"/>
                <w:b w:val="1"/>
                <w:bCs w:val="1"/>
                <w:color w:val="auto"/>
                <w:w w:val="96"/>
              </w:rPr>
              <w:t>2022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r>
      <w:tr>
        <w:trPr>
          <w:trHeight w:val="183"/>
        </w:trPr>
        <w:tc>
          <w:tcPr>
            <w:tcW w:w="650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1640" w:type="dxa"/>
            <w:vAlign w:val="bottom"/>
            <w:tcBorders>
              <w:bottom w:val="single" w:sz="8" w:color="004483"/>
            </w:tcBorders>
            <w:gridSpan w:val="3"/>
          </w:tcPr>
          <w:p>
            <w:pPr>
              <w:jc w:val="center"/>
              <w:ind w:right="320"/>
              <w:spacing w:after="0"/>
              <w:rPr>
                <w:sz w:val="20"/>
                <w:szCs w:val="20"/>
                <w:color w:val="auto"/>
              </w:rPr>
            </w:pPr>
            <w:r>
              <w:rPr>
                <w:rFonts w:ascii="Arial" w:cs="Arial" w:eastAsia="Arial" w:hAnsi="Arial"/>
                <w:sz w:val="13"/>
                <w:szCs w:val="13"/>
                <w:color w:val="auto"/>
                <w:w w:val="96"/>
              </w:rPr>
              <w:t>(dollars in thousands)</w:t>
            </w:r>
          </w:p>
        </w:tc>
        <w:tc>
          <w:tcPr>
            <w:tcW w:w="32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7,339</w:t>
            </w:r>
          </w:p>
        </w:tc>
        <w:tc>
          <w:tcPr>
            <w:tcW w:w="64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6,543</w:t>
            </w:r>
          </w:p>
        </w:tc>
        <w:tc>
          <w:tcPr>
            <w:tcW w:w="3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6,757</w:t>
            </w:r>
          </w:p>
        </w:tc>
        <w:tc>
          <w:tcPr>
            <w:tcW w:w="140" w:type="dxa"/>
            <w:vAlign w:val="bottom"/>
          </w:tcPr>
          <w:p>
            <w:pPr>
              <w:spacing w:after="0"/>
              <w:rPr>
                <w:sz w:val="18"/>
                <w:szCs w:val="18"/>
                <w:color w:val="auto"/>
              </w:rPr>
            </w:pPr>
          </w:p>
        </w:tc>
      </w:tr>
      <w:tr>
        <w:trPr>
          <w:trHeight w:val="240"/>
        </w:trPr>
        <w:tc>
          <w:tcPr>
            <w:tcW w:w="65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840" w:type="dxa"/>
            <w:vAlign w:val="bottom"/>
            <w:tcBorders>
              <w:top w:val="single" w:sz="8" w:color="A6A6A6"/>
              <w:bottom w:val="single" w:sz="8" w:color="004483"/>
            </w:tcBorders>
          </w:tcPr>
          <w:p>
            <w:pPr>
              <w:spacing w:after="0"/>
              <w:rPr>
                <w:sz w:val="20"/>
                <w:szCs w:val="20"/>
                <w:color w:val="auto"/>
              </w:rPr>
            </w:pPr>
          </w:p>
        </w:tc>
        <w:tc>
          <w:tcPr>
            <w:tcW w:w="4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593</w:t>
            </w:r>
          </w:p>
        </w:tc>
        <w:tc>
          <w:tcPr>
            <w:tcW w:w="320" w:type="dxa"/>
            <w:vAlign w:val="bottom"/>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1,261</w:t>
            </w:r>
          </w:p>
        </w:tc>
        <w:tc>
          <w:tcPr>
            <w:tcW w:w="320" w:type="dxa"/>
            <w:vAlign w:val="bottom"/>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2,562</w:t>
            </w:r>
          </w:p>
        </w:tc>
        <w:tc>
          <w:tcPr>
            <w:tcW w:w="140" w:type="dxa"/>
            <w:vAlign w:val="bottom"/>
          </w:tcPr>
          <w:p>
            <w:pPr>
              <w:spacing w:after="0"/>
              <w:rPr>
                <w:sz w:val="20"/>
                <w:szCs w:val="20"/>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840" w:type="dxa"/>
            <w:vAlign w:val="bottom"/>
            <w:tcBorders>
              <w:bottom w:val="single" w:sz="8" w:color="004483"/>
            </w:tcBorders>
          </w:tcPr>
          <w:p>
            <w:pPr>
              <w:jc w:val="right"/>
              <w:ind w:right="665"/>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7,932</w:t>
            </w:r>
          </w:p>
        </w:tc>
        <w:tc>
          <w:tcPr>
            <w:tcW w:w="320" w:type="dxa"/>
            <w:vAlign w:val="bottom"/>
          </w:tcPr>
          <w:p>
            <w:pPr>
              <w:spacing w:after="0"/>
              <w:rPr>
                <w:sz w:val="18"/>
                <w:szCs w:val="18"/>
                <w:color w:val="auto"/>
              </w:rPr>
            </w:pPr>
          </w:p>
        </w:tc>
        <w:tc>
          <w:tcPr>
            <w:tcW w:w="320" w:type="dxa"/>
            <w:vAlign w:val="bottom"/>
            <w:tcBorders>
              <w:bottom w:val="single" w:sz="8" w:color="004483"/>
            </w:tcBorders>
          </w:tcPr>
          <w:p>
            <w:pPr>
              <w:jc w:val="right"/>
              <w:ind w:right="14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7,804</w:t>
            </w:r>
          </w:p>
        </w:tc>
        <w:tc>
          <w:tcPr>
            <w:tcW w:w="320" w:type="dxa"/>
            <w:vAlign w:val="bottom"/>
          </w:tcPr>
          <w:p>
            <w:pPr>
              <w:spacing w:after="0"/>
              <w:rPr>
                <w:sz w:val="18"/>
                <w:szCs w:val="18"/>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9,319</w:t>
            </w:r>
          </w:p>
        </w:tc>
        <w:tc>
          <w:tcPr>
            <w:tcW w:w="140" w:type="dxa"/>
            <w:vAlign w:val="bottom"/>
          </w:tcPr>
          <w:p>
            <w:pPr>
              <w:spacing w:after="0"/>
              <w:rPr>
                <w:sz w:val="18"/>
                <w:szCs w:val="18"/>
                <w:color w:val="auto"/>
              </w:rPr>
            </w:pP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29" w:lineRule="exact"/>
        <w:rPr>
          <w:sz w:val="20"/>
          <w:szCs w:val="20"/>
          <w:color w:val="auto"/>
        </w:rPr>
      </w:pPr>
    </w:p>
    <w:p>
      <w:pPr>
        <w:ind w:left="8960"/>
        <w:spacing w:after="0"/>
        <w:rPr>
          <w:sz w:val="20"/>
          <w:szCs w:val="20"/>
          <w:color w:val="auto"/>
        </w:rPr>
      </w:pPr>
      <w:r>
        <w:rPr>
          <w:rFonts w:ascii="Arial" w:cs="Arial" w:eastAsia="Arial" w:hAnsi="Arial"/>
          <w:sz w:val="13"/>
          <w:szCs w:val="13"/>
          <w:b w:val="1"/>
          <w:bCs w:val="1"/>
          <w:color w:val="FFFFFF"/>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-88900</wp:posOffset>
            </wp:positionV>
            <wp:extent cx="2451735"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1735" cy="102870"/>
                    </a:xfrm>
                    <a:prstGeom prst="rect">
                      <a:avLst/>
                    </a:prstGeom>
                    <a:noFill/>
                  </pic:spPr>
                </pic:pic>
              </a:graphicData>
            </a:graphic>
          </wp:anchor>
        </w:drawing>
      </w:r>
    </w:p>
    <w:p>
      <w:pPr>
        <w:spacing w:after="0" w:line="6" w:lineRule="exact"/>
        <w:rPr>
          <w:sz w:val="20"/>
          <w:szCs w:val="20"/>
          <w:color w:val="auto"/>
        </w:rPr>
      </w:pPr>
    </w:p>
    <w:p>
      <w:pPr>
        <w:ind w:left="8020"/>
        <w:spacing w:after="0"/>
        <w:tabs>
          <w:tab w:leader="none" w:pos="1002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3" w:lineRule="exact"/>
        <w:rPr>
          <w:sz w:val="20"/>
          <w:szCs w:val="20"/>
          <w:color w:val="auto"/>
        </w:rPr>
      </w:pPr>
    </w:p>
    <w:p>
      <w:pPr>
        <w:ind w:left="864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4659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46595" cy="2540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8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60" w:type="dxa"/>
            <w:vAlign w:val="bottom"/>
            <w:tcBorders>
              <w:top w:val="single" w:sz="8" w:color="A6A6A6"/>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20,759</w:t>
            </w:r>
          </w:p>
        </w:tc>
      </w:tr>
      <w:tr>
        <w:trPr>
          <w:trHeight w:val="20"/>
        </w:trPr>
        <w:tc>
          <w:tcPr>
            <w:tcW w:w="73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210"/>
        </w:trPr>
        <w:tc>
          <w:tcPr>
            <w:tcW w:w="738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r>
      <w:tr>
        <w:trPr>
          <w:trHeight w:val="220"/>
        </w:trPr>
        <w:tc>
          <w:tcPr>
            <w:tcW w:w="73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60" w:type="dxa"/>
            <w:vAlign w:val="bottom"/>
            <w:tcBorders>
              <w:bottom w:val="single" w:sz="8" w:color="A6A6A6"/>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6,009</w:t>
            </w:r>
          </w:p>
        </w:tc>
      </w:tr>
      <w:tr>
        <w:trPr>
          <w:trHeight w:val="239"/>
        </w:trPr>
        <w:tc>
          <w:tcPr>
            <w:tcW w:w="73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6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24,940</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56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30,949</w:t>
            </w:r>
          </w:p>
        </w:tc>
      </w:tr>
      <w:tr>
        <w:trPr>
          <w:trHeight w:val="20"/>
        </w:trPr>
        <w:tc>
          <w:tcPr>
            <w:tcW w:w="738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323" w:hanging="1323"/>
        <w:spacing w:after="0"/>
        <w:tabs>
          <w:tab w:leader="none" w:pos="1323"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165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11658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11658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201930</wp:posOffset>
            </wp:positionV>
            <wp:extent cx="11658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29" w:lineRule="exact"/>
        <w:rPr>
          <w:sz w:val="20"/>
          <w:szCs w:val="20"/>
          <w:color w:val="auto"/>
        </w:rPr>
      </w:pPr>
    </w:p>
    <w:p>
      <w:pPr>
        <w:ind w:left="1423" w:hanging="1423"/>
        <w:spacing w:after="0"/>
        <w:tabs>
          <w:tab w:leader="none" w:pos="1423" w:val="left"/>
        </w:tabs>
        <w:numPr>
          <w:ilvl w:val="0"/>
          <w:numId w:val="26"/>
        </w:numPr>
        <w:rPr>
          <w:rFonts w:ascii="Arial" w:cs="Arial" w:eastAsia="Arial" w:hAnsi="Arial"/>
          <w:sz w:val="15"/>
          <w:szCs w:val="15"/>
          <w:color w:val="auto"/>
        </w:rPr>
      </w:pPr>
      <w:r>
        <w:rPr>
          <w:rFonts w:ascii="Arial" w:cs="Arial" w:eastAsia="Arial" w:hAnsi="Arial"/>
          <w:sz w:val="15"/>
          <w:szCs w:val="15"/>
          <w:color w:val="auto"/>
        </w:rPr>
        <w:t>7,118</w:t>
      </w:r>
    </w:p>
    <w:p>
      <w:pPr>
        <w:spacing w:after="0" w:line="57" w:lineRule="exact"/>
        <w:rPr>
          <w:rFonts w:ascii="Arial" w:cs="Arial" w:eastAsia="Arial" w:hAnsi="Arial"/>
          <w:sz w:val="15"/>
          <w:szCs w:val="15"/>
          <w:color w:val="auto"/>
        </w:rPr>
      </w:pPr>
    </w:p>
    <w:p>
      <w:pPr>
        <w:ind w:left="1323"/>
        <w:spacing w:after="0"/>
        <w:rPr>
          <w:rFonts w:ascii="Arial" w:cs="Arial" w:eastAsia="Arial" w:hAnsi="Arial"/>
          <w:sz w:val="15"/>
          <w:szCs w:val="15"/>
          <w:color w:val="auto"/>
        </w:rPr>
      </w:pPr>
      <w:r>
        <w:rPr>
          <w:rFonts w:ascii="Arial" w:cs="Arial" w:eastAsia="Arial" w:hAnsi="Arial"/>
          <w:sz w:val="15"/>
          <w:szCs w:val="15"/>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165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25400</wp:posOffset>
            </wp:positionV>
            <wp:extent cx="116586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65860" cy="26035"/>
                    </a:xfrm>
                    <a:prstGeom prst="rect">
                      <a:avLst/>
                    </a:prstGeom>
                    <a:noFill/>
                  </pic:spPr>
                </pic:pic>
              </a:graphicData>
            </a:graphic>
          </wp:anchor>
        </w:drawing>
      </w:r>
    </w:p>
    <w:p>
      <w:pPr>
        <w:spacing w:after="0" w:line="56" w:lineRule="exact"/>
        <w:rPr>
          <w:sz w:val="20"/>
          <w:szCs w:val="20"/>
          <w:color w:val="auto"/>
        </w:rPr>
      </w:pPr>
    </w:p>
    <w:p>
      <w:pPr>
        <w:ind w:left="1323" w:hanging="1323"/>
        <w:spacing w:after="0"/>
        <w:tabs>
          <w:tab w:leader="none" w:pos="1323"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36,330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1165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1165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8920" w:space="357"/>
            <w:col w:w="1963"/>
          </w:cols>
          <w:pgMar w:left="320" w:top="463" w:right="339" w:bottom="144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color w:val="auto"/>
        </w:rPr>
        <w:t>Future payments for operating leases are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Fiscal Year</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2"/>
        </w:trPr>
        <w:tc>
          <w:tcPr>
            <w:tcW w:w="76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3"/>
                <w:szCs w:val="13"/>
                <w:color w:val="auto"/>
                <w:w w:val="96"/>
              </w:rPr>
              <w:t>(dollars in thousands)</w:t>
            </w:r>
          </w:p>
        </w:tc>
        <w:tc>
          <w:tcPr>
            <w:tcW w:w="0" w:type="dxa"/>
            <w:vAlign w:val="bottom"/>
          </w:tcPr>
          <w:p>
            <w:pPr>
              <w:spacing w:after="0"/>
              <w:rPr>
                <w:sz w:val="1"/>
                <w:szCs w:val="1"/>
                <w:color w:val="auto"/>
              </w:rPr>
            </w:pPr>
          </w:p>
        </w:tc>
      </w:tr>
      <w:tr>
        <w:trPr>
          <w:trHeight w:val="207"/>
        </w:trPr>
        <w:tc>
          <w:tcPr>
            <w:tcW w:w="76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2024</w:t>
            </w:r>
          </w:p>
        </w:tc>
        <w:tc>
          <w:tcPr>
            <w:tcW w:w="460" w:type="dxa"/>
            <w:vAlign w:val="bottom"/>
            <w:tcBorders>
              <w:top w:val="single" w:sz="8" w:color="004483"/>
              <w:bottom w:val="single" w:sz="8" w:color="A6A6A6"/>
            </w:tcBorders>
          </w:tcPr>
          <w:p>
            <w:pPr>
              <w:spacing w:after="0"/>
              <w:rPr>
                <w:sz w:val="17"/>
                <w:szCs w:val="17"/>
                <w:color w:val="auto"/>
              </w:rPr>
            </w:pPr>
          </w:p>
        </w:tc>
        <w:tc>
          <w:tcPr>
            <w:tcW w:w="1240" w:type="dxa"/>
            <w:vAlign w:val="bottom"/>
            <w:tcBorders>
              <w:top w:val="single" w:sz="8" w:color="004483"/>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004483"/>
              <w:bottom w:val="single" w:sz="8" w:color="A6A6A6"/>
            </w:tcBorders>
          </w:tcPr>
          <w:p>
            <w:pPr>
              <w:spacing w:after="0"/>
              <w:rPr>
                <w:sz w:val="17"/>
                <w:szCs w:val="17"/>
                <w:color w:val="auto"/>
              </w:rPr>
            </w:pPr>
          </w:p>
        </w:tc>
        <w:tc>
          <w:tcPr>
            <w:tcW w:w="320" w:type="dxa"/>
            <w:vAlign w:val="bottom"/>
            <w:tcBorders>
              <w:top w:val="single" w:sz="8" w:color="004483"/>
              <w:bottom w:val="single" w:sz="8" w:color="A6A6A6"/>
            </w:tcBorders>
          </w:tcPr>
          <w:p>
            <w:pPr>
              <w:spacing w:after="0"/>
              <w:rPr>
                <w:sz w:val="17"/>
                <w:szCs w:val="17"/>
                <w:color w:val="auto"/>
              </w:rPr>
            </w:pP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6,875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4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4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4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2028</w:t>
            </w:r>
          </w:p>
        </w:tc>
        <w:tc>
          <w:tcPr>
            <w:tcW w:w="4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460" w:type="dxa"/>
            <w:vAlign w:val="bottom"/>
            <w:tcBorders>
              <w:bottom w:val="single" w:sz="8" w:color="A6A6A6"/>
            </w:tcBorders>
          </w:tcPr>
          <w:p>
            <w:pPr>
              <w:spacing w:after="0"/>
              <w:rPr>
                <w:sz w:val="20"/>
                <w:szCs w:val="20"/>
                <w:color w:val="auto"/>
              </w:rPr>
            </w:pPr>
          </w:p>
        </w:tc>
        <w:tc>
          <w:tcPr>
            <w:tcW w:w="860" w:type="dxa"/>
            <w:vAlign w:val="bottom"/>
            <w:tcBorders>
              <w:bottom w:val="single" w:sz="8" w:color="A6A6A6"/>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220" w:type="dxa"/>
            <w:vAlign w:val="bottom"/>
            <w:tcBorders>
              <w:bottom w:val="single" w:sz="8" w:color="004483"/>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14,229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38,438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6"/>
                <w:szCs w:val="16"/>
                <w:color w:val="004483"/>
              </w:rPr>
              <w:t>Less: Imputed Interest</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(7,489 )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460" w:type="dxa"/>
            <w:vAlign w:val="bottom"/>
            <w:tcBorders>
              <w:top w:val="single" w:sz="8" w:color="A6A6A6"/>
            </w:tcBorders>
          </w:tcPr>
          <w:p>
            <w:pPr>
              <w:spacing w:after="0"/>
              <w:rPr>
                <w:sz w:val="18"/>
                <w:szCs w:val="18"/>
                <w:color w:val="auto"/>
              </w:rPr>
            </w:pPr>
          </w:p>
        </w:tc>
        <w:tc>
          <w:tcPr>
            <w:tcW w:w="860" w:type="dxa"/>
            <w:vAlign w:val="bottom"/>
            <w:tcBorders>
              <w:top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220" w:type="dxa"/>
            <w:vAlign w:val="bottom"/>
            <w:tcBorders>
              <w:top w:val="single" w:sz="8" w:color="004483"/>
              <w:bottom w:val="single" w:sz="8" w:color="004483"/>
            </w:tcBorders>
          </w:tcPr>
          <w:p>
            <w:pPr>
              <w:spacing w:after="0"/>
              <w:rPr>
                <w:sz w:val="18"/>
                <w:szCs w:val="18"/>
                <w:color w:val="auto"/>
              </w:rPr>
            </w:pPr>
          </w:p>
        </w:tc>
        <w:tc>
          <w:tcPr>
            <w:tcW w:w="320" w:type="dxa"/>
            <w:vAlign w:val="bottom"/>
            <w:tcBorders>
              <w:top w:val="single" w:sz="8" w:color="004483"/>
              <w:bottom w:val="single" w:sz="8" w:color="004483"/>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4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4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3.80</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459"/>
        </w:trPr>
        <w:tc>
          <w:tcPr>
            <w:tcW w:w="7620" w:type="dxa"/>
            <w:vAlign w:val="bottom"/>
          </w:tcPr>
          <w:p>
            <w:pPr>
              <w:spacing w:after="0"/>
              <w:rPr>
                <w:sz w:val="20"/>
                <w:szCs w:val="20"/>
                <w:color w:val="auto"/>
              </w:rPr>
            </w:pPr>
            <w:r>
              <w:rPr>
                <w:rFonts w:ascii="Arial" w:cs="Arial" w:eastAsia="Arial" w:hAnsi="Arial"/>
                <w:sz w:val="20"/>
                <w:szCs w:val="20"/>
                <w:b w:val="1"/>
                <w:bCs w:val="1"/>
                <w:color w:val="004483"/>
              </w:rPr>
              <w:t>(G) INDEBTEDNESS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620" w:type="dxa"/>
            <w:vAlign w:val="bottom"/>
          </w:tcPr>
          <w:p>
            <w:pPr>
              <w:spacing w:after="0"/>
              <w:rPr>
                <w:sz w:val="20"/>
                <w:szCs w:val="20"/>
                <w:color w:val="auto"/>
              </w:rPr>
            </w:pPr>
            <w:r>
              <w:rPr>
                <w:rFonts w:ascii="Arial" w:cs="Arial" w:eastAsia="Arial" w:hAnsi="Arial"/>
                <w:sz w:val="18"/>
                <w:szCs w:val="18"/>
                <w:color w:val="auto"/>
              </w:rPr>
              <w:t>Long-term debt at March 31, 2023 consists of the following:</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1780" w:type="dxa"/>
            <w:vAlign w:val="bottom"/>
            <w:gridSpan w:val="4"/>
            <w:shd w:val="clear" w:color="auto" w:fill="004483"/>
          </w:tcPr>
          <w:p>
            <w:pPr>
              <w:jc w:val="center"/>
              <w:ind w:left="704"/>
              <w:spacing w:after="0"/>
              <w:rPr>
                <w:sz w:val="20"/>
                <w:szCs w:val="20"/>
                <w:color w:val="auto"/>
              </w:rPr>
            </w:pPr>
            <w:r>
              <w:rPr>
                <w:rFonts w:ascii="Arial" w:cs="Arial" w:eastAsia="Arial" w:hAnsi="Arial"/>
                <w:sz w:val="13"/>
                <w:szCs w:val="13"/>
                <w:b w:val="1"/>
                <w:bCs w:val="1"/>
                <w:color w:val="FFFFFF"/>
                <w:w w:val="95"/>
              </w:rPr>
              <w:t>As of March 31,</w:t>
            </w:r>
          </w:p>
        </w:tc>
        <w:tc>
          <w:tcPr>
            <w:tcW w:w="12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80" w:type="dxa"/>
            <w:vAlign w:val="bottom"/>
            <w:gridSpan w:val="7"/>
          </w:tcPr>
          <w:p>
            <w:pPr>
              <w:jc w:val="center"/>
              <w:ind w:right="620"/>
              <w:spacing w:after="0"/>
              <w:rPr>
                <w:sz w:val="20"/>
                <w:szCs w:val="20"/>
                <w:color w:val="auto"/>
              </w:rPr>
            </w:pPr>
            <w:r>
              <w:rPr>
                <w:rFonts w:ascii="Arial" w:cs="Arial" w:eastAsia="Arial" w:hAnsi="Arial"/>
                <w:sz w:val="13"/>
                <w:szCs w:val="13"/>
                <w:color w:val="auto"/>
                <w:w w:val="96"/>
              </w:rPr>
              <w:t>(dollars in thousands)</w:t>
            </w:r>
          </w:p>
        </w:tc>
        <w:tc>
          <w:tcPr>
            <w:tcW w:w="0" w:type="dxa"/>
            <w:vAlign w:val="bottom"/>
          </w:tcPr>
          <w:p>
            <w:pPr>
              <w:spacing w:after="0"/>
              <w:rPr>
                <w:sz w:val="1"/>
                <w:szCs w:val="1"/>
                <w:color w:val="auto"/>
              </w:rPr>
            </w:pPr>
          </w:p>
        </w:tc>
      </w:tr>
      <w:tr>
        <w:trPr>
          <w:trHeight w:val="216"/>
        </w:trPr>
        <w:tc>
          <w:tcPr>
            <w:tcW w:w="76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Revolving Credit Facility</w:t>
            </w:r>
          </w:p>
        </w:tc>
        <w:tc>
          <w:tcPr>
            <w:tcW w:w="460" w:type="dxa"/>
            <w:vAlign w:val="bottom"/>
            <w:tcBorders>
              <w:top w:val="single" w:sz="8" w:color="004483"/>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004483"/>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157,000</w:t>
            </w:r>
          </w:p>
        </w:tc>
        <w:tc>
          <w:tcPr>
            <w:tcW w:w="540" w:type="dxa"/>
            <w:vAlign w:val="bottom"/>
            <w:tcBorders>
              <w:top w:val="single" w:sz="8" w:color="004483"/>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Borders>
              <w:top w:val="single" w:sz="8" w:color="004483"/>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2.500% Senior Unsecured Notes Due 2031</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750,000</w:t>
            </w:r>
          </w:p>
        </w:tc>
        <w:tc>
          <w:tcPr>
            <w:tcW w:w="2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4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6"/>
                <w:szCs w:val="16"/>
                <w:b w:val="1"/>
                <w:bCs w:val="1"/>
                <w:color w:val="004483"/>
              </w:rPr>
              <w:t>Term Loan</w:t>
            </w:r>
          </w:p>
        </w:tc>
        <w:tc>
          <w:tcPr>
            <w:tcW w:w="460" w:type="dxa"/>
            <w:vAlign w:val="bottom"/>
          </w:tcPr>
          <w:p>
            <w:pPr>
              <w:spacing w:after="0"/>
              <w:rPr>
                <w:sz w:val="20"/>
                <w:szCs w:val="20"/>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6"/>
                <w:szCs w:val="16"/>
                <w:color w:val="auto"/>
              </w:rPr>
              <w:t>192,500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004483"/>
              </w:rPr>
              <w:t>Total Debt</w:t>
            </w:r>
          </w:p>
        </w:tc>
        <w:tc>
          <w:tcPr>
            <w:tcW w:w="46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1,099,500</w:t>
            </w:r>
          </w:p>
        </w:tc>
        <w:tc>
          <w:tcPr>
            <w:tcW w:w="22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950,000</w:t>
            </w:r>
          </w:p>
        </w:tc>
        <w:tc>
          <w:tcPr>
            <w:tcW w:w="140" w:type="dxa"/>
            <w:vAlign w:val="bottom"/>
            <w:tcBorders>
              <w:top w:val="single" w:sz="8" w:color="004483"/>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b w:val="1"/>
                <w:bCs w:val="1"/>
                <w:color w:val="004483"/>
              </w:rPr>
              <w:t>Less: Current Portion of Long-term Debt</w:t>
            </w:r>
          </w:p>
        </w:tc>
        <w:tc>
          <w:tcPr>
            <w:tcW w:w="4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(10,000 )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Less: Unamortized Discount and Debt Issuance Costs</w:t>
            </w:r>
          </w:p>
        </w:tc>
        <w:tc>
          <w:tcPr>
            <w:tcW w:w="460" w:type="dxa"/>
            <w:vAlign w:val="bottom"/>
            <w:tcBorders>
              <w:top w:val="single" w:sz="8" w:color="A6A6A6"/>
              <w:bottom w:val="single" w:sz="8" w:color="004483"/>
            </w:tcBorders>
          </w:tcPr>
          <w:p>
            <w:pPr>
              <w:spacing w:after="0"/>
              <w:rPr>
                <w:sz w:val="20"/>
                <w:szCs w:val="20"/>
                <w:color w:val="auto"/>
              </w:rPr>
            </w:pPr>
          </w:p>
        </w:tc>
        <w:tc>
          <w:tcPr>
            <w:tcW w:w="1240" w:type="dxa"/>
            <w:vAlign w:val="bottom"/>
            <w:tcBorders>
              <w:top w:val="single" w:sz="8" w:color="A6A6A6"/>
              <w:bottom w:val="single" w:sz="8" w:color="004483"/>
            </w:tcBorders>
            <w:gridSpan w:val="2"/>
          </w:tcPr>
          <w:p>
            <w:pPr>
              <w:jc w:val="right"/>
              <w:spacing w:after="0"/>
              <w:rPr>
                <w:sz w:val="20"/>
                <w:szCs w:val="20"/>
                <w:color w:val="auto"/>
              </w:rPr>
            </w:pPr>
            <w:r>
              <w:rPr>
                <w:rFonts w:ascii="Arial" w:cs="Arial" w:eastAsia="Arial" w:hAnsi="Arial"/>
                <w:sz w:val="16"/>
                <w:szCs w:val="16"/>
                <w:color w:val="auto"/>
              </w:rPr>
              <w:t>(10,468 )</w:t>
            </w:r>
          </w:p>
        </w:tc>
        <w:tc>
          <w:tcPr>
            <w:tcW w:w="220" w:type="dxa"/>
            <w:vAlign w:val="bottom"/>
            <w:tcBorders>
              <w:top w:val="single" w:sz="8" w:color="A6A6A6"/>
              <w:bottom w:val="single" w:sz="8" w:color="A6A6A6"/>
            </w:tcBorders>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1380" w:type="dxa"/>
            <w:vAlign w:val="bottom"/>
            <w:tcBorders>
              <w:top w:val="single" w:sz="8" w:color="A6A6A6"/>
              <w:bottom w:val="single" w:sz="8" w:color="004483"/>
            </w:tcBorders>
            <w:gridSpan w:val="2"/>
          </w:tcPr>
          <w:p>
            <w:pPr>
              <w:jc w:val="right"/>
              <w:spacing w:after="0"/>
              <w:rPr>
                <w:sz w:val="20"/>
                <w:szCs w:val="20"/>
                <w:color w:val="auto"/>
              </w:rPr>
            </w:pPr>
            <w:r>
              <w:rPr>
                <w:rFonts w:ascii="Arial" w:cs="Arial" w:eastAsia="Arial" w:hAnsi="Arial"/>
                <w:sz w:val="16"/>
                <w:szCs w:val="16"/>
                <w:color w:val="auto"/>
              </w:rPr>
              <w:t>(11,735 )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0"/>
              <w:spacing w:after="0"/>
              <w:rPr>
                <w:sz w:val="20"/>
                <w:szCs w:val="20"/>
                <w:color w:val="auto"/>
              </w:rPr>
            </w:pPr>
            <w:r>
              <w:rPr>
                <w:rFonts w:ascii="Arial" w:cs="Arial" w:eastAsia="Arial" w:hAnsi="Arial"/>
                <w:sz w:val="16"/>
                <w:szCs w:val="16"/>
                <w:b w:val="1"/>
                <w:bCs w:val="1"/>
                <w:color w:val="auto"/>
              </w:rPr>
              <w:t>Long-term Debt</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gridSpan w:val="2"/>
          </w:tcPr>
          <w:p>
            <w:pPr>
              <w:jc w:val="right"/>
              <w:ind w:right="59"/>
              <w:spacing w:after="0"/>
              <w:rPr>
                <w:sz w:val="20"/>
                <w:szCs w:val="20"/>
                <w:color w:val="auto"/>
              </w:rPr>
            </w:pPr>
            <w:r>
              <w:rPr>
                <w:rFonts w:ascii="Arial" w:cs="Arial" w:eastAsia="Arial" w:hAnsi="Arial"/>
                <w:sz w:val="16"/>
                <w:szCs w:val="16"/>
                <w:b w:val="1"/>
                <w:bCs w:val="1"/>
                <w:color w:val="auto"/>
              </w:rPr>
              <w:t>1,079,032</w:t>
            </w:r>
          </w:p>
        </w:tc>
        <w:tc>
          <w:tcPr>
            <w:tcW w:w="220" w:type="dxa"/>
            <w:vAlign w:val="bottom"/>
          </w:tcPr>
          <w:p>
            <w:pPr>
              <w:spacing w:after="0"/>
              <w:rPr>
                <w:sz w:val="18"/>
                <w:szCs w:val="18"/>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938,265</w:t>
            </w:r>
          </w:p>
        </w:tc>
        <w:tc>
          <w:tcPr>
            <w:tcW w:w="140" w:type="dxa"/>
            <w:vAlign w:val="bottom"/>
            <w:tcBorders>
              <w:bottom w:val="single" w:sz="8" w:color="004483"/>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weighted-average interest rate of borrowings under our Revolving Credit Facility during fiscal years 2023, 2022, and 2021 was approximately 3.7%, 1.5%, and 2.8%, respectively. The weighted-average interest rate on our Term Loan was approximately 4.4% during fiscal 2023. The interest rate on the Revolving Credit Facility and Term Loan was approximately 6.0% and 1.7% at March 31, 2023 and 2022,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Revolving Credit Facility</w:t>
      </w:r>
    </w:p>
    <w:p>
      <w:pPr>
        <w:spacing w:after="0" w:line="109"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We have an unsecured $750.0 million revolving credit facility that was amended on May 5, 2022 (such facility, as amended, the Revolving Credit Facility). The Revolving Credit Facility includes a separate $200.0 million term loan facility (the Term Loan) and also provides the Company the option to increase the borrowing capacity by up to $375.0 million (for a total borrowing capacity of $1,125.0 million, excluding the Term Loan), provided that the existing lenders, or new lenders, agree to such increase. The Revolving Credit Facility includes a $40.0 million letter of credit facility and a swingline loan sub-facility of $25.0 million, and expires on May 5, 2027.</w:t>
      </w:r>
    </w:p>
    <w:p>
      <w:pPr>
        <w:spacing w:after="0" w:line="8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8"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defined in the Revolving Credit Facility) equal to or greater than 2.50 to 1.00 (collectively, the Financial Covenants).</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At the Company’s option, principal amounts outstanding under the Revolving Credit Facility bear interest at a variable rate equal to either (i) the Adjusted LIBO Rate (as defined in the Revolving Credit Facility) plus an agreed spread (ranging from 100 to 162.5 basis points, which is established based on the Company's credit rating); or (ii)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LIBO Rate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pays each lender a participation fee with respect to such lender’s participation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86"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There was $157.0 million of outstanding borrowings under the Revolving Credit Facility, plus $6.4 million of outstanding letters of credit as of March 31, 2023, leaving us with $586.6 million of available borrowings under the Revolving Credit Facility, net of outstanding letters of credit. We were in compliance with all covenants at March 31, 2023; therefore, all $586.6 million is available for future borrowings.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Term Loan</w:t>
      </w:r>
    </w:p>
    <w:p>
      <w:pPr>
        <w:spacing w:after="0" w:line="10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u w:val="single" w:color="auto"/>
          <w:color w:val="004483"/>
        </w:rPr>
        <w:t>2.500% Senior Unsecured Notes Due 2031</w:t>
      </w:r>
    </w:p>
    <w:p>
      <w:pPr>
        <w:spacing w:after="0" w:line="1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the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maturities of long-term debt during the next five fiscal years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18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Fiscal Year</w:t>
            </w:r>
          </w:p>
        </w:tc>
        <w:tc>
          <w:tcPr>
            <w:tcW w:w="66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216"/>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2024</w:t>
            </w:r>
          </w:p>
        </w:tc>
        <w:tc>
          <w:tcPr>
            <w:tcW w:w="66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2025</w:t>
            </w:r>
          </w:p>
        </w:tc>
        <w:tc>
          <w:tcPr>
            <w:tcW w:w="66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2026</w:t>
            </w:r>
          </w:p>
        </w:tc>
        <w:tc>
          <w:tcPr>
            <w:tcW w:w="66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2027</w:t>
            </w:r>
          </w:p>
        </w:tc>
        <w:tc>
          <w:tcPr>
            <w:tcW w:w="66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2028</w:t>
            </w:r>
          </w:p>
        </w:tc>
        <w:tc>
          <w:tcPr>
            <w:tcW w:w="66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309,500</w:t>
            </w:r>
          </w:p>
        </w:tc>
      </w:tr>
      <w:tr>
        <w:trPr>
          <w:trHeight w:val="237"/>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Thereafter</w:t>
            </w:r>
          </w:p>
        </w:tc>
        <w:tc>
          <w:tcPr>
            <w:tcW w:w="660" w:type="dxa"/>
            <w:vAlign w:val="bottom"/>
            <w:tcBorders>
              <w:bottom w:val="single" w:sz="8" w:color="17385E"/>
            </w:tcBorders>
          </w:tcPr>
          <w:p>
            <w:pPr>
              <w:spacing w:after="0"/>
              <w:rPr>
                <w:sz w:val="20"/>
                <w:szCs w:val="20"/>
                <w:color w:val="auto"/>
              </w:rPr>
            </w:pPr>
          </w:p>
        </w:tc>
        <w:tc>
          <w:tcPr>
            <w:tcW w:w="1260" w:type="dxa"/>
            <w:vAlign w:val="bottom"/>
            <w:tcBorders>
              <w:bottom w:val="single" w:sz="8" w:color="17385E"/>
            </w:tcBorders>
          </w:tcPr>
          <w:p>
            <w:pPr>
              <w:jc w:val="right"/>
              <w:spacing w:after="0"/>
              <w:rPr>
                <w:sz w:val="20"/>
                <w:szCs w:val="20"/>
                <w:color w:val="auto"/>
              </w:rPr>
            </w:pPr>
            <w:r>
              <w:rPr>
                <w:rFonts w:ascii="Arial" w:cs="Arial" w:eastAsia="Arial" w:hAnsi="Arial"/>
                <w:sz w:val="16"/>
                <w:szCs w:val="16"/>
                <w:color w:val="auto"/>
              </w:rPr>
              <w:t>750,000</w:t>
            </w:r>
          </w:p>
        </w:tc>
      </w:tr>
      <w:tr>
        <w:trPr>
          <w:trHeight w:val="210"/>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1,099,500</w:t>
            </w:r>
          </w:p>
        </w:tc>
      </w:tr>
      <w:tr>
        <w:trPr>
          <w:trHeight w:val="20"/>
        </w:trPr>
        <w:tc>
          <w:tcPr>
            <w:tcW w:w="918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Retirement of Debt</w:t>
      </w:r>
    </w:p>
    <w:p>
      <w:pPr>
        <w:spacing w:after="0" w:line="10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connection with the issuance of the 2.500% Senior Unsecured notes, on July 1, 2021, we repaid all outstanding amounts under and terminated our $665.0 million term loan credit agreement (the Term Loan Facility). The Term Loan Facility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$ 8.4 million. In connection with the termination and repayment of the Term Loan Facility and the redemption of the 4.500% Senior Unsecured Notes, we expensed approximately $6.1 million of related debt issuance costs in July 2021.</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color w:val="004483"/>
        </w:rPr>
        <w:t>(H) FAIR VALUE OF FINANCIAL INSTRUMENTS</w:t>
      </w:r>
    </w:p>
    <w:p>
      <w:pPr>
        <w:spacing w:after="0" w:line="109"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The fair value of our senior notes has been estimated based upon our current incremental borrowing rates for similar types of borrowing arrangements. The fair value of our Senior Unsecured Notes at March 31, 2023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00" w:type="dxa"/>
            <w:vAlign w:val="bottom"/>
          </w:tcPr>
          <w:p>
            <w:pPr>
              <w:jc w:val="right"/>
              <w:ind w:right="91"/>
              <w:spacing w:after="0"/>
              <w:rPr>
                <w:sz w:val="20"/>
                <w:szCs w:val="20"/>
                <w:color w:val="auto"/>
              </w:rPr>
            </w:pPr>
            <w:r>
              <w:rPr>
                <w:rFonts w:ascii="Arial" w:cs="Arial" w:eastAsia="Arial" w:hAnsi="Arial"/>
                <w:sz w:val="13"/>
                <w:szCs w:val="13"/>
                <w:b w:val="1"/>
                <w:bCs w:val="1"/>
                <w:color w:val="auto"/>
              </w:rPr>
              <w:t>Fair Value</w:t>
            </w:r>
          </w:p>
        </w:tc>
      </w:tr>
      <w:tr>
        <w:trPr>
          <w:trHeight w:val="183"/>
        </w:trPr>
        <w:tc>
          <w:tcPr>
            <w:tcW w:w="6180" w:type="dxa"/>
            <w:vAlign w:val="bottom"/>
            <w:tcBorders>
              <w:bottom w:val="single" w:sz="8" w:color="004483"/>
            </w:tcBorders>
          </w:tcPr>
          <w:p>
            <w:pPr>
              <w:spacing w:after="0"/>
              <w:rPr>
                <w:sz w:val="15"/>
                <w:szCs w:val="15"/>
                <w:color w:val="auto"/>
              </w:rPr>
            </w:pPr>
          </w:p>
        </w:tc>
        <w:tc>
          <w:tcPr>
            <w:tcW w:w="3360" w:type="dxa"/>
            <w:vAlign w:val="bottom"/>
            <w:tcBorders>
              <w:bottom w:val="single" w:sz="8" w:color="004483"/>
            </w:tcBorders>
          </w:tcPr>
          <w:p>
            <w:pPr>
              <w:spacing w:after="0"/>
              <w:rPr>
                <w:sz w:val="15"/>
                <w:szCs w:val="15"/>
                <w:color w:val="auto"/>
              </w:rPr>
            </w:pPr>
          </w:p>
        </w:tc>
        <w:tc>
          <w:tcPr>
            <w:tcW w:w="1700" w:type="dxa"/>
            <w:vAlign w:val="bottom"/>
            <w:tcBorders>
              <w:bottom w:val="single" w:sz="8" w:color="004483"/>
            </w:tcBorders>
          </w:tcPr>
          <w:p>
            <w:pPr>
              <w:jc w:val="right"/>
              <w:ind w:right="91"/>
              <w:spacing w:after="0"/>
              <w:rPr>
                <w:sz w:val="20"/>
                <w:szCs w:val="20"/>
                <w:color w:val="auto"/>
              </w:rPr>
            </w:pPr>
            <w:r>
              <w:rPr>
                <w:rFonts w:ascii="Arial" w:cs="Arial" w:eastAsia="Arial" w:hAnsi="Arial"/>
                <w:sz w:val="13"/>
                <w:szCs w:val="13"/>
                <w:color w:val="auto"/>
              </w:rPr>
              <w:t>(dollars in thousands)</w:t>
            </w:r>
          </w:p>
        </w:tc>
      </w:tr>
      <w:tr>
        <w:trPr>
          <w:trHeight w:val="240"/>
        </w:trPr>
        <w:tc>
          <w:tcPr>
            <w:tcW w:w="6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2.500% Senior Unsecured Notes Due 2031</w:t>
            </w:r>
          </w:p>
        </w:tc>
        <w:tc>
          <w:tcPr>
            <w:tcW w:w="33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6A6A6"/>
            </w:tcBorders>
          </w:tcPr>
          <w:p>
            <w:pPr>
              <w:jc w:val="right"/>
              <w:ind w:right="91"/>
              <w:spacing w:after="0"/>
              <w:rPr>
                <w:sz w:val="20"/>
                <w:szCs w:val="20"/>
                <w:color w:val="auto"/>
              </w:rPr>
            </w:pPr>
            <w:r>
              <w:rPr>
                <w:rFonts w:ascii="Arial" w:cs="Arial" w:eastAsia="Arial" w:hAnsi="Arial"/>
                <w:sz w:val="16"/>
                <w:szCs w:val="16"/>
                <w:color w:val="auto"/>
              </w:rPr>
              <w:t>610,000</w:t>
            </w:r>
          </w:p>
        </w:tc>
      </w:tr>
    </w:tbl>
    <w:p>
      <w:pPr>
        <w:spacing w:after="0" w:line="19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estimated fair value of our long-term debt was based on publicly quoted prices of these debt instruments (level 1 input). The carrying values of cash and cash equivalents, accounts and notes receivable, accounts payable, and accrued liabilities approximate their fair values at March 31, 2023, due to the short-term maturities of these assets and liabilities. The fair value of our Revolving Credit Facility and Term Loan also approximates its carrying values at March 31, 2023.</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 BUSINESS SEGMENTS</w:t>
      </w:r>
    </w:p>
    <w:p>
      <w:pPr>
        <w:spacing w:after="0" w:line="1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8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8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over 30 cement distribution terminals, including terminals acquired in the Stockton Acquisition. Our cement companies focus on the U.S. heartland and operate as an integrated network selling product primarily in California, Colorado, Illinois, Indiana, Iowa, Kentucky, Missouri, Nebraska, Nevada, Ohio, Oklahoma, and Texas. We operate 30 readymix concrete batch plants and five aggregates processing plants in markets that are complementary to our cement network.</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3" w:name="page84"/>
    <w:bookmarkEnd w:id="83"/>
    <w:p>
      <w:pPr>
        <w:ind w:right="740"/>
        <w:spacing w:after="0" w:line="260"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6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7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following tables set forth certain financial information relating to our operations by segment. We do not allocate interest or taxes at the segment level, only at the consolidated company level.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360" w:type="dxa"/>
            <w:vAlign w:val="bottom"/>
            <w:shd w:val="clear" w:color="auto" w:fill="004483"/>
          </w:tcPr>
          <w:p>
            <w:pPr>
              <w:spacing w:after="0"/>
              <w:rPr>
                <w:sz w:val="14"/>
                <w:szCs w:val="14"/>
                <w:color w:val="auto"/>
              </w:rPr>
            </w:pPr>
          </w:p>
        </w:tc>
        <w:tc>
          <w:tcPr>
            <w:tcW w:w="1120" w:type="dxa"/>
            <w:vAlign w:val="bottom"/>
            <w:shd w:val="clear" w:color="auto" w:fill="004483"/>
          </w:tcPr>
          <w:p>
            <w:pPr>
              <w:spacing w:after="0"/>
              <w:rPr>
                <w:sz w:val="14"/>
                <w:szCs w:val="14"/>
                <w:color w:val="auto"/>
              </w:rPr>
            </w:pPr>
          </w:p>
        </w:tc>
      </w:t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3"/>
                <w:szCs w:val="13"/>
                <w:b w:val="1"/>
                <w:bCs w:val="1"/>
                <w:color w:val="auto"/>
              </w:rPr>
              <w:t>2021</w:t>
            </w:r>
          </w:p>
        </w:tc>
      </w:tr>
      <w:tr>
        <w:trPr>
          <w:trHeight w:val="183"/>
        </w:trPr>
        <w:tc>
          <w:tcPr>
            <w:tcW w:w="646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36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r>
      <w:tr>
        <w:trPr>
          <w:trHeight w:val="216"/>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3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06"/>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1,074,070</w:t>
            </w:r>
          </w:p>
        </w:tc>
        <w:tc>
          <w:tcPr>
            <w:tcW w:w="600" w:type="dxa"/>
            <w:vAlign w:val="bottom"/>
            <w:tcBorders>
              <w:bottom w:val="single" w:sz="8" w:color="A6A6A6"/>
            </w:tcBorders>
            <w:gridSpan w:val="3"/>
          </w:tcPr>
          <w:p>
            <w:pPr>
              <w:jc w:val="right"/>
              <w:ind w:right="16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1,007,094</w:t>
            </w:r>
          </w:p>
        </w:tc>
        <w:tc>
          <w:tcPr>
            <w:tcW w:w="18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944,556</w:t>
            </w:r>
          </w:p>
        </w:tc>
      </w:tr>
      <w:tr>
        <w:trPr>
          <w:trHeight w:val="210"/>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239,516</w:t>
            </w: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177,122</w:t>
            </w:r>
          </w:p>
        </w:tc>
        <w:tc>
          <w:tcPr>
            <w:tcW w:w="18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168,829</w:t>
            </w:r>
          </w:p>
        </w:tc>
      </w:tr>
      <w:tr>
        <w:trPr>
          <w:trHeight w:val="210"/>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872,471</w:t>
            </w: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692,152</w:t>
            </w:r>
          </w:p>
        </w:tc>
        <w:tc>
          <w:tcPr>
            <w:tcW w:w="18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539,009</w:t>
            </w:r>
          </w:p>
        </w:tc>
      </w:tr>
      <w:tr>
        <w:trPr>
          <w:trHeight w:val="239"/>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color w:val="auto"/>
              </w:rPr>
              <w:t>201,280</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194,054</w:t>
            </w:r>
          </w:p>
        </w:tc>
        <w:tc>
          <w:tcPr>
            <w:tcW w:w="18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163,507</w:t>
            </w:r>
          </w:p>
        </w:tc>
      </w:tr>
      <w:tr>
        <w:trPr>
          <w:trHeight w:val="207"/>
        </w:trPr>
        <w:tc>
          <w:tcPr>
            <w:tcW w:w="646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2,387,337</w:t>
            </w:r>
          </w:p>
        </w:tc>
        <w:tc>
          <w:tcPr>
            <w:tcW w:w="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2,070,422</w:t>
            </w:r>
          </w:p>
        </w:tc>
        <w:tc>
          <w:tcPr>
            <w:tcW w:w="18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1,815,901</w:t>
            </w:r>
          </w:p>
        </w:tc>
      </w:tr>
      <w:tr>
        <w:trPr>
          <w:trHeight w:val="209"/>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Intersegment Revenue</w:t>
            </w:r>
          </w:p>
        </w:tc>
        <w:tc>
          <w:tcPr>
            <w:tcW w:w="3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(125,750 )</w:t>
            </w: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(105,001 )</w:t>
            </w:r>
          </w:p>
        </w:tc>
        <w:tc>
          <w:tcPr>
            <w:tcW w:w="18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(88,068 )</w:t>
            </w:r>
          </w:p>
        </w:tc>
      </w:tr>
      <w:tr>
        <w:trPr>
          <w:trHeight w:val="240"/>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Joint Venture Revenue</w:t>
            </w:r>
          </w:p>
        </w:tc>
        <w:tc>
          <w:tcPr>
            <w:tcW w:w="3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(113,518 )</w:t>
            </w:r>
          </w:p>
        </w:tc>
        <w:tc>
          <w:tcPr>
            <w:tcW w:w="80" w:type="dxa"/>
            <w:vAlign w:val="bottom"/>
            <w:tcBorders>
              <w:bottom w:val="single" w:sz="8" w:color="004483"/>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(103,899 )</w:t>
            </w:r>
          </w:p>
        </w:tc>
        <w:tc>
          <w:tcPr>
            <w:tcW w:w="180" w:type="dxa"/>
            <w:vAlign w:val="bottom"/>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(105,191 )</w:t>
            </w:r>
          </w:p>
        </w:tc>
      </w:tr>
      <w:tr>
        <w:trPr>
          <w:trHeight w:val="209"/>
        </w:trPr>
        <w:tc>
          <w:tcPr>
            <w:tcW w:w="646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b w:val="1"/>
                <w:bCs w:val="1"/>
                <w:color w:val="auto"/>
              </w:rPr>
              <w:t>2,148,069</w:t>
            </w:r>
          </w:p>
        </w:tc>
        <w:tc>
          <w:tcPr>
            <w:tcW w:w="8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004483"/>
            </w:tcBorders>
          </w:tcPr>
          <w:p>
            <w:pPr>
              <w:jc w:val="right"/>
              <w:ind w:right="168"/>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1,861,522</w:t>
            </w:r>
          </w:p>
        </w:tc>
        <w:tc>
          <w:tcPr>
            <w:tcW w:w="180" w:type="dxa"/>
            <w:vAlign w:val="bottom"/>
          </w:tcPr>
          <w:p>
            <w:pPr>
              <w:spacing w:after="0"/>
              <w:rPr>
                <w:sz w:val="18"/>
                <w:szCs w:val="18"/>
                <w:color w:val="auto"/>
              </w:rPr>
            </w:pPr>
          </w:p>
        </w:tc>
        <w:tc>
          <w:tcPr>
            <w:tcW w:w="36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1,622,642</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004483"/>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2"/>
        </w:trPr>
        <w:tc>
          <w:tcPr>
            <w:tcW w:w="646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360" w:type="dxa"/>
            <w:vAlign w:val="bottom"/>
            <w:shd w:val="clear" w:color="auto" w:fill="004483"/>
          </w:tcPr>
          <w:p>
            <w:pPr>
              <w:spacing w:after="0"/>
              <w:rPr>
                <w:sz w:val="14"/>
                <w:szCs w:val="14"/>
                <w:color w:val="auto"/>
              </w:rPr>
            </w:pPr>
          </w:p>
        </w:tc>
        <w:tc>
          <w:tcPr>
            <w:tcW w:w="1120" w:type="dxa"/>
            <w:vAlign w:val="bottom"/>
            <w:shd w:val="clear" w:color="auto" w:fill="004483"/>
          </w:tcPr>
          <w:p>
            <w:pPr>
              <w:spacing w:after="0"/>
              <w:rPr>
                <w:sz w:val="14"/>
                <w:szCs w:val="14"/>
                <w:color w:val="auto"/>
              </w:rPr>
            </w:pPr>
          </w:p>
        </w:tc>
      </w:t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3"/>
                <w:szCs w:val="13"/>
                <w:b w:val="1"/>
                <w:bCs w:val="1"/>
                <w:color w:val="auto"/>
              </w:rPr>
              <w:t>2021</w:t>
            </w:r>
          </w:p>
        </w:tc>
      </w:tr>
      <w:tr>
        <w:trPr>
          <w:trHeight w:val="183"/>
        </w:trPr>
        <w:tc>
          <w:tcPr>
            <w:tcW w:w="646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36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r>
      <w:tr>
        <w:trPr>
          <w:trHeight w:val="216"/>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Intersegment Revenue</w:t>
            </w:r>
          </w:p>
        </w:tc>
        <w:tc>
          <w:tcPr>
            <w:tcW w:w="3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07"/>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60" w:type="dxa"/>
            <w:vAlign w:val="bottom"/>
            <w:tcBorders>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32,915</w:t>
            </w:r>
          </w:p>
        </w:tc>
        <w:tc>
          <w:tcPr>
            <w:tcW w:w="600" w:type="dxa"/>
            <w:vAlign w:val="bottom"/>
            <w:tcBorders>
              <w:bottom w:val="single" w:sz="8" w:color="A6A6A6"/>
            </w:tcBorders>
            <w:gridSpan w:val="3"/>
          </w:tcPr>
          <w:p>
            <w:pPr>
              <w:jc w:val="right"/>
              <w:ind w:right="16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22,915</w:t>
            </w:r>
          </w:p>
        </w:tc>
        <w:tc>
          <w:tcPr>
            <w:tcW w:w="18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20,862</w:t>
            </w:r>
          </w:p>
        </w:tc>
      </w:tr>
      <w:tr>
        <w:trPr>
          <w:trHeight w:val="209"/>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106</w:t>
            </w:r>
          </w:p>
        </w:tc>
      </w:tr>
      <w:tr>
        <w:trPr>
          <w:trHeight w:val="239"/>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color w:val="auto"/>
              </w:rPr>
              <w:t>92,835</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82,086</w:t>
            </w:r>
          </w:p>
        </w:tc>
        <w:tc>
          <w:tcPr>
            <w:tcW w:w="18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67,100</w:t>
            </w:r>
          </w:p>
        </w:tc>
      </w:tr>
      <w:tr>
        <w:trPr>
          <w:trHeight w:val="209"/>
        </w:trPr>
        <w:tc>
          <w:tcPr>
            <w:tcW w:w="6460" w:type="dxa"/>
            <w:vAlign w:val="bottom"/>
          </w:tcPr>
          <w:p>
            <w:pPr>
              <w:spacing w:after="0"/>
              <w:rPr>
                <w:sz w:val="18"/>
                <w:szCs w:val="18"/>
                <w:color w:val="auto"/>
              </w:rPr>
            </w:pPr>
          </w:p>
        </w:tc>
        <w:tc>
          <w:tcPr>
            <w:tcW w:w="360" w:type="dxa"/>
            <w:vAlign w:val="bottom"/>
            <w:tcBorders>
              <w:bottom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b w:val="1"/>
                <w:bCs w:val="1"/>
                <w:color w:val="auto"/>
              </w:rPr>
              <w:t>125,750</w:t>
            </w:r>
          </w:p>
        </w:tc>
        <w:tc>
          <w:tcPr>
            <w:tcW w:w="8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004483"/>
            </w:tcBorders>
          </w:tcPr>
          <w:p>
            <w:pPr>
              <w:jc w:val="right"/>
              <w:ind w:right="168"/>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105,001</w:t>
            </w:r>
          </w:p>
        </w:tc>
        <w:tc>
          <w:tcPr>
            <w:tcW w:w="180" w:type="dxa"/>
            <w:vAlign w:val="bottom"/>
          </w:tcPr>
          <w:p>
            <w:pPr>
              <w:spacing w:after="0"/>
              <w:rPr>
                <w:sz w:val="18"/>
                <w:szCs w:val="18"/>
                <w:color w:val="auto"/>
              </w:rPr>
            </w:pPr>
          </w:p>
        </w:tc>
        <w:tc>
          <w:tcPr>
            <w:tcW w:w="36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88,068</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Cement Sales Volume (M tons)</w:t>
            </w:r>
          </w:p>
        </w:tc>
        <w:tc>
          <w:tcPr>
            <w:tcW w:w="36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r>
      <w:tr>
        <w:trPr>
          <w:trHeight w:val="207"/>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36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6,399</w:t>
            </w:r>
          </w:p>
        </w:tc>
        <w:tc>
          <w:tcPr>
            <w:tcW w:w="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6,711</w:t>
            </w:r>
          </w:p>
        </w:tc>
        <w:tc>
          <w:tcPr>
            <w:tcW w:w="18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6,576</w:t>
            </w:r>
          </w:p>
        </w:tc>
      </w:tr>
      <w:tr>
        <w:trPr>
          <w:trHeight w:val="239"/>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3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color w:val="auto"/>
              </w:rPr>
              <w:t>734</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823</w:t>
            </w:r>
          </w:p>
        </w:tc>
        <w:tc>
          <w:tcPr>
            <w:tcW w:w="18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890</w:t>
            </w:r>
          </w:p>
        </w:tc>
      </w:tr>
      <w:tr>
        <w:trPr>
          <w:trHeight w:val="210"/>
        </w:trPr>
        <w:tc>
          <w:tcPr>
            <w:tcW w:w="6460" w:type="dxa"/>
            <w:vAlign w:val="bottom"/>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b w:val="1"/>
                <w:bCs w:val="1"/>
                <w:color w:val="auto"/>
              </w:rPr>
              <w:t>7,133</w:t>
            </w:r>
          </w:p>
        </w:tc>
        <w:tc>
          <w:tcPr>
            <w:tcW w:w="8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7,534</w:t>
            </w:r>
          </w:p>
        </w:tc>
        <w:tc>
          <w:tcPr>
            <w:tcW w:w="180" w:type="dxa"/>
            <w:vAlign w:val="bottom"/>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7,466</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340" w:type="dxa"/>
            <w:vAlign w:val="bottom"/>
            <w:shd w:val="clear" w:color="auto" w:fill="004483"/>
          </w:tcPr>
          <w:p>
            <w:pPr>
              <w:spacing w:after="0"/>
              <w:rPr>
                <w:sz w:val="14"/>
                <w:szCs w:val="14"/>
                <w:color w:val="auto"/>
              </w:rPr>
            </w:pPr>
          </w:p>
        </w:tc>
        <w:tc>
          <w:tcPr>
            <w:tcW w:w="1120" w:type="dxa"/>
            <w:vAlign w:val="bottom"/>
            <w:shd w:val="clear" w:color="auto" w:fill="004483"/>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81"/>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3"/>
                <w:szCs w:val="13"/>
                <w:b w:val="1"/>
                <w:bCs w:val="1"/>
                <w:color w:val="auto"/>
              </w:rPr>
              <w:t>2021</w:t>
            </w:r>
          </w:p>
        </w:tc>
      </w:tr>
      <w:tr>
        <w:trPr>
          <w:trHeight w:val="183"/>
        </w:trPr>
        <w:tc>
          <w:tcPr>
            <w:tcW w:w="6500" w:type="dxa"/>
            <w:vAlign w:val="bottom"/>
            <w:tcBorders>
              <w:bottom w:val="single" w:sz="8" w:color="004483"/>
            </w:tcBorders>
          </w:tcPr>
          <w:p>
            <w:pPr>
              <w:spacing w:after="0"/>
              <w:rPr>
                <w:sz w:val="15"/>
                <w:szCs w:val="15"/>
                <w:color w:val="auto"/>
              </w:rPr>
            </w:pPr>
          </w:p>
        </w:tc>
        <w:tc>
          <w:tcPr>
            <w:tcW w:w="34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6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spacing w:after="0"/>
              <w:rPr>
                <w:sz w:val="20"/>
                <w:szCs w:val="20"/>
                <w:color w:val="auto"/>
              </w:rPr>
            </w:pPr>
            <w:r>
              <w:rPr>
                <w:rFonts w:ascii="Arial" w:cs="Arial" w:eastAsia="Arial" w:hAnsi="Arial"/>
                <w:sz w:val="13"/>
                <w:szCs w:val="13"/>
                <w:color w:val="auto"/>
              </w:rPr>
              <w:t>(dollars in thousands)</w:t>
            </w:r>
          </w:p>
        </w:tc>
        <w:tc>
          <w:tcPr>
            <w:tcW w:w="34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r>
      <w:tr>
        <w:trPr>
          <w:trHeight w:val="216"/>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Operating Earnings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07"/>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278,762</w:t>
            </w:r>
          </w:p>
        </w:tc>
        <w:tc>
          <w:tcPr>
            <w:tcW w:w="38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259,556</w:t>
            </w: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233,957</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18,259</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18,467</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19,054</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352,499</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261,476</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167,336</w:t>
            </w:r>
          </w:p>
        </w:tc>
      </w:tr>
      <w:tr>
        <w:trPr>
          <w:trHeight w:val="24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25,220</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12,603</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25,449</w:t>
            </w:r>
          </w:p>
        </w:tc>
      </w:tr>
      <w:tr>
        <w:trPr>
          <w:trHeight w:val="207"/>
        </w:trPr>
        <w:tc>
          <w:tcPr>
            <w:tcW w:w="6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Sub-Total</w:t>
            </w:r>
          </w:p>
        </w:tc>
        <w:tc>
          <w:tcPr>
            <w:tcW w:w="3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674,740</w:t>
            </w: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552,102</w:t>
            </w: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445,796</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(53,630 )</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(46,801 )</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(49,511 )</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(8,407 )</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Gain on Sale of Businesses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52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51,973</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 (Loss)</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2,654</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9,073</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20,274</w:t>
            </w:r>
          </w:p>
        </w:tc>
      </w:tr>
      <w:tr>
        <w:trPr>
          <w:trHeight w:val="207"/>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3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623,764</w:t>
            </w: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505,967</w:t>
            </w: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468,532</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(35,171 )</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color w:val="auto"/>
              </w:rPr>
              <w:t>(30,873 )</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(44,420 )</w:t>
            </w:r>
          </w:p>
        </w:tc>
      </w:tr>
      <w:tr>
        <w:trPr>
          <w:trHeight w:val="210"/>
        </w:trPr>
        <w:tc>
          <w:tcPr>
            <w:tcW w:w="6500" w:type="dxa"/>
            <w:vAlign w:val="bottom"/>
          </w:tcPr>
          <w:p>
            <w:pPr>
              <w:ind w:left="200"/>
              <w:spacing w:after="0"/>
              <w:rPr>
                <w:sz w:val="20"/>
                <w:szCs w:val="20"/>
                <w:color w:val="auto"/>
              </w:rPr>
            </w:pPr>
            <w:r>
              <w:rPr>
                <w:rFonts w:ascii="Arial" w:cs="Arial" w:eastAsia="Arial" w:hAnsi="Arial"/>
                <w:sz w:val="16"/>
                <w:szCs w:val="16"/>
                <w:b w:val="1"/>
                <w:bCs w:val="1"/>
                <w:color w:val="004483"/>
              </w:rPr>
              <w:t>Earnings Before Income Taxes</w:t>
            </w: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588,593</w:t>
            </w:r>
          </w:p>
        </w:tc>
        <w:tc>
          <w:tcPr>
            <w:tcW w:w="60" w:type="dxa"/>
            <w:vAlign w:val="bottom"/>
            <w:tcBorders>
              <w:bottom w:val="single" w:sz="8" w:color="004483"/>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475,094</w:t>
            </w:r>
          </w:p>
        </w:tc>
        <w:tc>
          <w:tcPr>
            <w:tcW w:w="18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424,112</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3"/>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Cement Operating Earnings</w:t>
            </w:r>
          </w:p>
        </w:tc>
        <w:tc>
          <w:tcPr>
            <w:tcW w:w="340" w:type="dxa"/>
            <w:vAlign w:val="bottom"/>
            <w:tcBorders>
              <w:bottom w:val="single" w:sz="8" w:color="A6A6A6"/>
            </w:tcBorders>
          </w:tcPr>
          <w:p>
            <w:pPr>
              <w:spacing w:after="0"/>
              <w:rPr>
                <w:sz w:val="16"/>
                <w:szCs w:val="16"/>
                <w:color w:val="auto"/>
              </w:rPr>
            </w:pPr>
          </w:p>
        </w:tc>
        <w:tc>
          <w:tcPr>
            <w:tcW w:w="1040" w:type="dxa"/>
            <w:vAlign w:val="bottom"/>
            <w:tcBorders>
              <w:bottom w:val="single" w:sz="8" w:color="A6A6A6"/>
            </w:tcBorders>
          </w:tcPr>
          <w:p>
            <w:pPr>
              <w:spacing w:after="0"/>
              <w:rPr>
                <w:sz w:val="16"/>
                <w:szCs w:val="16"/>
                <w:color w:val="auto"/>
              </w:rPr>
            </w:pPr>
          </w:p>
        </w:tc>
        <w:tc>
          <w:tcPr>
            <w:tcW w:w="6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34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3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243,288</w:t>
            </w:r>
          </w:p>
        </w:tc>
        <w:tc>
          <w:tcPr>
            <w:tcW w:w="38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227,068</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196,516</w:t>
            </w:r>
          </w:p>
        </w:tc>
      </w:tr>
      <w:tr>
        <w:trPr>
          <w:trHeight w:val="24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35,474</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32,488</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37,441</w:t>
            </w:r>
          </w:p>
        </w:tc>
      </w:tr>
      <w:tr>
        <w:trPr>
          <w:trHeight w:val="209"/>
        </w:trPr>
        <w:tc>
          <w:tcPr>
            <w:tcW w:w="650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278,762</w:t>
            </w:r>
          </w:p>
        </w:tc>
        <w:tc>
          <w:tcPr>
            <w:tcW w:w="60" w:type="dxa"/>
            <w:vAlign w:val="bottom"/>
            <w:tcBorders>
              <w:bottom w:val="single" w:sz="8" w:color="004483"/>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259,556</w:t>
            </w:r>
          </w:p>
        </w:tc>
        <w:tc>
          <w:tcPr>
            <w:tcW w:w="18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233,957</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r>
      <w:tr>
        <w:trPr>
          <w:trHeight w:val="206"/>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39,049</w:t>
            </w:r>
          </w:p>
        </w:tc>
        <w:tc>
          <w:tcPr>
            <w:tcW w:w="38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31,535</w:t>
            </w: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26,708</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35,503</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5,239</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3,114</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31,063</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32,405</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12,889</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2,898</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2,579</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11,222</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1,630</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2,363</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110,143</w:t>
            </w:r>
          </w:p>
        </w:tc>
        <w:tc>
          <w:tcPr>
            <w:tcW w:w="60" w:type="dxa"/>
            <w:vAlign w:val="bottom"/>
            <w:tcBorders>
              <w:bottom w:val="single" w:sz="8" w:color="004483"/>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74,121</w:t>
            </w:r>
          </w:p>
        </w:tc>
        <w:tc>
          <w:tcPr>
            <w:tcW w:w="18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53,933</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197"/>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3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r>
      <w:tr>
        <w:trPr>
          <w:trHeight w:val="206"/>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81,643</w:t>
            </w:r>
          </w:p>
        </w:tc>
        <w:tc>
          <w:tcPr>
            <w:tcW w:w="38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79,560</w:t>
            </w: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77,524</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17,413</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9,656</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10,807</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21,744</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22,024</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21,646</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14,942</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14,721</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13,913</w:t>
            </w:r>
          </w:p>
        </w:tc>
      </w:tr>
      <w:tr>
        <w:trPr>
          <w:trHeight w:val="24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2,812</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2,850</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4,976</w:t>
            </w:r>
          </w:p>
        </w:tc>
      </w:tr>
      <w:tr>
        <w:trPr>
          <w:trHeight w:val="209"/>
        </w:trPr>
        <w:tc>
          <w:tcPr>
            <w:tcW w:w="650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138,554</w:t>
            </w:r>
          </w:p>
        </w:tc>
        <w:tc>
          <w:tcPr>
            <w:tcW w:w="60" w:type="dxa"/>
            <w:vAlign w:val="bottom"/>
            <w:tcBorders>
              <w:bottom w:val="single" w:sz="8" w:color="004483"/>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128,811</w:t>
            </w:r>
          </w:p>
        </w:tc>
        <w:tc>
          <w:tcPr>
            <w:tcW w:w="18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128,866</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210"/>
        </w:trPr>
        <w:tc>
          <w:tcPr>
            <w:tcW w:w="650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10"/>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Discontinued Operations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10"/>
        </w:trPr>
        <w:tc>
          <w:tcPr>
            <w:tcW w:w="6500" w:type="dxa"/>
            <w:vAlign w:val="bottom"/>
          </w:tcPr>
          <w:p>
            <w:pPr>
              <w:ind w:left="200"/>
              <w:spacing w:after="0"/>
              <w:rPr>
                <w:sz w:val="20"/>
                <w:szCs w:val="20"/>
                <w:color w:val="auto"/>
              </w:rPr>
            </w:pPr>
            <w:r>
              <w:rPr>
                <w:rFonts w:ascii="Arial" w:cs="Arial" w:eastAsia="Arial" w:hAnsi="Arial"/>
                <w:sz w:val="16"/>
                <w:szCs w:val="16"/>
                <w:color w:val="004483"/>
              </w:rPr>
              <w:t>Capital Expenditures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40" w:type="dxa"/>
            <w:vAlign w:val="bottom"/>
            <w:tcBorders>
              <w:top w:val="single" w:sz="8" w:color="004483"/>
              <w:bottom w:val="single" w:sz="8" w:color="004483"/>
            </w:tcBorders>
          </w:tcPr>
          <w:p>
            <w:pPr>
              <w:spacing w:after="0" w:line="20" w:lineRule="exact"/>
              <w:rPr>
                <w:sz w:val="1"/>
                <w:szCs w:val="1"/>
                <w:color w:val="auto"/>
              </w:rPr>
            </w:pPr>
          </w:p>
        </w:tc>
        <w:tc>
          <w:tcPr>
            <w:tcW w:w="1040" w:type="dxa"/>
            <w:vAlign w:val="bottom"/>
            <w:tcBorders>
              <w:top w:val="single" w:sz="8" w:color="004483"/>
              <w:bottom w:val="single" w:sz="8" w:color="004483"/>
            </w:tcBorders>
          </w:tcPr>
          <w:p>
            <w:pPr>
              <w:spacing w:after="0" w:line="20" w:lineRule="exact"/>
              <w:rPr>
                <w:sz w:val="1"/>
                <w:szCs w:val="1"/>
                <w:color w:val="auto"/>
              </w:rPr>
            </w:pPr>
          </w:p>
        </w:tc>
        <w:tc>
          <w:tcPr>
            <w:tcW w:w="60" w:type="dxa"/>
            <w:vAlign w:val="bottom"/>
            <w:tcBorders>
              <w:top w:val="single" w:sz="8" w:color="004483"/>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20" w:type="dxa"/>
            <w:vAlign w:val="bottom"/>
            <w:tcBorders>
              <w:top w:val="single" w:sz="8" w:color="004483"/>
              <w:bottom w:val="single" w:sz="8" w:color="004483"/>
            </w:tcBorders>
          </w:tcPr>
          <w:p>
            <w:pPr>
              <w:spacing w:after="0" w:line="20" w:lineRule="exact"/>
              <w:rPr>
                <w:sz w:val="1"/>
                <w:szCs w:val="1"/>
                <w:color w:val="auto"/>
              </w:rPr>
            </w:pPr>
          </w:p>
        </w:tc>
        <w:tc>
          <w:tcPr>
            <w:tcW w:w="134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40" w:type="dxa"/>
            <w:vAlign w:val="bottom"/>
            <w:tcBorders>
              <w:top w:val="single" w:sz="8" w:color="004483"/>
              <w:bottom w:val="single" w:sz="8" w:color="004483"/>
            </w:tcBorders>
          </w:tcPr>
          <w:p>
            <w:pPr>
              <w:spacing w:after="0" w:line="20" w:lineRule="exact"/>
              <w:rPr>
                <w:sz w:val="1"/>
                <w:szCs w:val="1"/>
                <w:color w:val="auto"/>
              </w:rPr>
            </w:pPr>
          </w:p>
        </w:tc>
        <w:tc>
          <w:tcPr>
            <w:tcW w:w="1120" w:type="dxa"/>
            <w:vAlign w:val="bottom"/>
            <w:tcBorders>
              <w:top w:val="single" w:sz="8" w:color="004483"/>
              <w:bottom w:val="single" w:sz="8" w:color="004483"/>
            </w:tcBorders>
          </w:tcPr>
          <w:p>
            <w:pPr>
              <w:spacing w:after="0" w:line="20" w:lineRule="exact"/>
              <w:rPr>
                <w:sz w:val="1"/>
                <w:szCs w:val="1"/>
                <w:color w:val="auto"/>
              </w:rPr>
            </w:pPr>
          </w:p>
        </w:tc>
      </w:tr>
      <w:tr>
        <w:trPr>
          <w:trHeight w:val="196"/>
        </w:trPr>
        <w:tc>
          <w:tcPr>
            <w:tcW w:w="6500" w:type="dxa"/>
            <w:vAlign w:val="bottom"/>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004483"/>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221</w:t>
            </w:r>
          </w:p>
        </w:tc>
      </w:tr>
      <w:tr>
        <w:trPr>
          <w:trHeight w:val="20"/>
        </w:trPr>
        <w:tc>
          <w:tcPr>
            <w:tcW w:w="65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r>
        <w:trPr>
          <w:trHeight w:val="224"/>
        </w:trPr>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62"/>
        </w:trPr>
        <w:tc>
          <w:tcPr>
            <w:tcW w:w="650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60" w:type="dxa"/>
            <w:vAlign w:val="bottom"/>
            <w:shd w:val="clear" w:color="auto" w:fill="004483"/>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520" w:type="dxa"/>
            <w:vAlign w:val="bottom"/>
            <w:gridSpan w:val="2"/>
            <w:shd w:val="clear" w:color="auto" w:fill="004483"/>
          </w:tcPr>
          <w:p>
            <w:pPr>
              <w:jc w:val="center"/>
              <w:ind w:right="440"/>
              <w:spacing w:after="0"/>
              <w:rPr>
                <w:sz w:val="20"/>
                <w:szCs w:val="20"/>
                <w:color w:val="auto"/>
              </w:rPr>
            </w:pPr>
            <w:r>
              <w:rPr>
                <w:rFonts w:ascii="Arial" w:cs="Arial" w:eastAsia="Arial" w:hAnsi="Arial"/>
                <w:sz w:val="13"/>
                <w:szCs w:val="13"/>
                <w:b w:val="1"/>
                <w:bCs w:val="1"/>
                <w:color w:val="FFFFFF"/>
                <w:w w:val="99"/>
              </w:rPr>
              <w:t>March 31,</w:t>
            </w:r>
          </w:p>
        </w:tc>
        <w:tc>
          <w:tcPr>
            <w:tcW w:w="340" w:type="dxa"/>
            <w:vAlign w:val="bottom"/>
            <w:shd w:val="clear" w:color="auto" w:fill="004483"/>
          </w:tcPr>
          <w:p>
            <w:pPr>
              <w:spacing w:after="0"/>
              <w:rPr>
                <w:sz w:val="14"/>
                <w:szCs w:val="14"/>
                <w:color w:val="auto"/>
              </w:rPr>
            </w:pPr>
          </w:p>
        </w:tc>
        <w:tc>
          <w:tcPr>
            <w:tcW w:w="1120" w:type="dxa"/>
            <w:vAlign w:val="bottom"/>
            <w:shd w:val="clear" w:color="auto" w:fill="004483"/>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81"/>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3"/>
                <w:szCs w:val="13"/>
                <w:b w:val="1"/>
                <w:bCs w:val="1"/>
                <w:color w:val="auto"/>
              </w:rPr>
              <w:t>2021</w:t>
            </w:r>
          </w:p>
        </w:tc>
      </w:tr>
      <w:tr>
        <w:trPr>
          <w:trHeight w:val="183"/>
        </w:trPr>
        <w:tc>
          <w:tcPr>
            <w:tcW w:w="6500" w:type="dxa"/>
            <w:vAlign w:val="bottom"/>
            <w:tcBorders>
              <w:bottom w:val="single" w:sz="8" w:color="004483"/>
            </w:tcBorders>
          </w:tcPr>
          <w:p>
            <w:pPr>
              <w:spacing w:after="0"/>
              <w:rPr>
                <w:sz w:val="15"/>
                <w:szCs w:val="15"/>
                <w:color w:val="auto"/>
              </w:rPr>
            </w:pPr>
          </w:p>
        </w:tc>
        <w:tc>
          <w:tcPr>
            <w:tcW w:w="34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6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640" w:type="dxa"/>
            <w:vAlign w:val="bottom"/>
            <w:tcBorders>
              <w:bottom w:val="single" w:sz="8" w:color="004483"/>
            </w:tcBorders>
            <w:gridSpan w:val="3"/>
          </w:tcPr>
          <w:p>
            <w:pPr>
              <w:jc w:val="center"/>
              <w:ind w:right="320"/>
              <w:spacing w:after="0"/>
              <w:rPr>
                <w:sz w:val="20"/>
                <w:szCs w:val="20"/>
                <w:color w:val="auto"/>
              </w:rPr>
            </w:pPr>
            <w:r>
              <w:rPr>
                <w:rFonts w:ascii="Arial" w:cs="Arial" w:eastAsia="Arial" w:hAnsi="Arial"/>
                <w:sz w:val="13"/>
                <w:szCs w:val="13"/>
                <w:color w:val="auto"/>
                <w:w w:val="96"/>
              </w:rPr>
              <w:t>(dollars in thousands)</w:t>
            </w:r>
          </w:p>
        </w:tc>
        <w:tc>
          <w:tcPr>
            <w:tcW w:w="34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r>
      <w:tr>
        <w:trPr>
          <w:trHeight w:val="216"/>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Segment Assets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r>
      <w:tr>
        <w:trPr>
          <w:trHeight w:val="207"/>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3983C5"/>
              </w:rPr>
              <w:t>Cement</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1,905,227</w:t>
            </w:r>
          </w:p>
        </w:tc>
        <w:tc>
          <w:tcPr>
            <w:tcW w:w="38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1,860,649</w:t>
            </w:r>
          </w:p>
        </w:tc>
        <w:tc>
          <w:tcPr>
            <w:tcW w:w="18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1,898,930</w:t>
            </w:r>
          </w:p>
        </w:tc>
      </w:tr>
      <w:tr>
        <w:trPr>
          <w:trHeight w:val="20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AAC6"/>
              </w:rPr>
              <w:t>Concrete and Aggregates</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234,767</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89,405</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88,410</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77943C"/>
              </w:rPr>
              <w:t>Gypsum Wallboard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421,425</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397,486</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366,352</w:t>
            </w:r>
          </w:p>
        </w:tc>
      </w:tr>
      <w:tr>
        <w:trPr>
          <w:trHeight w:val="210"/>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EB949"/>
              </w:rPr>
              <w:t>Paperboard</w:t>
            </w:r>
          </w:p>
        </w:tc>
        <w:tc>
          <w:tcPr>
            <w:tcW w:w="3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163,797</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ind w:right="81"/>
              <w:spacing w:after="0"/>
              <w:rPr>
                <w:sz w:val="20"/>
                <w:szCs w:val="20"/>
                <w:color w:val="auto"/>
              </w:rPr>
            </w:pPr>
            <w:r>
              <w:rPr>
                <w:rFonts w:ascii="Arial" w:cs="Arial" w:eastAsia="Arial" w:hAnsi="Arial"/>
                <w:sz w:val="16"/>
                <w:szCs w:val="16"/>
                <w:color w:val="auto"/>
              </w:rPr>
              <w:t>180,025</w:t>
            </w:r>
          </w:p>
        </w:tc>
        <w:tc>
          <w:tcPr>
            <w:tcW w:w="18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186,156</w:t>
            </w:r>
          </w:p>
        </w:tc>
      </w:tr>
      <w:tr>
        <w:trPr>
          <w:trHeight w:val="239"/>
        </w:trPr>
        <w:tc>
          <w:tcPr>
            <w:tcW w:w="6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Corporate and Other, net</w:t>
            </w:r>
          </w:p>
        </w:tc>
        <w:tc>
          <w:tcPr>
            <w:tcW w:w="3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55,786</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color w:val="auto"/>
              </w:rPr>
              <w:t>52,087</w:t>
            </w:r>
          </w:p>
        </w:tc>
        <w:tc>
          <w:tcPr>
            <w:tcW w:w="180" w:type="dxa"/>
            <w:vAlign w:val="bottom"/>
            <w:tcBorders>
              <w:bottom w:val="single" w:sz="8" w:color="A6A6A6"/>
            </w:tcBorders>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color w:val="auto"/>
              </w:rPr>
              <w:t>298,833</w:t>
            </w: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2,781,002</w:t>
            </w:r>
          </w:p>
        </w:tc>
        <w:tc>
          <w:tcPr>
            <w:tcW w:w="60" w:type="dxa"/>
            <w:vAlign w:val="bottom"/>
            <w:tcBorders>
              <w:bottom w:val="single" w:sz="8" w:color="004483"/>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ind w:right="81"/>
              <w:spacing w:after="0"/>
              <w:rPr>
                <w:sz w:val="20"/>
                <w:szCs w:val="20"/>
                <w:color w:val="auto"/>
              </w:rPr>
            </w:pPr>
            <w:r>
              <w:rPr>
                <w:rFonts w:ascii="Arial" w:cs="Arial" w:eastAsia="Arial" w:hAnsi="Arial"/>
                <w:sz w:val="16"/>
                <w:szCs w:val="16"/>
                <w:b w:val="1"/>
                <w:bCs w:val="1"/>
                <w:color w:val="auto"/>
              </w:rPr>
              <w:t>2,579,652</w:t>
            </w:r>
          </w:p>
        </w:tc>
        <w:tc>
          <w:tcPr>
            <w:tcW w:w="180" w:type="dxa"/>
            <w:vAlign w:val="bottom"/>
          </w:tcPr>
          <w:p>
            <w:pPr>
              <w:spacing w:after="0"/>
              <w:rPr>
                <w:sz w:val="18"/>
                <w:szCs w:val="18"/>
                <w:color w:val="auto"/>
              </w:rPr>
            </w:pP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2,838,681</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85" w:name="page86"/>
    <w:bookmarkEnd w:id="85"/>
    <w:p>
      <w:pPr>
        <w:ind w:right="440"/>
        <w:spacing w:after="0" w:line="241"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don’t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8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2023 and 2022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320" w:type="dxa"/>
            <w:vAlign w:val="bottom"/>
            <w:gridSpan w:val="3"/>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Years Ended March 31,</w:t>
            </w:r>
          </w:p>
        </w:tc>
        <w:tc>
          <w:tcPr>
            <w:tcW w:w="860" w:type="dxa"/>
            <w:vAlign w:val="bottom"/>
            <w:shd w:val="clear" w:color="auto" w:fill="004483"/>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82"/>
              <w:spacing w:after="0"/>
              <w:rPr>
                <w:sz w:val="20"/>
                <w:szCs w:val="20"/>
                <w:color w:val="auto"/>
              </w:rPr>
            </w:pPr>
            <w:r>
              <w:rPr>
                <w:rFonts w:ascii="Arial" w:cs="Arial" w:eastAsia="Arial" w:hAnsi="Arial"/>
                <w:sz w:val="13"/>
                <w:szCs w:val="13"/>
                <w:b w:val="1"/>
                <w:bCs w:val="1"/>
                <w:color w:val="auto"/>
              </w:rPr>
              <w:t>2022</w:t>
            </w:r>
          </w:p>
        </w:tc>
      </w:tr>
      <w:tr>
        <w:trPr>
          <w:trHeight w:val="183"/>
        </w:trPr>
        <w:tc>
          <w:tcPr>
            <w:tcW w:w="760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gridSpan w:val="3"/>
          </w:tcPr>
          <w:p>
            <w:pPr>
              <w:jc w:val="right"/>
              <w:ind w:right="35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r>
      <w:tr>
        <w:trPr>
          <w:trHeight w:val="213"/>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Cement</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215,781</w:t>
            </w:r>
          </w:p>
        </w:tc>
        <w:tc>
          <w:tcPr>
            <w:tcW w:w="1080" w:type="dxa"/>
            <w:vAlign w:val="bottom"/>
            <w:tcBorders>
              <w:bottom w:val="single" w:sz="8" w:color="A6A6A6"/>
            </w:tcBorders>
            <w:gridSpan w:val="2"/>
          </w:tcPr>
          <w:p>
            <w:pPr>
              <w:jc w:val="right"/>
              <w:ind w:right="6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203,342</w:t>
            </w:r>
          </w:p>
        </w:tc>
      </w:tr>
      <w:tr>
        <w:trPr>
          <w:trHeight w:val="21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AAC6"/>
              </w:rPr>
              <w:t>Concrete and Aggregates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40,774</w:t>
            </w:r>
          </w:p>
        </w:tc>
        <w:tc>
          <w:tcPr>
            <w:tcW w:w="22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1,639</w:t>
            </w:r>
          </w:p>
        </w:tc>
      </w:tr>
      <w:tr>
        <w:trPr>
          <w:trHeight w:val="210"/>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77943C"/>
              </w:rPr>
              <w:t>Gypsum Wallboard</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116,618</w:t>
            </w:r>
          </w:p>
        </w:tc>
        <w:tc>
          <w:tcPr>
            <w:tcW w:w="22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116,618</w:t>
            </w:r>
          </w:p>
        </w:tc>
      </w:tr>
      <w:tr>
        <w:trPr>
          <w:trHeight w:val="23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AEB949"/>
              </w:rPr>
              <w:t>Paperboard</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color w:val="auto"/>
              </w:rPr>
              <w:t>7,538</w:t>
            </w:r>
          </w:p>
        </w:tc>
        <w:tc>
          <w:tcPr>
            <w:tcW w:w="220" w:type="dxa"/>
            <w:vAlign w:val="bottom"/>
            <w:tcBorders>
              <w:bottom w:val="single" w:sz="8" w:color="A6A6A6"/>
            </w:tcBorders>
          </w:tcPr>
          <w:p>
            <w:pPr>
              <w:spacing w:after="0"/>
              <w:rPr>
                <w:sz w:val="20"/>
                <w:szCs w:val="20"/>
                <w:color w:val="auto"/>
              </w:rPr>
            </w:pPr>
          </w:p>
        </w:tc>
        <w:tc>
          <w:tcPr>
            <w:tcW w:w="86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color w:val="auto"/>
              </w:rPr>
              <w:t>7,538</w:t>
            </w:r>
          </w:p>
        </w:tc>
      </w:tr>
      <w:tr>
        <w:trPr>
          <w:trHeight w:val="210"/>
        </w:trPr>
        <w:tc>
          <w:tcPr>
            <w:tcW w:w="760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b w:val="1"/>
                <w:bCs w:val="1"/>
                <w:color w:val="auto"/>
              </w:rPr>
              <w:t>380,711</w:t>
            </w:r>
          </w:p>
        </w:tc>
        <w:tc>
          <w:tcPr>
            <w:tcW w:w="220" w:type="dxa"/>
            <w:vAlign w:val="bottom"/>
          </w:tcPr>
          <w:p>
            <w:pPr>
              <w:spacing w:after="0"/>
              <w:rPr>
                <w:sz w:val="18"/>
                <w:szCs w:val="18"/>
                <w:color w:val="auto"/>
              </w:rPr>
            </w:pPr>
          </w:p>
        </w:tc>
        <w:tc>
          <w:tcPr>
            <w:tcW w:w="860" w:type="dxa"/>
            <w:vAlign w:val="bottom"/>
            <w:tcBorders>
              <w:bottom w:val="single" w:sz="8" w:color="004483"/>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b w:val="1"/>
                <w:bCs w:val="1"/>
                <w:color w:val="auto"/>
              </w:rPr>
              <w:t>329,137</w:t>
            </w:r>
          </w:p>
        </w:tc>
      </w:tr>
      <w:tr>
        <w:trPr>
          <w:trHeight w:val="20"/>
        </w:trPr>
        <w:tc>
          <w:tcPr>
            <w:tcW w:w="760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r>
    </w:tbl>
    <w:p>
      <w:pPr>
        <w:spacing w:after="0" w:line="95"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The summarized financial information includes the total amount of the Joint Venture and not our 50% interest in those amounts: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2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2320" w:type="dxa"/>
            <w:vAlign w:val="bottom"/>
            <w:gridSpan w:val="3"/>
            <w:shd w:val="clear" w:color="auto" w:fill="004483"/>
          </w:tcPr>
          <w:p>
            <w:pPr>
              <w:jc w:val="center"/>
              <w:ind w:left="167"/>
              <w:spacing w:after="0"/>
              <w:rPr>
                <w:sz w:val="20"/>
                <w:szCs w:val="20"/>
                <w:color w:val="auto"/>
              </w:rPr>
            </w:pPr>
            <w:r>
              <w:rPr>
                <w:rFonts w:ascii="Arial" w:cs="Arial" w:eastAsia="Arial" w:hAnsi="Arial"/>
                <w:sz w:val="13"/>
                <w:szCs w:val="13"/>
                <w:b w:val="1"/>
                <w:bCs w:val="1"/>
                <w:color w:val="FFFFFF"/>
                <w:w w:val="96"/>
              </w:rPr>
              <w:t>For the Years Ended March 31,</w:t>
            </w:r>
          </w:p>
        </w:tc>
        <w:tc>
          <w:tcPr>
            <w:tcW w:w="700" w:type="dxa"/>
            <w:vAlign w:val="bottom"/>
            <w:shd w:val="clear" w:color="auto" w:fill="004483"/>
          </w:tcPr>
          <w:p>
            <w:pPr>
              <w:spacing w:after="0"/>
              <w:rPr>
                <w:sz w:val="13"/>
                <w:szCs w:val="13"/>
                <w:color w:val="auto"/>
              </w:rPr>
            </w:pPr>
          </w:p>
        </w:tc>
        <w:tc>
          <w:tcPr>
            <w:tcW w:w="140" w:type="dxa"/>
            <w:vAlign w:val="bottom"/>
            <w:shd w:val="clear" w:color="auto" w:fill="004483"/>
          </w:tcPr>
          <w:p>
            <w:pPr>
              <w:spacing w:after="0"/>
              <w:rPr>
                <w:sz w:val="13"/>
                <w:szCs w:val="13"/>
                <w:color w:val="auto"/>
              </w:rPr>
            </w:pPr>
          </w:p>
        </w:tc>
      </w:tr>
      <w:tr>
        <w:trPr>
          <w:trHeight w:val="162"/>
        </w:trPr>
        <w:tc>
          <w:tcPr>
            <w:tcW w:w="7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83"/>
        </w:trPr>
        <w:tc>
          <w:tcPr>
            <w:tcW w:w="76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gridSpan w:val="3"/>
          </w:tcPr>
          <w:p>
            <w:pPr>
              <w:jc w:val="center"/>
              <w:ind w:left="167"/>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227,565</w:t>
            </w:r>
          </w:p>
        </w:tc>
        <w:tc>
          <w:tcPr>
            <w:tcW w:w="140" w:type="dxa"/>
            <w:vAlign w:val="bottom"/>
          </w:tcPr>
          <w:p>
            <w:pPr>
              <w:spacing w:after="0"/>
              <w:rPr>
                <w:sz w:val="18"/>
                <w:szCs w:val="18"/>
                <w:color w:val="auto"/>
              </w:rPr>
            </w:pPr>
          </w:p>
        </w:tc>
        <w:tc>
          <w:tcPr>
            <w:tcW w:w="108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209,937</w:t>
            </w:r>
          </w:p>
        </w:tc>
        <w:tc>
          <w:tcPr>
            <w:tcW w:w="140" w:type="dxa"/>
            <w:vAlign w:val="bottom"/>
          </w:tcPr>
          <w:p>
            <w:pPr>
              <w:spacing w:after="0"/>
              <w:rPr>
                <w:sz w:val="18"/>
                <w:szCs w:val="18"/>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Gross Margin</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77,673</w:t>
            </w:r>
          </w:p>
        </w:tc>
        <w:tc>
          <w:tcPr>
            <w:tcW w:w="140" w:type="dxa"/>
            <w:vAlign w:val="bottom"/>
          </w:tcPr>
          <w:p>
            <w:pPr>
              <w:spacing w:after="0"/>
              <w:rPr>
                <w:sz w:val="18"/>
                <w:szCs w:val="18"/>
                <w:color w:val="auto"/>
              </w:rPr>
            </w:pPr>
          </w:p>
        </w:tc>
        <w:tc>
          <w:tcPr>
            <w:tcW w:w="108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69,913</w:t>
            </w:r>
          </w:p>
        </w:tc>
        <w:tc>
          <w:tcPr>
            <w:tcW w:w="140" w:type="dxa"/>
            <w:vAlign w:val="bottom"/>
          </w:tcPr>
          <w:p>
            <w:pPr>
              <w:spacing w:after="0"/>
              <w:rPr>
                <w:sz w:val="18"/>
                <w:szCs w:val="18"/>
                <w:color w:val="auto"/>
              </w:rPr>
            </w:pPr>
          </w:p>
        </w:tc>
      </w:tr>
      <w:tr>
        <w:trPr>
          <w:trHeight w:val="20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Earnings Before Income Taxes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71,491</w:t>
            </w:r>
          </w:p>
        </w:tc>
        <w:tc>
          <w:tcPr>
            <w:tcW w:w="140" w:type="dxa"/>
            <w:vAlign w:val="bottom"/>
          </w:tcPr>
          <w:p>
            <w:pPr>
              <w:spacing w:after="0"/>
              <w:rPr>
                <w:sz w:val="18"/>
                <w:szCs w:val="18"/>
                <w:color w:val="auto"/>
              </w:rPr>
            </w:pPr>
          </w:p>
        </w:tc>
        <w:tc>
          <w:tcPr>
            <w:tcW w:w="108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65,541</w:t>
            </w:r>
          </w:p>
        </w:tc>
        <w:tc>
          <w:tcPr>
            <w:tcW w:w="140" w:type="dxa"/>
            <w:vAlign w:val="bottom"/>
          </w:tcPr>
          <w:p>
            <w:pPr>
              <w:spacing w:after="0"/>
              <w:rPr>
                <w:sz w:val="18"/>
                <w:szCs w:val="18"/>
                <w:color w:val="auto"/>
              </w:rPr>
            </w:pPr>
          </w:p>
        </w:tc>
      </w:tr>
      <w:tr>
        <w:trPr>
          <w:trHeight w:val="237"/>
        </w:trPr>
        <w:tc>
          <w:tcPr>
            <w:tcW w:w="7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62"/>
        </w:trPr>
        <w:tc>
          <w:tcPr>
            <w:tcW w:w="76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320" w:type="dxa"/>
            <w:vAlign w:val="bottom"/>
            <w:gridSpan w:val="3"/>
            <w:shd w:val="clear" w:color="auto" w:fill="004483"/>
          </w:tcPr>
          <w:p>
            <w:pPr>
              <w:jc w:val="center"/>
              <w:ind w:left="187"/>
              <w:spacing w:after="0"/>
              <w:rPr>
                <w:sz w:val="20"/>
                <w:szCs w:val="20"/>
                <w:color w:val="auto"/>
              </w:rPr>
            </w:pPr>
            <w:r>
              <w:rPr>
                <w:rFonts w:ascii="Arial" w:cs="Arial" w:eastAsia="Arial" w:hAnsi="Arial"/>
                <w:sz w:val="13"/>
                <w:szCs w:val="13"/>
                <w:b w:val="1"/>
                <w:bCs w:val="1"/>
                <w:color w:val="FFFFFF"/>
                <w:w w:val="96"/>
              </w:rPr>
              <w:t>March 31,</w:t>
            </w: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83"/>
        </w:trPr>
        <w:tc>
          <w:tcPr>
            <w:tcW w:w="76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gridSpan w:val="3"/>
          </w:tcPr>
          <w:p>
            <w:pPr>
              <w:jc w:val="center"/>
              <w:ind w:left="167"/>
              <w:spacing w:after="0"/>
              <w:rPr>
                <w:sz w:val="20"/>
                <w:szCs w:val="20"/>
                <w:color w:val="auto"/>
              </w:rPr>
            </w:pPr>
            <w:r>
              <w:rPr>
                <w:rFonts w:ascii="Arial" w:cs="Arial" w:eastAsia="Arial" w:hAnsi="Arial"/>
                <w:sz w:val="13"/>
                <w:szCs w:val="13"/>
                <w:color w:val="auto"/>
                <w:w w:val="96"/>
              </w:rPr>
              <w:t>(dollars in thousands)</w:t>
            </w:r>
          </w:p>
        </w:tc>
        <w:tc>
          <w:tcPr>
            <w:tcW w:w="70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Current Assets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88,562</w:t>
            </w:r>
          </w:p>
        </w:tc>
        <w:tc>
          <w:tcPr>
            <w:tcW w:w="140" w:type="dxa"/>
            <w:vAlign w:val="bottom"/>
          </w:tcPr>
          <w:p>
            <w:pPr>
              <w:spacing w:after="0"/>
              <w:rPr>
                <w:sz w:val="18"/>
                <w:szCs w:val="18"/>
                <w:color w:val="auto"/>
              </w:rPr>
            </w:pPr>
          </w:p>
        </w:tc>
        <w:tc>
          <w:tcPr>
            <w:tcW w:w="108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73,462</w:t>
            </w:r>
          </w:p>
        </w:tc>
        <w:tc>
          <w:tcPr>
            <w:tcW w:w="140" w:type="dxa"/>
            <w:vAlign w:val="bottom"/>
          </w:tcPr>
          <w:p>
            <w:pPr>
              <w:spacing w:after="0"/>
              <w:rPr>
                <w:sz w:val="18"/>
                <w:szCs w:val="18"/>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Noncurrent Assets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124,503</w:t>
            </w:r>
          </w:p>
        </w:tc>
        <w:tc>
          <w:tcPr>
            <w:tcW w:w="140" w:type="dxa"/>
            <w:vAlign w:val="bottom"/>
          </w:tcPr>
          <w:p>
            <w:pPr>
              <w:spacing w:after="0"/>
              <w:rPr>
                <w:sz w:val="18"/>
                <w:szCs w:val="18"/>
                <w:color w:val="auto"/>
              </w:rPr>
            </w:pPr>
          </w:p>
        </w:tc>
        <w:tc>
          <w:tcPr>
            <w:tcW w:w="108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112,439</w:t>
            </w:r>
          </w:p>
        </w:tc>
        <w:tc>
          <w:tcPr>
            <w:tcW w:w="140" w:type="dxa"/>
            <w:vAlign w:val="bottom"/>
          </w:tcPr>
          <w:p>
            <w:pPr>
              <w:spacing w:after="0"/>
              <w:rPr>
                <w:sz w:val="18"/>
                <w:szCs w:val="18"/>
                <w:color w:val="auto"/>
              </w:rPr>
            </w:pP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Current Liabilities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29,434</w:t>
            </w:r>
          </w:p>
        </w:tc>
        <w:tc>
          <w:tcPr>
            <w:tcW w:w="140" w:type="dxa"/>
            <w:vAlign w:val="bottom"/>
          </w:tcPr>
          <w:p>
            <w:pPr>
              <w:spacing w:after="0"/>
              <w:rPr>
                <w:sz w:val="18"/>
                <w:szCs w:val="18"/>
                <w:color w:val="auto"/>
              </w:rPr>
            </w:pPr>
          </w:p>
        </w:tc>
        <w:tc>
          <w:tcPr>
            <w:tcW w:w="108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17,161</w:t>
            </w:r>
          </w:p>
        </w:tc>
        <w:tc>
          <w:tcPr>
            <w:tcW w:w="140" w:type="dxa"/>
            <w:vAlign w:val="bottom"/>
          </w:tcPr>
          <w:p>
            <w:pPr>
              <w:spacing w:after="0"/>
              <w:rPr>
                <w:sz w:val="18"/>
                <w:szCs w:val="18"/>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(J)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includes the following components: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98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480" w:type="dxa"/>
            <w:vAlign w:val="bottom"/>
            <w:shd w:val="clear" w:color="auto" w:fill="004483"/>
          </w:tcPr>
          <w:p>
            <w:pPr>
              <w:spacing w:after="0"/>
              <w:rPr>
                <w:sz w:val="14"/>
                <w:szCs w:val="14"/>
                <w:color w:val="auto"/>
              </w:rPr>
            </w:pPr>
          </w:p>
        </w:tc>
        <w:tc>
          <w:tcPr>
            <w:tcW w:w="1000" w:type="dxa"/>
            <w:vAlign w:val="bottom"/>
            <w:shd w:val="clear" w:color="auto" w:fill="004483"/>
          </w:tcPr>
          <w:p>
            <w:pPr>
              <w:spacing w:after="0"/>
              <w:rPr>
                <w:sz w:val="14"/>
                <w:szCs w:val="14"/>
                <w:color w:val="auto"/>
              </w:rPr>
            </w:pPr>
          </w:p>
        </w:tc>
      </w:tr>
      <w:tr>
        <w:trPr>
          <w:trHeight w:val="162"/>
        </w:trPr>
        <w:tc>
          <w:tcPr>
            <w:tcW w:w="6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3"/>
                <w:szCs w:val="13"/>
                <w:b w:val="1"/>
                <w:bCs w:val="1"/>
                <w:color w:val="auto"/>
              </w:rPr>
              <w:t>2021</w:t>
            </w:r>
          </w:p>
        </w:tc>
      </w:tr>
      <w:tr>
        <w:trPr>
          <w:trHeight w:val="183"/>
        </w:trPr>
        <w:tc>
          <w:tcPr>
            <w:tcW w:w="646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48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r>
      <w:tr>
        <w:trPr>
          <w:trHeight w:val="216"/>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Current Provision</w:t>
            </w:r>
          </w:p>
        </w:tc>
        <w:tc>
          <w:tcPr>
            <w:tcW w:w="4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r>
      <w:tr>
        <w:trPr>
          <w:trHeight w:val="206"/>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Federal</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103,940</w:t>
            </w:r>
          </w:p>
        </w:tc>
        <w:tc>
          <w:tcPr>
            <w:tcW w:w="680" w:type="dxa"/>
            <w:vAlign w:val="bottom"/>
            <w:tcBorders>
              <w:bottom w:val="single" w:sz="8" w:color="A6A6A6"/>
            </w:tcBorders>
            <w:gridSpan w:val="3"/>
          </w:tcPr>
          <w:p>
            <w:pPr>
              <w:jc w:val="right"/>
              <w:ind w:right="2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87,626</w:t>
            </w:r>
          </w:p>
        </w:tc>
        <w:tc>
          <w:tcPr>
            <w:tcW w:w="180" w:type="dxa"/>
            <w:vAlign w:val="bottom"/>
            <w:tcBorders>
              <w:bottom w:val="single" w:sz="8" w:color="A6A6A6"/>
            </w:tcBorders>
          </w:tcPr>
          <w:p>
            <w:pPr>
              <w:spacing w:after="0"/>
              <w:rPr>
                <w:sz w:val="17"/>
                <w:szCs w:val="17"/>
                <w:color w:val="auto"/>
              </w:rPr>
            </w:pPr>
          </w:p>
        </w:tc>
        <w:tc>
          <w:tcPr>
            <w:tcW w:w="48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67,913</w:t>
            </w:r>
          </w:p>
        </w:tc>
      </w:tr>
      <w:tr>
        <w:trPr>
          <w:trHeight w:val="240"/>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State</w:t>
            </w:r>
          </w:p>
        </w:tc>
        <w:tc>
          <w:tcPr>
            <w:tcW w:w="42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color w:val="auto"/>
              </w:rPr>
              <w:t>18,520</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6,924</w:t>
            </w:r>
          </w:p>
        </w:tc>
        <w:tc>
          <w:tcPr>
            <w:tcW w:w="18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9,587</w:t>
            </w:r>
          </w:p>
        </w:tc>
      </w:tr>
      <w:tr>
        <w:trPr>
          <w:trHeight w:val="207"/>
        </w:trPr>
        <w:tc>
          <w:tcPr>
            <w:tcW w:w="646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122,460</w:t>
            </w:r>
          </w:p>
        </w:tc>
        <w:tc>
          <w:tcPr>
            <w:tcW w:w="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94,550</w:t>
            </w:r>
          </w:p>
        </w:tc>
        <w:tc>
          <w:tcPr>
            <w:tcW w:w="180" w:type="dxa"/>
            <w:vAlign w:val="bottom"/>
            <w:tcBorders>
              <w:bottom w:val="single" w:sz="8" w:color="A6A6A6"/>
            </w:tcBorders>
          </w:tcPr>
          <w:p>
            <w:pPr>
              <w:spacing w:after="0"/>
              <w:rPr>
                <w:sz w:val="17"/>
                <w:szCs w:val="17"/>
                <w:color w:val="auto"/>
              </w:rPr>
            </w:pPr>
          </w:p>
        </w:tc>
        <w:tc>
          <w:tcPr>
            <w:tcW w:w="4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77,500</w:t>
            </w:r>
          </w:p>
        </w:tc>
      </w:tr>
      <w:tr>
        <w:trPr>
          <w:trHeight w:val="213"/>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Deferred Provision (Benefit)</w:t>
            </w:r>
          </w:p>
        </w:tc>
        <w:tc>
          <w:tcPr>
            <w:tcW w:w="4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r>
      <w:tr>
        <w:trPr>
          <w:trHeight w:val="206"/>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Federal</w:t>
            </w:r>
          </w:p>
        </w:tc>
        <w:tc>
          <w:tcPr>
            <w:tcW w:w="4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rPr>
              <w:t>11,321</w:t>
            </w:r>
          </w:p>
        </w:tc>
        <w:tc>
          <w:tcPr>
            <w:tcW w:w="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3,491</w:t>
            </w:r>
          </w:p>
        </w:tc>
        <w:tc>
          <w:tcPr>
            <w:tcW w:w="180" w:type="dxa"/>
            <w:vAlign w:val="bottom"/>
            <w:tcBorders>
              <w:bottom w:val="single" w:sz="8" w:color="A6A6A6"/>
            </w:tcBorders>
          </w:tcPr>
          <w:p>
            <w:pPr>
              <w:spacing w:after="0"/>
              <w:rPr>
                <w:sz w:val="17"/>
                <w:szCs w:val="17"/>
                <w:color w:val="auto"/>
              </w:rPr>
            </w:pPr>
          </w:p>
        </w:tc>
        <w:tc>
          <w:tcPr>
            <w:tcW w:w="4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ind w:right="61"/>
              <w:spacing w:after="0"/>
              <w:rPr>
                <w:sz w:val="20"/>
                <w:szCs w:val="20"/>
                <w:color w:val="auto"/>
              </w:rPr>
            </w:pPr>
            <w:r>
              <w:rPr>
                <w:rFonts w:ascii="Arial" w:cs="Arial" w:eastAsia="Arial" w:hAnsi="Arial"/>
                <w:sz w:val="16"/>
                <w:szCs w:val="16"/>
                <w:color w:val="auto"/>
              </w:rPr>
              <w:t>7,207</w:t>
            </w:r>
          </w:p>
        </w:tc>
      </w:tr>
      <w:tr>
        <w:trPr>
          <w:trHeight w:val="240"/>
        </w:trPr>
        <w:tc>
          <w:tcPr>
            <w:tcW w:w="6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State</w:t>
            </w:r>
          </w:p>
        </w:tc>
        <w:tc>
          <w:tcPr>
            <w:tcW w:w="42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(6,728 )</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2,806</w:t>
            </w:r>
          </w:p>
        </w:tc>
        <w:tc>
          <w:tcPr>
            <w:tcW w:w="18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5,239</w:t>
            </w:r>
          </w:p>
        </w:tc>
      </w:tr>
      <w:tr>
        <w:trPr>
          <w:trHeight w:val="237"/>
        </w:trPr>
        <w:tc>
          <w:tcPr>
            <w:tcW w:w="646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color w:val="auto"/>
              </w:rPr>
              <w:t>4,593</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6,297</w:t>
            </w:r>
          </w:p>
        </w:tc>
        <w:tc>
          <w:tcPr>
            <w:tcW w:w="18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color w:val="auto"/>
              </w:rPr>
              <w:t>12,446</w:t>
            </w:r>
          </w:p>
        </w:tc>
      </w:tr>
      <w:tr>
        <w:trPr>
          <w:trHeight w:val="210"/>
        </w:trPr>
        <w:tc>
          <w:tcPr>
            <w:tcW w:w="6460" w:type="dxa"/>
            <w:vAlign w:val="bottom"/>
          </w:tcPr>
          <w:p>
            <w:pPr>
              <w:ind w:left="20"/>
              <w:spacing w:after="0"/>
              <w:rPr>
                <w:sz w:val="20"/>
                <w:szCs w:val="20"/>
                <w:color w:val="auto"/>
              </w:rPr>
            </w:pPr>
            <w:r>
              <w:rPr>
                <w:rFonts w:ascii="Arial" w:cs="Arial" w:eastAsia="Arial" w:hAnsi="Arial"/>
                <w:sz w:val="16"/>
                <w:szCs w:val="16"/>
                <w:b w:val="1"/>
                <w:bCs w:val="1"/>
                <w:color w:val="004483"/>
              </w:rPr>
              <w:t>Provision for Income Taxes</w:t>
            </w: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1"/>
              <w:spacing w:after="0"/>
              <w:rPr>
                <w:sz w:val="20"/>
                <w:szCs w:val="20"/>
                <w:color w:val="auto"/>
              </w:rPr>
            </w:pPr>
            <w:r>
              <w:rPr>
                <w:rFonts w:ascii="Arial" w:cs="Arial" w:eastAsia="Arial" w:hAnsi="Arial"/>
                <w:sz w:val="16"/>
                <w:szCs w:val="16"/>
                <w:b w:val="1"/>
                <w:bCs w:val="1"/>
                <w:color w:val="auto"/>
              </w:rPr>
              <w:t>127,053</w:t>
            </w:r>
          </w:p>
        </w:tc>
        <w:tc>
          <w:tcPr>
            <w:tcW w:w="8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004483"/>
            </w:tcBorders>
          </w:tcPr>
          <w:p>
            <w:pPr>
              <w:jc w:val="right"/>
              <w:ind w:right="248"/>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100,847</w:t>
            </w:r>
          </w:p>
        </w:tc>
        <w:tc>
          <w:tcPr>
            <w:tcW w:w="180" w:type="dxa"/>
            <w:vAlign w:val="bottom"/>
          </w:tcPr>
          <w:p>
            <w:pPr>
              <w:spacing w:after="0"/>
              <w:rPr>
                <w:sz w:val="18"/>
                <w:szCs w:val="18"/>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61"/>
              <w:spacing w:after="0"/>
              <w:rPr>
                <w:sz w:val="20"/>
                <w:szCs w:val="20"/>
                <w:color w:val="auto"/>
              </w:rPr>
            </w:pPr>
            <w:r>
              <w:rPr>
                <w:rFonts w:ascii="Arial" w:cs="Arial" w:eastAsia="Arial" w:hAnsi="Arial"/>
                <w:sz w:val="16"/>
                <w:szCs w:val="16"/>
                <w:b w:val="1"/>
                <w:bCs w:val="1"/>
                <w:color w:val="auto"/>
              </w:rPr>
              <w:t>89,946</w:t>
            </w:r>
          </w:p>
        </w:tc>
      </w:tr>
      <w:tr>
        <w:trPr>
          <w:trHeight w:val="20"/>
        </w:trPr>
        <w:tc>
          <w:tcPr>
            <w:tcW w:w="64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effective tax rates vary from the federal statutory rates due to the following items: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80" w:type="dxa"/>
            <w:vAlign w:val="bottom"/>
            <w:shd w:val="clear" w:color="auto" w:fill="004483"/>
          </w:tcPr>
          <w:p>
            <w:pPr>
              <w:spacing w:after="0"/>
              <w:rPr>
                <w:sz w:val="14"/>
                <w:szCs w:val="14"/>
                <w:color w:val="auto"/>
              </w:rPr>
            </w:pPr>
          </w:p>
        </w:tc>
        <w:tc>
          <w:tcPr>
            <w:tcW w:w="3220" w:type="dxa"/>
            <w:vAlign w:val="bottom"/>
            <w:gridSpan w:val="6"/>
            <w:shd w:val="clear" w:color="auto" w:fill="004483"/>
          </w:tcPr>
          <w:p>
            <w:pPr>
              <w:jc w:val="right"/>
              <w:ind w:right="339"/>
              <w:spacing w:after="0"/>
              <w:rPr>
                <w:sz w:val="20"/>
                <w:szCs w:val="20"/>
                <w:color w:val="auto"/>
              </w:rPr>
            </w:pPr>
            <w:r>
              <w:rPr>
                <w:rFonts w:ascii="Arial" w:cs="Arial" w:eastAsia="Arial" w:hAnsi="Arial"/>
                <w:sz w:val="13"/>
                <w:szCs w:val="13"/>
                <w:b w:val="1"/>
                <w:bCs w:val="1"/>
                <w:color w:val="FFFFFF"/>
              </w:rPr>
              <w:t>For the Years Ended March 31,</w:t>
            </w:r>
          </w:p>
        </w:tc>
        <w:tc>
          <w:tcPr>
            <w:tcW w:w="1080" w:type="dxa"/>
            <w:vAlign w:val="bottom"/>
            <w:shd w:val="clear" w:color="auto" w:fill="004483"/>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83"/>
        </w:trPr>
        <w:tc>
          <w:tcPr>
            <w:tcW w:w="656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560" w:type="dxa"/>
            <w:vAlign w:val="bottom"/>
            <w:tcBorders>
              <w:bottom w:val="single" w:sz="8" w:color="004483"/>
            </w:tcBorders>
            <w:gridSpan w:val="3"/>
          </w:tcPr>
          <w:p>
            <w:pPr>
              <w:jc w:val="right"/>
              <w:ind w:right="260"/>
              <w:spacing w:after="0"/>
              <w:rPr>
                <w:sz w:val="20"/>
                <w:szCs w:val="20"/>
                <w:color w:val="auto"/>
              </w:rPr>
            </w:pPr>
            <w:r>
              <w:rPr>
                <w:rFonts w:ascii="Arial" w:cs="Arial" w:eastAsia="Arial" w:hAnsi="Arial"/>
                <w:sz w:val="13"/>
                <w:szCs w:val="13"/>
                <w:color w:val="auto"/>
              </w:rPr>
              <w:t>(dollars in thousands)</w:t>
            </w:r>
          </w:p>
        </w:tc>
        <w:tc>
          <w:tcPr>
            <w:tcW w:w="46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b w:val="1"/>
                <w:bCs w:val="1"/>
                <w:color w:val="004483"/>
              </w:rPr>
              <w:t>Earnings Before Income Taxes</w:t>
            </w: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588,593</w:t>
            </w:r>
          </w:p>
        </w:tc>
        <w:tc>
          <w:tcPr>
            <w:tcW w:w="200" w:type="dxa"/>
            <w:vAlign w:val="bottom"/>
          </w:tcPr>
          <w:p>
            <w:pPr>
              <w:spacing w:after="0"/>
              <w:rPr>
                <w:sz w:val="18"/>
                <w:szCs w:val="18"/>
                <w:color w:val="auto"/>
              </w:rPr>
            </w:pPr>
          </w:p>
        </w:tc>
        <w:tc>
          <w:tcPr>
            <w:tcW w:w="360" w:type="dxa"/>
            <w:vAlign w:val="bottom"/>
            <w:tcBorders>
              <w:bottom w:val="single" w:sz="8" w:color="004483"/>
            </w:tcBorders>
          </w:tcPr>
          <w:p>
            <w:pPr>
              <w:jc w:val="right"/>
              <w:ind w:right="184"/>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475,094</w:t>
            </w:r>
          </w:p>
        </w:tc>
        <w:tc>
          <w:tcPr>
            <w:tcW w:w="18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424,112</w:t>
            </w:r>
          </w:p>
        </w:tc>
        <w:tc>
          <w:tcPr>
            <w:tcW w:w="20" w:type="dxa"/>
            <w:vAlign w:val="bottom"/>
          </w:tcPr>
          <w:p>
            <w:pPr>
              <w:spacing w:after="0"/>
              <w:rPr>
                <w:sz w:val="18"/>
                <w:szCs w:val="18"/>
                <w:color w:val="auto"/>
              </w:rPr>
            </w:pPr>
          </w:p>
        </w:tc>
      </w:tr>
      <w:tr>
        <w:trPr>
          <w:trHeight w:val="20"/>
        </w:trPr>
        <w:tc>
          <w:tcPr>
            <w:tcW w:w="6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Income Taxes at Statutory Rate</w:t>
            </w:r>
          </w:p>
        </w:tc>
        <w:tc>
          <w:tcPr>
            <w:tcW w:w="38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123,605</w:t>
            </w:r>
          </w:p>
        </w:tc>
        <w:tc>
          <w:tcPr>
            <w:tcW w:w="20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jc w:val="right"/>
              <w:ind w:right="1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99,770</w:t>
            </w:r>
          </w:p>
        </w:tc>
        <w:tc>
          <w:tcPr>
            <w:tcW w:w="18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89,063</w:t>
            </w:r>
          </w:p>
        </w:tc>
        <w:tc>
          <w:tcPr>
            <w:tcW w:w="20" w:type="dxa"/>
            <w:vAlign w:val="bottom"/>
          </w:tcPr>
          <w:p>
            <w:pPr>
              <w:spacing w:after="0"/>
              <w:rPr>
                <w:sz w:val="17"/>
                <w:szCs w:val="17"/>
                <w:color w:val="auto"/>
              </w:rPr>
            </w:pPr>
          </w:p>
        </w:tc>
      </w:tr>
      <w:tr>
        <w:trPr>
          <w:trHeight w:val="209"/>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Increases (Decreases) in Tax Resulting from</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State Income Taxes, net</w:t>
            </w:r>
          </w:p>
        </w:tc>
        <w:tc>
          <w:tcPr>
            <w:tcW w:w="3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16,821</w:t>
            </w:r>
          </w:p>
        </w:tc>
        <w:tc>
          <w:tcPr>
            <w:tcW w:w="20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12,743</w:t>
            </w:r>
          </w:p>
        </w:tc>
        <w:tc>
          <w:tcPr>
            <w:tcW w:w="18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11,713</w:t>
            </w:r>
          </w:p>
        </w:tc>
        <w:tc>
          <w:tcPr>
            <w:tcW w:w="20" w:type="dxa"/>
            <w:vAlign w:val="bottom"/>
          </w:tcPr>
          <w:p>
            <w:pPr>
              <w:spacing w:after="0"/>
              <w:rPr>
                <w:sz w:val="17"/>
                <w:szCs w:val="17"/>
                <w:color w:val="auto"/>
              </w:rPr>
            </w:pP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Statutory Depletion in Excess of Cost</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(8,253 )</w:t>
            </w:r>
          </w:p>
        </w:tc>
        <w:tc>
          <w:tcPr>
            <w:tcW w:w="2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(7,796 )</w:t>
            </w:r>
          </w:p>
        </w:tc>
        <w:tc>
          <w:tcPr>
            <w:tcW w:w="18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(5,263 )</w:t>
            </w:r>
          </w:p>
        </w:tc>
        <w:tc>
          <w:tcPr>
            <w:tcW w:w="20" w:type="dxa"/>
            <w:vAlign w:val="bottom"/>
          </w:tcPr>
          <w:p>
            <w:pPr>
              <w:spacing w:after="0"/>
              <w:rPr>
                <w:sz w:val="18"/>
                <w:szCs w:val="18"/>
                <w:color w:val="auto"/>
              </w:rPr>
            </w:pP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Excess Tax Benefit from Stock Compensation</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(1,593 )</w:t>
            </w:r>
          </w:p>
        </w:tc>
        <w:tc>
          <w:tcPr>
            <w:tcW w:w="2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(3,048 )</w:t>
            </w:r>
          </w:p>
        </w:tc>
        <w:tc>
          <w:tcPr>
            <w:tcW w:w="18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(3,229 )</w:t>
            </w:r>
          </w:p>
        </w:tc>
        <w:tc>
          <w:tcPr>
            <w:tcW w:w="20" w:type="dxa"/>
            <w:vAlign w:val="bottom"/>
          </w:tcPr>
          <w:p>
            <w:pPr>
              <w:spacing w:after="0"/>
              <w:rPr>
                <w:sz w:val="18"/>
                <w:szCs w:val="18"/>
                <w:color w:val="auto"/>
              </w:rPr>
            </w:pP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Meals and Entertainment Disallowance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484</w:t>
            </w:r>
          </w:p>
        </w:tc>
        <w:tc>
          <w:tcPr>
            <w:tcW w:w="2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279</w:t>
            </w:r>
          </w:p>
        </w:tc>
        <w:tc>
          <w:tcPr>
            <w:tcW w:w="18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8"/>
                <w:szCs w:val="18"/>
                <w:color w:val="auto"/>
              </w:rPr>
            </w:pPr>
          </w:p>
        </w:tc>
      </w:tr>
      <w:tr>
        <w:trPr>
          <w:trHeight w:val="20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Limitation on Officer's Compensation</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3,009</w:t>
            </w:r>
          </w:p>
        </w:tc>
        <w:tc>
          <w:tcPr>
            <w:tcW w:w="2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2,568</w:t>
            </w:r>
          </w:p>
        </w:tc>
        <w:tc>
          <w:tcPr>
            <w:tcW w:w="18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1,503</w:t>
            </w:r>
          </w:p>
        </w:tc>
        <w:tc>
          <w:tcPr>
            <w:tcW w:w="20" w:type="dxa"/>
            <w:vAlign w:val="bottom"/>
          </w:tcPr>
          <w:p>
            <w:pPr>
              <w:spacing w:after="0"/>
              <w:rPr>
                <w:sz w:val="18"/>
                <w:szCs w:val="18"/>
                <w:color w:val="auto"/>
              </w:rPr>
            </w:pP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Valuation Allowance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(7,205 )</w:t>
            </w:r>
          </w:p>
        </w:tc>
        <w:tc>
          <w:tcPr>
            <w:tcW w:w="20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(4,556 )</w:t>
            </w:r>
          </w:p>
        </w:tc>
        <w:tc>
          <w:tcPr>
            <w:tcW w:w="18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8"/>
                <w:szCs w:val="18"/>
                <w:color w:val="auto"/>
              </w:rPr>
            </w:pPr>
          </w:p>
        </w:tc>
      </w:tr>
      <w:tr>
        <w:trPr>
          <w:trHeight w:val="210"/>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Change in Reserves</w:t>
            </w:r>
          </w:p>
        </w:tc>
        <w:tc>
          <w:tcPr>
            <w:tcW w:w="38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(2,916 )</w:t>
            </w:r>
          </w:p>
        </w:tc>
        <w:tc>
          <w:tcPr>
            <w:tcW w:w="20" w:type="dxa"/>
            <w:vAlign w:val="bottom"/>
          </w:tcPr>
          <w:p>
            <w:pPr>
              <w:spacing w:after="0"/>
              <w:rPr>
                <w:sz w:val="18"/>
                <w:szCs w:val="18"/>
                <w:color w:val="auto"/>
              </w:rPr>
            </w:pPr>
          </w:p>
        </w:tc>
      </w:tr>
      <w:tr>
        <w:trPr>
          <w:trHeight w:val="239"/>
        </w:trPr>
        <w:tc>
          <w:tcPr>
            <w:tcW w:w="6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185</w:t>
            </w:r>
          </w:p>
        </w:tc>
        <w:tc>
          <w:tcPr>
            <w:tcW w:w="200" w:type="dxa"/>
            <w:vAlign w:val="bottom"/>
            <w:tcBorders>
              <w:bottom w:val="single" w:sz="8" w:color="A6A6A6"/>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887</w:t>
            </w:r>
          </w:p>
        </w:tc>
        <w:tc>
          <w:tcPr>
            <w:tcW w:w="180" w:type="dxa"/>
            <w:vAlign w:val="bottom"/>
            <w:tcBorders>
              <w:bottom w:val="single" w:sz="8" w:color="A6A6A6"/>
            </w:tcBorders>
          </w:tcPr>
          <w:p>
            <w:pPr>
              <w:spacing w:after="0"/>
              <w:rPr>
                <w:sz w:val="20"/>
                <w:szCs w:val="20"/>
                <w:color w:val="auto"/>
              </w:rPr>
            </w:pPr>
          </w:p>
        </w:tc>
        <w:tc>
          <w:tcPr>
            <w:tcW w:w="46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(1,445 )</w:t>
            </w:r>
          </w:p>
        </w:tc>
        <w:tc>
          <w:tcPr>
            <w:tcW w:w="20" w:type="dxa"/>
            <w:vAlign w:val="bottom"/>
          </w:tcPr>
          <w:p>
            <w:pPr>
              <w:spacing w:after="0"/>
              <w:rPr>
                <w:sz w:val="20"/>
                <w:szCs w:val="20"/>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004483"/>
              </w:rPr>
              <w:t>Provision for Income Taxes</w:t>
            </w: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127,053</w:t>
            </w:r>
          </w:p>
        </w:tc>
        <w:tc>
          <w:tcPr>
            <w:tcW w:w="200" w:type="dxa"/>
            <w:vAlign w:val="bottom"/>
          </w:tcPr>
          <w:p>
            <w:pPr>
              <w:spacing w:after="0"/>
              <w:rPr>
                <w:sz w:val="18"/>
                <w:szCs w:val="18"/>
                <w:color w:val="auto"/>
              </w:rPr>
            </w:pPr>
          </w:p>
        </w:tc>
        <w:tc>
          <w:tcPr>
            <w:tcW w:w="360" w:type="dxa"/>
            <w:vAlign w:val="bottom"/>
            <w:tcBorders>
              <w:bottom w:val="single" w:sz="8" w:color="004483"/>
            </w:tcBorders>
          </w:tcPr>
          <w:p>
            <w:pPr>
              <w:jc w:val="right"/>
              <w:ind w:right="184"/>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100,847</w:t>
            </w:r>
          </w:p>
        </w:tc>
        <w:tc>
          <w:tcPr>
            <w:tcW w:w="18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60"/>
              <w:spacing w:after="0"/>
              <w:rPr>
                <w:sz w:val="20"/>
                <w:szCs w:val="20"/>
                <w:color w:val="auto"/>
              </w:rPr>
            </w:pPr>
            <w:r>
              <w:rPr>
                <w:rFonts w:ascii="Arial" w:cs="Arial" w:eastAsia="Arial" w:hAnsi="Arial"/>
                <w:sz w:val="16"/>
                <w:szCs w:val="16"/>
                <w:b w:val="1"/>
                <w:bCs w:val="1"/>
                <w:color w:val="auto"/>
              </w:rPr>
              <w:t>89,946</w:t>
            </w:r>
          </w:p>
        </w:tc>
        <w:tc>
          <w:tcPr>
            <w:tcW w:w="20" w:type="dxa"/>
            <w:vAlign w:val="bottom"/>
          </w:tcPr>
          <w:p>
            <w:pPr>
              <w:spacing w:after="0"/>
              <w:rPr>
                <w:sz w:val="18"/>
                <w:szCs w:val="18"/>
                <w:color w:val="auto"/>
              </w:rPr>
            </w:pPr>
          </w:p>
        </w:tc>
      </w:tr>
      <w:tr>
        <w:trPr>
          <w:trHeight w:val="20"/>
        </w:trPr>
        <w:tc>
          <w:tcPr>
            <w:tcW w:w="65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b w:val="1"/>
                <w:bCs w:val="1"/>
                <w:color w:val="004483"/>
              </w:rPr>
              <w:t>Effective Tax Rate</w:t>
            </w:r>
          </w:p>
        </w:tc>
        <w:tc>
          <w:tcPr>
            <w:tcW w:w="3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22 %</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21 %</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21 %</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deferred income taxes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500" w:type="dxa"/>
            <w:vAlign w:val="bottom"/>
            <w:shd w:val="clear" w:color="auto" w:fill="004483"/>
          </w:tcPr>
          <w:p>
            <w:pPr>
              <w:spacing w:after="0"/>
              <w:rPr>
                <w:sz w:val="14"/>
                <w:szCs w:val="14"/>
                <w:color w:val="auto"/>
              </w:rPr>
            </w:pPr>
          </w:p>
        </w:tc>
        <w:tc>
          <w:tcPr>
            <w:tcW w:w="2080" w:type="dxa"/>
            <w:vAlign w:val="bottom"/>
            <w:gridSpan w:val="3"/>
            <w:shd w:val="clear" w:color="auto" w:fill="004483"/>
          </w:tcPr>
          <w:p>
            <w:pPr>
              <w:jc w:val="right"/>
              <w:ind w:right="459"/>
              <w:spacing w:after="0"/>
              <w:rPr>
                <w:sz w:val="20"/>
                <w:szCs w:val="20"/>
                <w:color w:val="auto"/>
              </w:rPr>
            </w:pPr>
            <w:r>
              <w:rPr>
                <w:rFonts w:ascii="Arial" w:cs="Arial" w:eastAsia="Arial" w:hAnsi="Arial"/>
                <w:sz w:val="13"/>
                <w:szCs w:val="13"/>
                <w:b w:val="1"/>
                <w:bCs w:val="1"/>
                <w:color w:val="FFFFFF"/>
              </w:rPr>
              <w:t>March 31,</w:t>
            </w:r>
          </w:p>
        </w:tc>
        <w:tc>
          <w:tcPr>
            <w:tcW w:w="1040" w:type="dxa"/>
            <w:vAlign w:val="bottom"/>
            <w:shd w:val="clear" w:color="auto" w:fill="004483"/>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3"/>
                <w:szCs w:val="13"/>
                <w:b w:val="1"/>
                <w:bCs w:val="1"/>
                <w:color w:val="auto"/>
              </w:rPr>
              <w:t>2022</w:t>
            </w:r>
          </w:p>
        </w:tc>
      </w:tr>
      <w:tr>
        <w:trPr>
          <w:trHeight w:val="183"/>
        </w:trPr>
        <w:tc>
          <w:tcPr>
            <w:tcW w:w="762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3"/>
          </w:tcPr>
          <w:p>
            <w:pPr>
              <w:jc w:val="right"/>
              <w:ind w:right="159"/>
              <w:spacing w:after="0"/>
              <w:rPr>
                <w:sz w:val="20"/>
                <w:szCs w:val="20"/>
                <w:color w:val="auto"/>
              </w:rPr>
            </w:pPr>
            <w:r>
              <w:rPr>
                <w:rFonts w:ascii="Arial" w:cs="Arial" w:eastAsia="Arial" w:hAnsi="Arial"/>
                <w:sz w:val="13"/>
                <w:szCs w:val="13"/>
                <w:color w:val="auto"/>
              </w:rPr>
              <w:t>(dollars in thousands)</w:t>
            </w:r>
          </w:p>
        </w:tc>
        <w:tc>
          <w:tcPr>
            <w:tcW w:w="1040" w:type="dxa"/>
            <w:vAlign w:val="bottom"/>
            <w:tcBorders>
              <w:bottom w:val="single" w:sz="8" w:color="004483"/>
            </w:tcBorders>
          </w:tcPr>
          <w:p>
            <w:pPr>
              <w:spacing w:after="0"/>
              <w:rPr>
                <w:sz w:val="15"/>
                <w:szCs w:val="15"/>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Items Giving Rise to Deferred Tax Liabilities</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r>
      <w:tr>
        <w:trPr>
          <w:trHeight w:val="207"/>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Excess Tax Depreciation and Amortization</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(253,541 )</w:t>
            </w:r>
          </w:p>
        </w:tc>
        <w:tc>
          <w:tcPr>
            <w:tcW w:w="880" w:type="dxa"/>
            <w:vAlign w:val="bottom"/>
            <w:tcBorders>
              <w:bottom w:val="single" w:sz="8" w:color="A6A6A6"/>
            </w:tcBorders>
            <w:gridSpan w:val="2"/>
          </w:tcPr>
          <w:p>
            <w:pPr>
              <w:jc w:val="right"/>
              <w:ind w:right="4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(242,335 )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Investment in Joint Venture Basis Differences</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(8,744 )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(7,813 )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Depletable Assets</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(3,876 )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(3,769 )</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Right-of-Use Assets</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(5,202 )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(5,897 )</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Inventory</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(406 )</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(548 )</w:t>
            </w:r>
          </w:p>
        </w:tc>
      </w:tr>
      <w:tr>
        <w:trPr>
          <w:trHeight w:val="24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w:t>
            </w:r>
          </w:p>
        </w:tc>
        <w:tc>
          <w:tcPr>
            <w:tcW w:w="500" w:type="dxa"/>
            <w:vAlign w:val="bottom"/>
            <w:tcBorders>
              <w:bottom w:val="single" w:sz="8" w:color="004483"/>
            </w:tcBorders>
          </w:tcPr>
          <w:p>
            <w:pPr>
              <w:spacing w:after="0"/>
              <w:rPr>
                <w:sz w:val="20"/>
                <w:szCs w:val="20"/>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(2,908 )</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(3,506 )</w:t>
            </w:r>
          </w:p>
        </w:tc>
      </w:tr>
      <w:tr>
        <w:trPr>
          <w:trHeight w:val="210"/>
        </w:trPr>
        <w:tc>
          <w:tcPr>
            <w:tcW w:w="7620" w:type="dxa"/>
            <w:vAlign w:val="bottom"/>
          </w:tcPr>
          <w:p>
            <w:pPr>
              <w:ind w:left="200"/>
              <w:spacing w:after="0"/>
              <w:rPr>
                <w:sz w:val="20"/>
                <w:szCs w:val="20"/>
                <w:color w:val="auto"/>
              </w:rPr>
            </w:pPr>
            <w:r>
              <w:rPr>
                <w:rFonts w:ascii="Arial" w:cs="Arial" w:eastAsia="Arial" w:hAnsi="Arial"/>
                <w:sz w:val="16"/>
                <w:szCs w:val="16"/>
                <w:b w:val="1"/>
                <w:bCs w:val="1"/>
                <w:color w:val="auto"/>
              </w:rPr>
              <w:t>Total Deferred Tax Liabilities</w:t>
            </w: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(274,677 )</w:t>
            </w:r>
          </w:p>
        </w:tc>
        <w:tc>
          <w:tcPr>
            <w:tcW w:w="220" w:type="dxa"/>
            <w:vAlign w:val="bottom"/>
          </w:tcPr>
          <w:p>
            <w:pPr>
              <w:spacing w:after="0"/>
              <w:rPr>
                <w:sz w:val="18"/>
                <w:szCs w:val="18"/>
                <w:color w:val="auto"/>
              </w:rPr>
            </w:pPr>
          </w:p>
        </w:tc>
        <w:tc>
          <w:tcPr>
            <w:tcW w:w="660" w:type="dxa"/>
            <w:vAlign w:val="bottom"/>
            <w:tcBorders>
              <w:bottom w:val="single" w:sz="8" w:color="004483"/>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(263,868 )</w:t>
            </w:r>
          </w:p>
        </w:tc>
      </w:tr>
      <w:tr>
        <w:trPr>
          <w:trHeight w:val="20"/>
        </w:trPr>
        <w:tc>
          <w:tcPr>
            <w:tcW w:w="76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r>
      <w:tr>
        <w:trPr>
          <w:trHeight w:val="19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Items Giving Rise to Deferred Tax Assets</w:t>
            </w:r>
          </w:p>
        </w:tc>
        <w:tc>
          <w:tcPr>
            <w:tcW w:w="500" w:type="dxa"/>
            <w:vAlign w:val="bottom"/>
            <w:tcBorders>
              <w:bottom w:val="single" w:sz="8" w:color="A6A6A6"/>
            </w:tcBorders>
          </w:tcPr>
          <w:p>
            <w:pPr>
              <w:spacing w:after="0"/>
              <w:rPr>
                <w:sz w:val="17"/>
                <w:szCs w:val="17"/>
                <w:color w:val="auto"/>
              </w:rPr>
            </w:pPr>
          </w:p>
        </w:tc>
        <w:tc>
          <w:tcPr>
            <w:tcW w:w="120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r>
      <w:tr>
        <w:trPr>
          <w:trHeight w:val="206"/>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Change in Accruals</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12,886</w:t>
            </w:r>
          </w:p>
        </w:tc>
        <w:tc>
          <w:tcPr>
            <w:tcW w:w="880" w:type="dxa"/>
            <w:vAlign w:val="bottom"/>
            <w:tcBorders>
              <w:bottom w:val="single" w:sz="8" w:color="A6A6A6"/>
            </w:tcBorders>
            <w:gridSpan w:val="2"/>
          </w:tcPr>
          <w:p>
            <w:pPr>
              <w:jc w:val="right"/>
              <w:ind w:right="4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13,255</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Bad Debts</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1,662</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1,600</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Long-term Incentive Compensation Plan</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3,515</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3,252</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Credits and Other Carryforwards</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12,995</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12,747</w:t>
            </w:r>
          </w:p>
        </w:tc>
      </w:tr>
      <w:tr>
        <w:trPr>
          <w:trHeight w:val="21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Lease Liability</w:t>
            </w:r>
          </w:p>
        </w:tc>
        <w:tc>
          <w:tcPr>
            <w:tcW w:w="5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7,647</w:t>
            </w:r>
          </w:p>
        </w:tc>
        <w:tc>
          <w:tcPr>
            <w:tcW w:w="22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8,849</w:t>
            </w:r>
          </w:p>
        </w:tc>
      </w:tr>
      <w:tr>
        <w:trPr>
          <w:trHeight w:val="24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Pension</w:t>
            </w:r>
          </w:p>
        </w:tc>
        <w:tc>
          <w:tcPr>
            <w:tcW w:w="500" w:type="dxa"/>
            <w:vAlign w:val="bottom"/>
            <w:tcBorders>
              <w:bottom w:val="single" w:sz="8" w:color="004483"/>
            </w:tcBorders>
          </w:tcPr>
          <w:p>
            <w:pPr>
              <w:spacing w:after="0"/>
              <w:rPr>
                <w:sz w:val="20"/>
                <w:szCs w:val="20"/>
                <w:color w:val="auto"/>
              </w:rPr>
            </w:pPr>
          </w:p>
        </w:tc>
        <w:tc>
          <w:tcPr>
            <w:tcW w:w="12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1,128</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1,001</w:t>
            </w:r>
          </w:p>
        </w:tc>
      </w:tr>
      <w:tr>
        <w:trPr>
          <w:trHeight w:val="206"/>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Subtotal</w:t>
            </w:r>
          </w:p>
        </w:tc>
        <w:tc>
          <w:tcPr>
            <w:tcW w:w="500" w:type="dxa"/>
            <w:vAlign w:val="bottom"/>
            <w:tcBorders>
              <w:bottom w:val="single" w:sz="8" w:color="A6A6A6"/>
            </w:tcBorders>
          </w:tcPr>
          <w:p>
            <w:pPr>
              <w:spacing w:after="0"/>
              <w:rPr>
                <w:sz w:val="17"/>
                <w:szCs w:val="17"/>
                <w:color w:val="auto"/>
              </w:rPr>
            </w:pPr>
          </w:p>
        </w:tc>
        <w:tc>
          <w:tcPr>
            <w:tcW w:w="120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39,833</w:t>
            </w:r>
          </w:p>
        </w:tc>
        <w:tc>
          <w:tcPr>
            <w:tcW w:w="220" w:type="dxa"/>
            <w:vAlign w:val="bottom"/>
            <w:tcBorders>
              <w:bottom w:val="single" w:sz="8" w:color="A6A6A6"/>
            </w:tcBorders>
          </w:tcPr>
          <w:p>
            <w:pPr>
              <w:spacing w:after="0"/>
              <w:rPr>
                <w:sz w:val="17"/>
                <w:szCs w:val="17"/>
                <w:color w:val="auto"/>
              </w:rPr>
            </w:pPr>
          </w:p>
        </w:tc>
        <w:tc>
          <w:tcPr>
            <w:tcW w:w="66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40,704</w:t>
            </w:r>
          </w:p>
        </w:tc>
      </w:tr>
      <w:tr>
        <w:trPr>
          <w:trHeight w:val="24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Valuation Allowance</w:t>
            </w:r>
          </w:p>
        </w:tc>
        <w:tc>
          <w:tcPr>
            <w:tcW w:w="500" w:type="dxa"/>
            <w:vAlign w:val="bottom"/>
            <w:tcBorders>
              <w:bottom w:val="single" w:sz="8" w:color="004483"/>
            </w:tcBorders>
          </w:tcPr>
          <w:p>
            <w:pPr>
              <w:spacing w:after="0"/>
              <w:rPr>
                <w:sz w:val="20"/>
                <w:szCs w:val="20"/>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(2,000 )</w:t>
            </w:r>
          </w:p>
        </w:tc>
        <w:tc>
          <w:tcPr>
            <w:tcW w:w="220" w:type="dxa"/>
            <w:vAlign w:val="bottom"/>
            <w:tcBorders>
              <w:bottom w:val="single" w:sz="8" w:color="A6A6A6"/>
            </w:tcBorders>
          </w:tcPr>
          <w:p>
            <w:pPr>
              <w:spacing w:after="0"/>
              <w:rPr>
                <w:sz w:val="20"/>
                <w:szCs w:val="20"/>
                <w:color w:val="auto"/>
              </w:rPr>
            </w:pPr>
          </w:p>
        </w:tc>
        <w:tc>
          <w:tcPr>
            <w:tcW w:w="66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(9,205 )</w:t>
            </w:r>
          </w:p>
        </w:tc>
      </w:tr>
      <w:tr>
        <w:trPr>
          <w:trHeight w:val="210"/>
        </w:trPr>
        <w:tc>
          <w:tcPr>
            <w:tcW w:w="7620" w:type="dxa"/>
            <w:vAlign w:val="bottom"/>
          </w:tcPr>
          <w:p>
            <w:pPr>
              <w:ind w:left="200"/>
              <w:spacing w:after="0"/>
              <w:rPr>
                <w:sz w:val="20"/>
                <w:szCs w:val="20"/>
                <w:color w:val="auto"/>
              </w:rPr>
            </w:pPr>
            <w:r>
              <w:rPr>
                <w:rFonts w:ascii="Arial" w:cs="Arial" w:eastAsia="Arial" w:hAnsi="Arial"/>
                <w:sz w:val="16"/>
                <w:szCs w:val="16"/>
                <w:b w:val="1"/>
                <w:bCs w:val="1"/>
                <w:color w:val="auto"/>
              </w:rPr>
              <w:t>Total Deferred Tax Assets</w:t>
            </w: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37,833</w:t>
            </w:r>
          </w:p>
        </w:tc>
        <w:tc>
          <w:tcPr>
            <w:tcW w:w="220" w:type="dxa"/>
            <w:vAlign w:val="bottom"/>
          </w:tcPr>
          <w:p>
            <w:pPr>
              <w:spacing w:after="0"/>
              <w:rPr>
                <w:sz w:val="18"/>
                <w:szCs w:val="18"/>
                <w:color w:val="auto"/>
              </w:rPr>
            </w:pPr>
          </w:p>
        </w:tc>
        <w:tc>
          <w:tcPr>
            <w:tcW w:w="660" w:type="dxa"/>
            <w:vAlign w:val="bottom"/>
            <w:tcBorders>
              <w:bottom w:val="single" w:sz="8" w:color="004483"/>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31,499</w:t>
            </w:r>
          </w:p>
        </w:tc>
      </w:tr>
      <w:tr>
        <w:trPr>
          <w:trHeight w:val="20"/>
        </w:trPr>
        <w:tc>
          <w:tcPr>
            <w:tcW w:w="76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r>
    </w:tbl>
    <w:p>
      <w:pPr>
        <w:spacing w:after="0" w:line="19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70" w:right="319" w:bottom="1440" w:gutter="0" w:footer="0" w:header="0"/>
        </w:sectPr>
      </w:pPr>
    </w:p>
    <w:bookmarkStart w:id="87" w:name="page88"/>
    <w:bookmarkEnd w:id="87"/>
    <w:p>
      <w:pPr>
        <w:ind w:right="100"/>
        <w:spacing w:after="0" w:line="247" w:lineRule="auto"/>
        <w:rPr>
          <w:sz w:val="20"/>
          <w:szCs w:val="20"/>
          <w:color w:val="auto"/>
        </w:rPr>
      </w:pPr>
      <w:r>
        <w:rPr>
          <w:rFonts w:ascii="Arial" w:cs="Arial" w:eastAsia="Arial" w:hAnsi="Arial"/>
          <w:sz w:val="18"/>
          <w:szCs w:val="18"/>
          <w:color w:val="auto"/>
        </w:rPr>
        <w:t>We have state net operating loss carryforwards of $2.3 million at March 31, 2023, compared with $0.9 million at March 31, 2022, net of Valuation Allowance. We have state income tax credit carryforwards of $ 10.7 million at March 31, 2023, compared with $4.3 million at March 31, 2022, net of Valuation Allowances. The state income tax credits may be carried forward indefinitely.</w:t>
      </w:r>
    </w:p>
    <w:p>
      <w:pPr>
        <w:spacing w:after="0" w:line="76"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We file income tax returns in U.S. federal and various state jurisdictions. The Company is currently subject to U.S. federal income tax examinations for the year ended March 31, 2019 and forward.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4483"/>
        </w:rPr>
        <w:t>Uncertain Tax Positions</w:t>
      </w:r>
    </w:p>
    <w:p>
      <w:pPr>
        <w:spacing w:after="0" w:line="114"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review and assess all tax positions subject to uncertainty on a more-likely-than-not standard with respect to the ultimate outcome if challenged. We measure and record tax benefit or expense only when the more-likely-than-not threshold is met. The change in unrecognized tax benefits for the years ended March 31, 2023, 2022, and 2021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500" w:type="dxa"/>
            <w:vAlign w:val="bottom"/>
            <w:shd w:val="clear" w:color="auto" w:fill="004483"/>
          </w:tcPr>
          <w:p>
            <w:pPr>
              <w:spacing w:after="0"/>
              <w:rPr>
                <w:sz w:val="14"/>
                <w:szCs w:val="14"/>
                <w:color w:val="auto"/>
              </w:rPr>
            </w:pPr>
          </w:p>
        </w:tc>
        <w:tc>
          <w:tcPr>
            <w:tcW w:w="840" w:type="dxa"/>
            <w:vAlign w:val="bottom"/>
            <w:shd w:val="clear" w:color="auto" w:fill="004483"/>
          </w:tcPr>
          <w:p>
            <w:pPr>
              <w:spacing w:after="0"/>
              <w:rPr>
                <w:sz w:val="14"/>
                <w:szCs w:val="14"/>
                <w:color w:val="auto"/>
              </w:rPr>
            </w:pPr>
          </w:p>
        </w:tc>
        <w:tc>
          <w:tcPr>
            <w:tcW w:w="1960" w:type="dxa"/>
            <w:vAlign w:val="bottom"/>
            <w:gridSpan w:val="6"/>
            <w:shd w:val="clear" w:color="auto" w:fill="004483"/>
          </w:tcPr>
          <w:p>
            <w:pPr>
              <w:jc w:val="center"/>
              <w:spacing w:after="0"/>
              <w:rPr>
                <w:sz w:val="20"/>
                <w:szCs w:val="20"/>
                <w:color w:val="auto"/>
              </w:rPr>
            </w:pPr>
            <w:r>
              <w:rPr>
                <w:rFonts w:ascii="Arial" w:cs="Arial" w:eastAsia="Arial" w:hAnsi="Arial"/>
                <w:sz w:val="13"/>
                <w:szCs w:val="13"/>
                <w:b w:val="1"/>
                <w:bCs w:val="1"/>
                <w:color w:val="FFFFFF"/>
                <w:w w:val="96"/>
              </w:rPr>
              <w:t>For the Years Ended March 31,</w:t>
            </w:r>
          </w:p>
        </w:tc>
        <w:tc>
          <w:tcPr>
            <w:tcW w:w="500" w:type="dxa"/>
            <w:vAlign w:val="bottom"/>
            <w:shd w:val="clear" w:color="auto" w:fill="004483"/>
          </w:tcPr>
          <w:p>
            <w:pPr>
              <w:spacing w:after="0"/>
              <w:rPr>
                <w:sz w:val="14"/>
                <w:szCs w:val="14"/>
                <w:color w:val="auto"/>
              </w:rPr>
            </w:pPr>
          </w:p>
        </w:tc>
        <w:tc>
          <w:tcPr>
            <w:tcW w:w="8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r>
      <w:tr>
        <w:trPr>
          <w:trHeight w:val="162"/>
        </w:trPr>
        <w:tc>
          <w:tcPr>
            <w:tcW w:w="6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r>
      <w:tr>
        <w:trPr>
          <w:trHeight w:val="183"/>
        </w:trPr>
        <w:tc>
          <w:tcPr>
            <w:tcW w:w="64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4"/>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50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Balance at Beginning of Year</w:t>
            </w: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1,284</w:t>
            </w:r>
          </w:p>
        </w:tc>
        <w:tc>
          <w:tcPr>
            <w:tcW w:w="140" w:type="dxa"/>
            <w:vAlign w:val="bottom"/>
          </w:tcPr>
          <w:p>
            <w:pPr>
              <w:spacing w:after="0"/>
              <w:rPr>
                <w:sz w:val="18"/>
                <w:szCs w:val="18"/>
                <w:color w:val="auto"/>
              </w:rPr>
            </w:pPr>
          </w:p>
        </w:tc>
        <w:tc>
          <w:tcPr>
            <w:tcW w:w="680" w:type="dxa"/>
            <w:vAlign w:val="bottom"/>
            <w:tcBorders>
              <w:bottom w:val="single" w:sz="8" w:color="A6A6A6"/>
            </w:tcBorders>
            <w:gridSpan w:val="2"/>
          </w:tcPr>
          <w:p>
            <w:pPr>
              <w:jc w:val="right"/>
              <w:ind w:right="32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1,284</w:t>
            </w:r>
          </w:p>
        </w:tc>
        <w:tc>
          <w:tcPr>
            <w:tcW w:w="14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4,200</w:t>
            </w:r>
          </w:p>
        </w:tc>
        <w:tc>
          <w:tcPr>
            <w:tcW w:w="140" w:type="dxa"/>
            <w:vAlign w:val="bottom"/>
          </w:tcPr>
          <w:p>
            <w:pPr>
              <w:spacing w:after="0"/>
              <w:rPr>
                <w:sz w:val="18"/>
                <w:szCs w:val="18"/>
                <w:color w:val="auto"/>
              </w:rPr>
            </w:pPr>
          </w:p>
        </w:tc>
      </w:tr>
      <w:tr>
        <w:trPr>
          <w:trHeight w:val="20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Increase Related to Current Tax Positions</w:t>
            </w:r>
          </w:p>
        </w:tc>
        <w:tc>
          <w:tcPr>
            <w:tcW w:w="5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1,284</w:t>
            </w:r>
          </w:p>
        </w:tc>
        <w:tc>
          <w:tcPr>
            <w:tcW w:w="140" w:type="dxa"/>
            <w:vAlign w:val="bottom"/>
          </w:tcPr>
          <w:p>
            <w:pPr>
              <w:spacing w:after="0"/>
              <w:rPr>
                <w:sz w:val="18"/>
                <w:szCs w:val="18"/>
                <w:color w:val="auto"/>
              </w:rPr>
            </w:pPr>
          </w:p>
        </w:tc>
      </w:tr>
      <w:tr>
        <w:trPr>
          <w:trHeight w:val="209"/>
        </w:trPr>
        <w:tc>
          <w:tcPr>
            <w:tcW w:w="6460" w:type="dxa"/>
            <w:vAlign w:val="bottom"/>
          </w:tcPr>
          <w:p>
            <w:pPr>
              <w:ind w:left="20"/>
              <w:spacing w:after="0"/>
              <w:rPr>
                <w:sz w:val="20"/>
                <w:szCs w:val="20"/>
                <w:color w:val="auto"/>
              </w:rPr>
            </w:pPr>
            <w:r>
              <w:rPr>
                <w:rFonts w:ascii="Arial" w:cs="Arial" w:eastAsia="Arial" w:hAnsi="Arial"/>
                <w:sz w:val="16"/>
                <w:szCs w:val="16"/>
                <w:b w:val="1"/>
                <w:bCs w:val="1"/>
                <w:color w:val="004483"/>
              </w:rPr>
              <w:t>Decrease Related to Current Tax Positions</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(4,200 )</w:t>
            </w:r>
          </w:p>
        </w:tc>
      </w:tr>
      <w:tr>
        <w:trPr>
          <w:trHeight w:val="237"/>
        </w:trPr>
        <w:tc>
          <w:tcPr>
            <w:tcW w:w="64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Payments</w:t>
            </w:r>
          </w:p>
        </w:tc>
        <w:tc>
          <w:tcPr>
            <w:tcW w:w="500" w:type="dxa"/>
            <w:vAlign w:val="bottom"/>
            <w:tcBorders>
              <w:top w:val="single" w:sz="8" w:color="A6A6A6"/>
              <w:bottom w:val="single" w:sz="8" w:color="004483"/>
            </w:tcBorders>
          </w:tcPr>
          <w:p>
            <w:pPr>
              <w:spacing w:after="0"/>
              <w:rPr>
                <w:sz w:val="20"/>
                <w:szCs w:val="20"/>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0" w:type="dxa"/>
            <w:vAlign w:val="bottom"/>
            <w:tcBorders>
              <w:top w:val="single" w:sz="8" w:color="A6A6A6"/>
              <w:bottom w:val="single" w:sz="8" w:color="A6A6A6"/>
            </w:tcBorders>
          </w:tcPr>
          <w:p>
            <w:pPr>
              <w:spacing w:after="0"/>
              <w:rPr>
                <w:sz w:val="20"/>
                <w:szCs w:val="20"/>
                <w:color w:val="auto"/>
              </w:rPr>
            </w:pPr>
          </w:p>
        </w:tc>
        <w:tc>
          <w:tcPr>
            <w:tcW w:w="520" w:type="dxa"/>
            <w:vAlign w:val="bottom"/>
            <w:tcBorders>
              <w:top w:val="single" w:sz="8" w:color="A6A6A6"/>
              <w:bottom w:val="single" w:sz="8" w:color="004483"/>
            </w:tcBorders>
          </w:tcPr>
          <w:p>
            <w:pPr>
              <w:spacing w:after="0"/>
              <w:rPr>
                <w:sz w:val="20"/>
                <w:szCs w:val="20"/>
                <w:color w:val="auto"/>
              </w:rPr>
            </w:pPr>
          </w:p>
        </w:tc>
        <w:tc>
          <w:tcPr>
            <w:tcW w:w="8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Borders>
              <w:top w:val="single" w:sz="8" w:color="A6A6A6"/>
              <w:bottom w:val="single" w:sz="8" w:color="A6A6A6"/>
            </w:tcBorders>
          </w:tcPr>
          <w:p>
            <w:pPr>
              <w:spacing w:after="0"/>
              <w:rPr>
                <w:sz w:val="20"/>
                <w:szCs w:val="20"/>
                <w:color w:val="auto"/>
              </w:rPr>
            </w:pPr>
          </w:p>
        </w:tc>
        <w:tc>
          <w:tcPr>
            <w:tcW w:w="500" w:type="dxa"/>
            <w:vAlign w:val="bottom"/>
            <w:tcBorders>
              <w:top w:val="single" w:sz="8" w:color="A6A6A6"/>
              <w:bottom w:val="single" w:sz="8" w:color="004483"/>
            </w:tcBorders>
          </w:tcPr>
          <w:p>
            <w:pPr>
              <w:spacing w:after="0"/>
              <w:rPr>
                <w:sz w:val="20"/>
                <w:szCs w:val="20"/>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r>
      <w:tr>
        <w:trPr>
          <w:trHeight w:val="210"/>
        </w:trPr>
        <w:tc>
          <w:tcPr>
            <w:tcW w:w="6460" w:type="dxa"/>
            <w:vAlign w:val="bottom"/>
          </w:tcPr>
          <w:p>
            <w:pPr>
              <w:spacing w:after="0"/>
              <w:rPr>
                <w:sz w:val="18"/>
                <w:szCs w:val="18"/>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004483"/>
            </w:tcBorders>
          </w:tcPr>
          <w:p>
            <w:pPr>
              <w:jc w:val="right"/>
              <w:ind w:right="328"/>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1,284</w:t>
            </w:r>
          </w:p>
        </w:tc>
        <w:tc>
          <w:tcPr>
            <w:tcW w:w="14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recorded a $4.2 million reserve resulting from of a position taken on our fiscal 2020 federal tax return, which is related to the interest limitation under IRC Section 163(j) and the resulting carryback allowed under the CARES Act. This tax return position reflected an expected update to U.S. Department of the Treasury regulations. During fiscal 2021, the U.S. Department of Treasury issued updated regulations under IRC Section 163(j). As a result, in fiscal 2021 we reversed the reserve recorded in fiscal 2020.</w:t>
      </w:r>
    </w:p>
    <w:p>
      <w:pPr>
        <w:spacing w:after="0" w:line="8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classify interest and penalties related to uncertain tax positions as current income tax expense. We recorded no interest and penalties for each of the fiscal years ended March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004483"/>
        </w:rPr>
        <w:t>(K) COMMITMENTS AND CONTINGENCIES</w:t>
      </w:r>
    </w:p>
    <w:p>
      <w:pPr>
        <w:spacing w:after="0" w:line="1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of our operating units to monitor compliance. Any matters that are identified as potential exposures under these laws and regulations are carefully reviewed by management to determine our potential liability. Although management is not aware of any material exposures that require an accrual under generally accepted accounting principles, there can be no assurance that prior or future operations will not ultimately result in violations, claims, or other liabilities associated with these regulations.</w:t>
      </w:r>
    </w:p>
    <w:p>
      <w:pPr>
        <w:spacing w:after="0" w:line="8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2023, we had contingent liabilities under these outstanding letters of credit of approximately $6.4 million.</w:t>
      </w:r>
    </w:p>
    <w:p>
      <w:pPr>
        <w:spacing w:after="0" w:line="8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are currently contingently liable for performance under $26.9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w:t>
      </w:r>
    </w:p>
    <w:p>
      <w:pPr>
        <w:spacing w:after="0" w:line="1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have certain forward purchase contracts, primarily for natural gas, that expire during calendar years 2022 and 2023. The contracts are for approximately 40% of our anticipated natural gas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color w:val="004483"/>
        </w:rPr>
        <w:t>(L) STOCK OPTION PLANS</w:t>
      </w:r>
    </w:p>
    <w:p>
      <w:pPr>
        <w:spacing w:after="0" w:line="109"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On August 7, 2013, our stockholders approved the Eagle Materials Inc. Amended and Restated Incentive Plan (the Plan), which increased the shares we are authorized to issue as awards by 3,000,000 (1,500,000 of which may be stock awards). Under the terms of the Plan, we may issue equity awards, including stock options, restricted stock units (RSUs), restricted stock, and stock appreciation rights to employees of the Company and members of the Board of Directors. Awards that were already outstanding prior to the approval of the Plan remained outstanding. The Compensation Committee of our Board of Directors specifies the terms for grants of equity awards under the Plan.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Long-Term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OPTIONS</w:t>
      </w:r>
    </w:p>
    <w:p>
      <w:pPr>
        <w:spacing w:after="0" w:line="1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May 2022, the Compensation Committee of the Board of Directors approved the granting to certain officers and key employees an aggregate of 25,192 performance-vesting stock options that would be earned only if certain performance conditions were satisfied (the Fiscal 2023 Employee Performance Stock Option Grant). The performance criterion for the Fiscal 2023 Employee Performance Stock Option Grant was based upon the achievement of certain levels of return on equity (as defined in the option agreements), ranging from 10.0% to 20.0%, for the fiscal year ending March 31, 2023. All stock options would be earned if the return on equity was 20.0% or greater, and the percentage of shares earned are reduced proportionately to approximately 66.7% if the return on equity was 10.0%. If the Company does not achieve a return on equity of at least 10.0%, all stock options granted would be forfeited. During fiscal 2023, our adjusted return on equity exceeded 20.0%; therefore, all of the options were earned. The earned stock options will vest ratably over four years, with the first fourth vesting promptly following the determination date, and the remaining options vesting on March 31, 2024 through 2026. The Compensation Committee also approved the granting of 20,994 time-vesting stock options to the same officers and key employees, which vest ratably over a four-year period, with the first tranche vesting on March 31, 2023 and the remaining options vesting on March 31, 2024 through 2026 (the Fiscal 2023 Employee Time-Vesting Stock Option Grant). All of our stock options have a term of 10 years from the date of grant.</w:t>
      </w:r>
    </w:p>
    <w:p>
      <w:pPr>
        <w:spacing w:after="0" w:line="85"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In August 2022, we granted 3,510 options to members of the Board of Directors (the Fiscal 2023 Board of Directors Stock Option Award). Options granted under the Fiscal 2023 Board of Directors Stock Option Award vest immediately and can be exercised from the grant date until their expiration on the tenth anniversary of the grant date.</w:t>
      </w:r>
    </w:p>
    <w:p>
      <w:pPr>
        <w:spacing w:after="0" w:line="76"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All stock options issued during fiscal 2023 and 2022 were valued at the grant date using the Black-Scholes option pricing model. The weighted-average assumptions used in the Black-Scholes model to value the option awards in fiscal 2023 and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00" w:type="dxa"/>
            <w:vAlign w:val="bottom"/>
            <w:tcBorders>
              <w:bottom w:val="single" w:sz="8" w:color="004483"/>
            </w:tcBorders>
          </w:tcPr>
          <w:p>
            <w:pPr>
              <w:spacing w:after="0"/>
              <w:rPr>
                <w:sz w:val="16"/>
                <w:szCs w:val="16"/>
                <w:color w:val="auto"/>
              </w:rPr>
            </w:pPr>
          </w:p>
        </w:tc>
        <w:tc>
          <w:tcPr>
            <w:tcW w:w="4740" w:type="dxa"/>
            <w:vAlign w:val="bottom"/>
            <w:tcBorders>
              <w:bottom w:val="single" w:sz="8" w:color="004483"/>
            </w:tcBorders>
          </w:tcPr>
          <w:p>
            <w:pPr>
              <w:jc w:val="right"/>
              <w:ind w:right="683"/>
              <w:spacing w:after="0"/>
              <w:rPr>
                <w:sz w:val="20"/>
                <w:szCs w:val="20"/>
                <w:color w:val="auto"/>
              </w:rPr>
            </w:pPr>
            <w:r>
              <w:rPr>
                <w:rFonts w:ascii="Arial" w:cs="Arial" w:eastAsia="Arial" w:hAnsi="Arial"/>
                <w:sz w:val="13"/>
                <w:szCs w:val="13"/>
                <w:b w:val="1"/>
                <w:bCs w:val="1"/>
                <w:color w:val="auto"/>
              </w:rPr>
              <w:t>2023</w:t>
            </w:r>
          </w:p>
        </w:tc>
        <w:tc>
          <w:tcPr>
            <w:tcW w:w="1400" w:type="dxa"/>
            <w:vAlign w:val="bottom"/>
            <w:tcBorders>
              <w:bottom w:val="single" w:sz="8" w:color="004483"/>
            </w:tcBorders>
          </w:tcPr>
          <w:p>
            <w:pPr>
              <w:jc w:val="right"/>
              <w:ind w:right="83"/>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6"/>
                <w:szCs w:val="16"/>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b w:val="1"/>
                <w:bCs w:val="1"/>
                <w:color w:val="004483"/>
              </w:rPr>
              <w:t>Dividend Yield</w:t>
            </w:r>
          </w:p>
        </w:tc>
        <w:tc>
          <w:tcPr>
            <w:tcW w:w="4740" w:type="dxa"/>
            <w:vAlign w:val="bottom"/>
          </w:tcPr>
          <w:p>
            <w:pPr>
              <w:jc w:val="right"/>
              <w:ind w:right="503"/>
              <w:spacing w:after="0"/>
              <w:rPr>
                <w:sz w:val="20"/>
                <w:szCs w:val="20"/>
                <w:color w:val="auto"/>
              </w:rPr>
            </w:pPr>
            <w:r>
              <w:rPr>
                <w:rFonts w:ascii="Arial" w:cs="Arial" w:eastAsia="Arial" w:hAnsi="Arial"/>
                <w:sz w:val="16"/>
                <w:szCs w:val="16"/>
                <w:color w:val="auto"/>
              </w:rPr>
              <w:t>0.8 %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5100" w:type="dxa"/>
            <w:vAlign w:val="bottom"/>
            <w:shd w:val="clear" w:color="auto" w:fill="A6A6A6"/>
          </w:tcPr>
          <w:p>
            <w:pPr>
              <w:spacing w:after="0" w:line="20" w:lineRule="exact"/>
              <w:rPr>
                <w:sz w:val="1"/>
                <w:szCs w:val="1"/>
                <w:color w:val="auto"/>
              </w:rPr>
            </w:pPr>
          </w:p>
        </w:tc>
        <w:tc>
          <w:tcPr>
            <w:tcW w:w="474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004483"/>
              </w:rPr>
              <w:t>Expected Volatility</w:t>
            </w:r>
          </w:p>
        </w:tc>
        <w:tc>
          <w:tcPr>
            <w:tcW w:w="4740" w:type="dxa"/>
            <w:vAlign w:val="bottom"/>
          </w:tcPr>
          <w:p>
            <w:pPr>
              <w:jc w:val="right"/>
              <w:ind w:right="503"/>
              <w:spacing w:after="0"/>
              <w:rPr>
                <w:sz w:val="20"/>
                <w:szCs w:val="20"/>
                <w:color w:val="auto"/>
              </w:rPr>
            </w:pPr>
            <w:r>
              <w:rPr>
                <w:rFonts w:ascii="Arial" w:cs="Arial" w:eastAsia="Arial" w:hAnsi="Arial"/>
                <w:sz w:val="16"/>
                <w:szCs w:val="16"/>
                <w:color w:val="auto"/>
              </w:rPr>
              <w:t>38.2 %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38.4 %</w:t>
            </w:r>
          </w:p>
        </w:tc>
      </w:tr>
      <w:tr>
        <w:trPr>
          <w:trHeight w:val="20"/>
        </w:trPr>
        <w:tc>
          <w:tcPr>
            <w:tcW w:w="5100" w:type="dxa"/>
            <w:vAlign w:val="bottom"/>
            <w:shd w:val="clear" w:color="auto" w:fill="A6A6A6"/>
          </w:tcPr>
          <w:p>
            <w:pPr>
              <w:spacing w:after="0" w:line="20" w:lineRule="exact"/>
              <w:rPr>
                <w:sz w:val="1"/>
                <w:szCs w:val="1"/>
                <w:color w:val="auto"/>
              </w:rPr>
            </w:pPr>
          </w:p>
        </w:tc>
        <w:tc>
          <w:tcPr>
            <w:tcW w:w="474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b w:val="1"/>
                <w:bCs w:val="1"/>
                <w:color w:val="004483"/>
              </w:rPr>
              <w:t>Risk-Free Interest Rate</w:t>
            </w:r>
          </w:p>
        </w:tc>
        <w:tc>
          <w:tcPr>
            <w:tcW w:w="4740" w:type="dxa"/>
            <w:vAlign w:val="bottom"/>
          </w:tcPr>
          <w:p>
            <w:pPr>
              <w:jc w:val="right"/>
              <w:ind w:right="503"/>
              <w:spacing w:after="0"/>
              <w:rPr>
                <w:sz w:val="20"/>
                <w:szCs w:val="20"/>
                <w:color w:val="auto"/>
              </w:rPr>
            </w:pPr>
            <w:r>
              <w:rPr>
                <w:rFonts w:ascii="Arial" w:cs="Arial" w:eastAsia="Arial" w:hAnsi="Arial"/>
                <w:sz w:val="16"/>
                <w:szCs w:val="16"/>
                <w:color w:val="auto"/>
              </w:rPr>
              <w:t>2.90 %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51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Expected Life</w:t>
            </w:r>
          </w:p>
        </w:tc>
        <w:tc>
          <w:tcPr>
            <w:tcW w:w="4740" w:type="dxa"/>
            <w:vAlign w:val="bottom"/>
            <w:tcBorders>
              <w:top w:val="single" w:sz="8" w:color="A6A6A6"/>
              <w:bottom w:val="single" w:sz="8" w:color="A6A6A6"/>
            </w:tcBorders>
          </w:tcPr>
          <w:p>
            <w:pPr>
              <w:jc w:val="right"/>
              <w:ind w:right="683"/>
              <w:spacing w:after="0"/>
              <w:rPr>
                <w:sz w:val="20"/>
                <w:szCs w:val="20"/>
                <w:color w:val="auto"/>
              </w:rPr>
            </w:pPr>
            <w:r>
              <w:rPr>
                <w:rFonts w:ascii="Arial" w:cs="Arial" w:eastAsia="Arial" w:hAnsi="Arial"/>
                <w:sz w:val="16"/>
                <w:szCs w:val="16"/>
                <w:color w:val="auto"/>
              </w:rPr>
              <w:t>6.0 years</w:t>
            </w:r>
          </w:p>
        </w:tc>
        <w:tc>
          <w:tcPr>
            <w:tcW w:w="1400" w:type="dxa"/>
            <w:vAlign w:val="bottom"/>
            <w:tcBorders>
              <w:top w:val="single" w:sz="8" w:color="A6A6A6"/>
              <w:bottom w:val="single" w:sz="8" w:color="A6A6A6"/>
            </w:tcBorders>
          </w:tcPr>
          <w:p>
            <w:pPr>
              <w:jc w:val="right"/>
              <w:ind w:right="83"/>
              <w:spacing w:after="0"/>
              <w:rPr>
                <w:sz w:val="20"/>
                <w:szCs w:val="20"/>
                <w:color w:val="auto"/>
              </w:rPr>
            </w:pPr>
            <w:r>
              <w:rPr>
                <w:rFonts w:ascii="Arial" w:cs="Arial" w:eastAsia="Arial" w:hAnsi="Arial"/>
                <w:sz w:val="16"/>
                <w:szCs w:val="16"/>
                <w:color w:val="auto"/>
              </w:rPr>
              <w:t>6.0 years</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90" w:name="page91"/>
    <w:bookmarkEnd w:id="90"/>
    <w:p>
      <w:pPr>
        <w:ind w:right="20"/>
        <w:spacing w:after="0" w:line="247" w:lineRule="auto"/>
        <w:rPr>
          <w:sz w:val="20"/>
          <w:szCs w:val="20"/>
          <w:color w:val="auto"/>
        </w:rPr>
      </w:pPr>
      <w:r>
        <w:rPr>
          <w:rFonts w:ascii="Arial" w:cs="Arial" w:eastAsia="Arial" w:hAnsi="Arial"/>
          <w:sz w:val="18"/>
          <w:szCs w:val="18"/>
          <w:color w:val="auto"/>
        </w:rPr>
        <w:t>Stock option expense for all outstanding stock option awards was approximately $3.4 million, 3.4 million, and $4.9 million for the years ended March 31, 2023, 2022, and 2021, respectively. At March 31, 2023, there was approximately $3.3 million of unrecognized compensation cost related to outstanding stock options, which is expected to be recognized over a weighted-average period of 2.3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years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8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180" w:type="dxa"/>
            <w:vAlign w:val="bottom"/>
            <w:gridSpan w:val="4"/>
            <w:shd w:val="clear" w:color="auto" w:fill="004483"/>
          </w:tcPr>
          <w:p>
            <w:pPr>
              <w:jc w:val="center"/>
              <w:ind w:right="26"/>
              <w:spacing w:after="0"/>
              <w:rPr>
                <w:sz w:val="20"/>
                <w:szCs w:val="20"/>
                <w:color w:val="auto"/>
              </w:rPr>
            </w:pPr>
            <w:r>
              <w:rPr>
                <w:rFonts w:ascii="Arial" w:cs="Arial" w:eastAsia="Arial" w:hAnsi="Arial"/>
                <w:sz w:val="13"/>
                <w:szCs w:val="13"/>
                <w:b w:val="1"/>
                <w:bCs w:val="1"/>
                <w:color w:val="FFFFFF"/>
                <w:w w:val="96"/>
              </w:rPr>
              <w:t>For the Years Ended March 31,</w:t>
            </w:r>
          </w:p>
        </w:tc>
        <w:tc>
          <w:tcPr>
            <w:tcW w:w="140" w:type="dxa"/>
            <w:vAlign w:val="bottom"/>
            <w:shd w:val="clear" w:color="auto" w:fill="004483"/>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84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4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80" w:type="dxa"/>
            <w:vAlign w:val="bottom"/>
            <w:tcBorders>
              <w:top w:val="single" w:sz="8" w:color="004483"/>
            </w:tcBorders>
          </w:tcPr>
          <w:p>
            <w:pPr>
              <w:spacing w:after="0"/>
              <w:rPr>
                <w:sz w:val="11"/>
                <w:szCs w:val="11"/>
                <w:color w:val="auto"/>
              </w:rPr>
            </w:pPr>
          </w:p>
        </w:tc>
        <w:tc>
          <w:tcPr>
            <w:tcW w:w="820" w:type="dxa"/>
            <w:vAlign w:val="bottom"/>
            <w:tcBorders>
              <w:top w:val="single" w:sz="8" w:color="004483"/>
            </w:tcBorders>
          </w:tcPr>
          <w:p>
            <w:pPr>
              <w:jc w:val="right"/>
              <w:ind w:right="66"/>
              <w:spacing w:after="0" w:line="127"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104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80" w:type="dxa"/>
            <w:vAlign w:val="bottom"/>
            <w:tcBorders>
              <w:top w:val="single" w:sz="8" w:color="004483"/>
            </w:tcBorders>
          </w:tcPr>
          <w:p>
            <w:pPr>
              <w:spacing w:after="0"/>
              <w:rPr>
                <w:sz w:val="11"/>
                <w:szCs w:val="11"/>
                <w:color w:val="auto"/>
              </w:rPr>
            </w:pPr>
          </w:p>
        </w:tc>
        <w:tc>
          <w:tcPr>
            <w:tcW w:w="820" w:type="dxa"/>
            <w:vAlign w:val="bottom"/>
            <w:tcBorders>
              <w:top w:val="single" w:sz="8" w:color="004483"/>
            </w:tcBorders>
          </w:tcPr>
          <w:p>
            <w:pPr>
              <w:jc w:val="right"/>
              <w:ind w:right="66"/>
              <w:spacing w:after="0" w:line="127"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104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80" w:type="dxa"/>
            <w:vAlign w:val="bottom"/>
            <w:tcBorders>
              <w:top w:val="single" w:sz="8" w:color="004483"/>
            </w:tcBorders>
          </w:tcPr>
          <w:p>
            <w:pPr>
              <w:spacing w:after="0"/>
              <w:rPr>
                <w:sz w:val="11"/>
                <w:szCs w:val="11"/>
                <w:color w:val="auto"/>
              </w:rPr>
            </w:pPr>
          </w:p>
        </w:tc>
        <w:tc>
          <w:tcPr>
            <w:tcW w:w="840" w:type="dxa"/>
            <w:vAlign w:val="bottom"/>
            <w:tcBorders>
              <w:top w:val="single" w:sz="8" w:color="004483"/>
            </w:tcBorders>
          </w:tcPr>
          <w:p>
            <w:pPr>
              <w:jc w:val="right"/>
              <w:ind w:right="66"/>
              <w:spacing w:after="0" w:line="127"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1"/>
                <w:szCs w:val="11"/>
                <w:color w:val="auto"/>
              </w:rPr>
            </w:pPr>
          </w:p>
        </w:tc>
        <w:tc>
          <w:tcPr>
            <w:tcW w:w="82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1"/>
                <w:szCs w:val="11"/>
                <w:color w:val="auto"/>
              </w:rPr>
            </w:pPr>
          </w:p>
        </w:tc>
        <w:tc>
          <w:tcPr>
            <w:tcW w:w="82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1"/>
                <w:szCs w:val="11"/>
                <w:color w:val="auto"/>
              </w:rPr>
            </w:pPr>
          </w:p>
        </w:tc>
        <w:tc>
          <w:tcPr>
            <w:tcW w:w="84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1"/>
        </w:trPr>
        <w:tc>
          <w:tcPr>
            <w:tcW w:w="4400" w:type="dxa"/>
            <w:vAlign w:val="bottom"/>
            <w:tcBorders>
              <w:bottom w:val="single" w:sz="8" w:color="004483"/>
            </w:tcBorders>
          </w:tcPr>
          <w:p>
            <w:pPr>
              <w:spacing w:after="0"/>
              <w:rPr>
                <w:sz w:val="16"/>
                <w:szCs w:val="16"/>
                <w:color w:val="auto"/>
              </w:rPr>
            </w:pPr>
          </w:p>
        </w:tc>
        <w:tc>
          <w:tcPr>
            <w:tcW w:w="1180" w:type="dxa"/>
            <w:vAlign w:val="bottom"/>
            <w:tcBorders>
              <w:bottom w:val="single" w:sz="8" w:color="004483"/>
            </w:tcBorders>
            <w:gridSpan w:val="2"/>
          </w:tcPr>
          <w:p>
            <w:pPr>
              <w:jc w:val="right"/>
              <w:ind w:right="280"/>
              <w:spacing w:after="0"/>
              <w:rPr>
                <w:sz w:val="20"/>
                <w:szCs w:val="20"/>
                <w:color w:val="auto"/>
              </w:rPr>
            </w:pPr>
            <w:r>
              <w:rPr>
                <w:rFonts w:ascii="Arial" w:cs="Arial" w:eastAsia="Arial" w:hAnsi="Arial"/>
                <w:sz w:val="13"/>
                <w:szCs w:val="13"/>
                <w:b w:val="1"/>
                <w:bCs w:val="1"/>
                <w:color w:val="auto"/>
              </w:rPr>
              <w:t>of Shares</w:t>
            </w: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jc w:val="right"/>
              <w:ind w:right="66"/>
              <w:spacing w:after="0"/>
              <w:rPr>
                <w:sz w:val="20"/>
                <w:szCs w:val="20"/>
                <w:color w:val="auto"/>
              </w:rPr>
            </w:pPr>
            <w:r>
              <w:rPr>
                <w:rFonts w:ascii="Arial" w:cs="Arial" w:eastAsia="Arial" w:hAnsi="Arial"/>
                <w:sz w:val="13"/>
                <w:szCs w:val="13"/>
                <w:b w:val="1"/>
                <w:bCs w:val="1"/>
                <w:color w:val="auto"/>
              </w:rPr>
              <w:t>Price</w:t>
            </w:r>
          </w:p>
        </w:tc>
        <w:tc>
          <w:tcPr>
            <w:tcW w:w="140" w:type="dxa"/>
            <w:vAlign w:val="bottom"/>
            <w:tcBorders>
              <w:bottom w:val="single" w:sz="8" w:color="004483"/>
            </w:tcBorders>
          </w:tcPr>
          <w:p>
            <w:pPr>
              <w:spacing w:after="0"/>
              <w:rPr>
                <w:sz w:val="16"/>
                <w:szCs w:val="16"/>
                <w:color w:val="auto"/>
              </w:rPr>
            </w:pPr>
          </w:p>
        </w:tc>
        <w:tc>
          <w:tcPr>
            <w:tcW w:w="1180" w:type="dxa"/>
            <w:vAlign w:val="bottom"/>
            <w:tcBorders>
              <w:bottom w:val="single" w:sz="8" w:color="004483"/>
            </w:tcBorders>
            <w:gridSpan w:val="2"/>
          </w:tcPr>
          <w:p>
            <w:pPr>
              <w:jc w:val="right"/>
              <w:ind w:right="280"/>
              <w:spacing w:after="0"/>
              <w:rPr>
                <w:sz w:val="20"/>
                <w:szCs w:val="20"/>
                <w:color w:val="auto"/>
              </w:rPr>
            </w:pPr>
            <w:r>
              <w:rPr>
                <w:rFonts w:ascii="Arial" w:cs="Arial" w:eastAsia="Arial" w:hAnsi="Arial"/>
                <w:sz w:val="13"/>
                <w:szCs w:val="13"/>
                <w:b w:val="1"/>
                <w:bCs w:val="1"/>
                <w:color w:val="auto"/>
              </w:rPr>
              <w:t>of Shares</w:t>
            </w: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jc w:val="right"/>
              <w:ind w:right="66"/>
              <w:spacing w:after="0"/>
              <w:rPr>
                <w:sz w:val="20"/>
                <w:szCs w:val="20"/>
                <w:color w:val="auto"/>
              </w:rPr>
            </w:pPr>
            <w:r>
              <w:rPr>
                <w:rFonts w:ascii="Arial" w:cs="Arial" w:eastAsia="Arial" w:hAnsi="Arial"/>
                <w:sz w:val="13"/>
                <w:szCs w:val="13"/>
                <w:b w:val="1"/>
                <w:bCs w:val="1"/>
                <w:color w:val="auto"/>
              </w:rPr>
              <w:t>Price</w:t>
            </w:r>
          </w:p>
        </w:tc>
        <w:tc>
          <w:tcPr>
            <w:tcW w:w="140" w:type="dxa"/>
            <w:vAlign w:val="bottom"/>
            <w:tcBorders>
              <w:bottom w:val="single" w:sz="8" w:color="004483"/>
            </w:tcBorders>
          </w:tcPr>
          <w:p>
            <w:pPr>
              <w:spacing w:after="0"/>
              <w:rPr>
                <w:sz w:val="16"/>
                <w:szCs w:val="16"/>
                <w:color w:val="auto"/>
              </w:rPr>
            </w:pPr>
          </w:p>
        </w:tc>
        <w:tc>
          <w:tcPr>
            <w:tcW w:w="1180" w:type="dxa"/>
            <w:vAlign w:val="bottom"/>
            <w:tcBorders>
              <w:bottom w:val="single" w:sz="8" w:color="004483"/>
            </w:tcBorders>
            <w:gridSpan w:val="2"/>
          </w:tcPr>
          <w:p>
            <w:pPr>
              <w:jc w:val="right"/>
              <w:ind w:right="280"/>
              <w:spacing w:after="0"/>
              <w:rPr>
                <w:sz w:val="20"/>
                <w:szCs w:val="20"/>
                <w:color w:val="auto"/>
              </w:rPr>
            </w:pPr>
            <w:r>
              <w:rPr>
                <w:rFonts w:ascii="Arial" w:cs="Arial" w:eastAsia="Arial" w:hAnsi="Arial"/>
                <w:sz w:val="13"/>
                <w:szCs w:val="13"/>
                <w:b w:val="1"/>
                <w:bCs w:val="1"/>
                <w:color w:val="auto"/>
              </w:rPr>
              <w:t>of Shares</w:t>
            </w:r>
          </w:p>
        </w:tc>
        <w:tc>
          <w:tcPr>
            <w:tcW w:w="180" w:type="dxa"/>
            <w:vAlign w:val="bottom"/>
            <w:tcBorders>
              <w:bottom w:val="single" w:sz="8" w:color="004483"/>
            </w:tcBorders>
          </w:tcPr>
          <w:p>
            <w:pPr>
              <w:spacing w:after="0"/>
              <w:rPr>
                <w:sz w:val="16"/>
                <w:szCs w:val="16"/>
                <w:color w:val="auto"/>
              </w:rPr>
            </w:pPr>
          </w:p>
        </w:tc>
        <w:tc>
          <w:tcPr>
            <w:tcW w:w="840" w:type="dxa"/>
            <w:vAlign w:val="bottom"/>
            <w:tcBorders>
              <w:bottom w:val="single" w:sz="8" w:color="004483"/>
            </w:tcBorders>
          </w:tcPr>
          <w:p>
            <w:pPr>
              <w:jc w:val="right"/>
              <w:ind w:right="66"/>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Beginning of Year</w:t>
            </w:r>
          </w:p>
        </w:tc>
        <w:tc>
          <w:tcPr>
            <w:tcW w:w="104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456,849</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83.81</w:t>
            </w:r>
          </w:p>
        </w:tc>
        <w:tc>
          <w:tcPr>
            <w:tcW w:w="1180" w:type="dxa"/>
            <w:vAlign w:val="bottom"/>
            <w:tcBorders>
              <w:bottom w:val="single" w:sz="8" w:color="A6A6A6"/>
            </w:tcBorders>
            <w:gridSpan w:val="2"/>
          </w:tcPr>
          <w:p>
            <w:pPr>
              <w:jc w:val="right"/>
              <w:ind w:right="70"/>
              <w:spacing w:after="0"/>
              <w:rPr>
                <w:sz w:val="20"/>
                <w:szCs w:val="20"/>
                <w:color w:val="auto"/>
              </w:rPr>
            </w:pPr>
            <w:r>
              <w:rPr>
                <w:rFonts w:ascii="Arial" w:cs="Arial" w:eastAsia="Arial" w:hAnsi="Arial"/>
                <w:sz w:val="16"/>
                <w:szCs w:val="16"/>
                <w:color w:val="auto"/>
              </w:rPr>
              <w:t>708,501</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83.85</w:t>
            </w:r>
          </w:p>
        </w:tc>
        <w:tc>
          <w:tcPr>
            <w:tcW w:w="1180" w:type="dxa"/>
            <w:vAlign w:val="bottom"/>
            <w:tcBorders>
              <w:bottom w:val="single" w:sz="8" w:color="A6A6A6"/>
            </w:tcBorders>
            <w:gridSpan w:val="2"/>
          </w:tcPr>
          <w:p>
            <w:pPr>
              <w:jc w:val="right"/>
              <w:ind w:right="68"/>
              <w:spacing w:after="0"/>
              <w:rPr>
                <w:sz w:val="20"/>
                <w:szCs w:val="20"/>
                <w:color w:val="auto"/>
              </w:rPr>
            </w:pPr>
            <w:r>
              <w:rPr>
                <w:rFonts w:ascii="Arial" w:cs="Arial" w:eastAsia="Arial" w:hAnsi="Arial"/>
                <w:sz w:val="16"/>
                <w:szCs w:val="16"/>
                <w:color w:val="auto"/>
              </w:rPr>
              <w:t>1,160,091</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80.36</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A6A6A6"/>
            </w:tcBorders>
          </w:tcPr>
          <w:p>
            <w:pPr>
              <w:ind w:left="120"/>
              <w:spacing w:after="0"/>
              <w:rPr>
                <w:sz w:val="20"/>
                <w:szCs w:val="20"/>
                <w:color w:val="auto"/>
              </w:rPr>
            </w:pPr>
            <w:r>
              <w:rPr>
                <w:rFonts w:ascii="Arial" w:cs="Arial" w:eastAsia="Arial" w:hAnsi="Arial"/>
                <w:sz w:val="16"/>
                <w:szCs w:val="16"/>
                <w:b w:val="1"/>
                <w:bCs w:val="1"/>
                <w:color w:val="004483"/>
              </w:rPr>
              <w:t>Granted</w:t>
            </w:r>
          </w:p>
        </w:tc>
        <w:tc>
          <w:tcPr>
            <w:tcW w:w="104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56,621</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125.90</w:t>
            </w:r>
          </w:p>
        </w:tc>
        <w:tc>
          <w:tcPr>
            <w:tcW w:w="1180" w:type="dxa"/>
            <w:vAlign w:val="bottom"/>
            <w:tcBorders>
              <w:bottom w:val="single" w:sz="8" w:color="A6A6A6"/>
            </w:tcBorders>
            <w:gridSpan w:val="2"/>
          </w:tcPr>
          <w:p>
            <w:pPr>
              <w:jc w:val="right"/>
              <w:ind w:right="70"/>
              <w:spacing w:after="0"/>
              <w:rPr>
                <w:sz w:val="20"/>
                <w:szCs w:val="20"/>
                <w:color w:val="auto"/>
              </w:rPr>
            </w:pPr>
            <w:r>
              <w:rPr>
                <w:rFonts w:ascii="Arial" w:cs="Arial" w:eastAsia="Arial" w:hAnsi="Arial"/>
                <w:sz w:val="16"/>
                <w:szCs w:val="16"/>
                <w:color w:val="auto"/>
              </w:rPr>
              <w:t>11,316</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140.42</w:t>
            </w:r>
          </w:p>
        </w:tc>
        <w:tc>
          <w:tcPr>
            <w:tcW w:w="1180" w:type="dxa"/>
            <w:vAlign w:val="bottom"/>
            <w:tcBorders>
              <w:bottom w:val="single" w:sz="8" w:color="A6A6A6"/>
            </w:tcBorders>
            <w:gridSpan w:val="2"/>
          </w:tcPr>
          <w:p>
            <w:pPr>
              <w:jc w:val="right"/>
              <w:ind w:right="68"/>
              <w:spacing w:after="0"/>
              <w:rPr>
                <w:sz w:val="20"/>
                <w:szCs w:val="20"/>
                <w:color w:val="auto"/>
              </w:rPr>
            </w:pPr>
            <w:r>
              <w:rPr>
                <w:rFonts w:ascii="Arial" w:cs="Arial" w:eastAsia="Arial" w:hAnsi="Arial"/>
                <w:sz w:val="16"/>
                <w:szCs w:val="16"/>
                <w:color w:val="auto"/>
              </w:rPr>
              <w:t>187,121</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61.92</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A6A6A6"/>
            </w:tcBorders>
          </w:tcPr>
          <w:p>
            <w:pPr>
              <w:ind w:left="120"/>
              <w:spacing w:after="0"/>
              <w:rPr>
                <w:sz w:val="20"/>
                <w:szCs w:val="20"/>
                <w:color w:val="auto"/>
              </w:rPr>
            </w:pPr>
            <w:r>
              <w:rPr>
                <w:rFonts w:ascii="Arial" w:cs="Arial" w:eastAsia="Arial" w:hAnsi="Arial"/>
                <w:sz w:val="16"/>
                <w:szCs w:val="16"/>
                <w:b w:val="1"/>
                <w:bCs w:val="1"/>
                <w:color w:val="004483"/>
              </w:rPr>
              <w:t>Exercised</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(73,343 )</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80.19</w:t>
            </w:r>
          </w:p>
        </w:tc>
        <w:tc>
          <w:tcPr>
            <w:tcW w:w="11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(247,578 )</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86.97</w:t>
            </w:r>
          </w:p>
        </w:tc>
        <w:tc>
          <w:tcPr>
            <w:tcW w:w="11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(623,617 )</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37"/>
        </w:trPr>
        <w:tc>
          <w:tcPr>
            <w:tcW w:w="4400" w:type="dxa"/>
            <w:vAlign w:val="bottom"/>
          </w:tcPr>
          <w:p>
            <w:pPr>
              <w:ind w:left="120"/>
              <w:spacing w:after="0"/>
              <w:rPr>
                <w:sz w:val="20"/>
                <w:szCs w:val="20"/>
                <w:color w:val="auto"/>
              </w:rPr>
            </w:pPr>
            <w:r>
              <w:rPr>
                <w:rFonts w:ascii="Arial" w:cs="Arial" w:eastAsia="Arial" w:hAnsi="Arial"/>
                <w:sz w:val="16"/>
                <w:szCs w:val="16"/>
                <w:b w:val="1"/>
                <w:bCs w:val="1"/>
                <w:color w:val="004483"/>
              </w:rPr>
              <w:t>Cancelled</w:t>
            </w:r>
          </w:p>
        </w:tc>
        <w:tc>
          <w:tcPr>
            <w:tcW w:w="1040" w:type="dxa"/>
            <w:vAlign w:val="bottom"/>
          </w:tcPr>
          <w:p>
            <w:pPr>
              <w:jc w:val="right"/>
              <w:spacing w:after="0"/>
              <w:rPr>
                <w:sz w:val="20"/>
                <w:szCs w:val="20"/>
                <w:color w:val="auto"/>
              </w:rPr>
            </w:pPr>
            <w:r>
              <w:rPr>
                <w:rFonts w:ascii="Arial" w:cs="Arial" w:eastAsia="Arial" w:hAnsi="Arial"/>
                <w:sz w:val="16"/>
                <w:szCs w:val="16"/>
                <w:color w:val="auto"/>
              </w:rPr>
              <w:t>(3,178 )</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6"/>
              <w:spacing w:after="0"/>
              <w:rPr>
                <w:sz w:val="20"/>
                <w:szCs w:val="20"/>
                <w:color w:val="auto"/>
              </w:rPr>
            </w:pPr>
            <w:r>
              <w:rPr>
                <w:rFonts w:ascii="Arial" w:cs="Arial" w:eastAsia="Arial" w:hAnsi="Arial"/>
                <w:sz w:val="16"/>
                <w:szCs w:val="16"/>
                <w:color w:val="auto"/>
              </w:rPr>
              <w:t>109.15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(15,390 )</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6"/>
              <w:spacing w:after="0"/>
              <w:rPr>
                <w:sz w:val="20"/>
                <w:szCs w:val="20"/>
                <w:color w:val="auto"/>
              </w:rPr>
            </w:pPr>
            <w:r>
              <w:rPr>
                <w:rFonts w:ascii="Arial" w:cs="Arial" w:eastAsia="Arial" w:hAnsi="Arial"/>
                <w:sz w:val="16"/>
                <w:szCs w:val="16"/>
                <w:color w:val="auto"/>
              </w:rPr>
              <w:t>76.63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(15,094 )</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6"/>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209"/>
        </w:trPr>
        <w:tc>
          <w:tcPr>
            <w:tcW w:w="440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004483"/>
              </w:rPr>
              <w:t>Outstanding Options at End of Year</w:t>
            </w:r>
          </w:p>
        </w:tc>
        <w:tc>
          <w:tcPr>
            <w:tcW w:w="1040" w:type="dxa"/>
            <w:vAlign w:val="bottom"/>
            <w:tcBorders>
              <w:top w:val="single" w:sz="8" w:color="004483"/>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436,949</w:t>
            </w:r>
          </w:p>
        </w:tc>
        <w:tc>
          <w:tcPr>
            <w:tcW w:w="140" w:type="dxa"/>
            <w:vAlign w:val="bottom"/>
            <w:tcBorders>
              <w:top w:val="single" w:sz="8" w:color="A6A6A6"/>
            </w:tcBorders>
          </w:tcPr>
          <w:p>
            <w:pPr>
              <w:spacing w:after="0"/>
              <w:rPr>
                <w:sz w:val="18"/>
                <w:szCs w:val="18"/>
                <w:color w:val="auto"/>
              </w:rPr>
            </w:pPr>
          </w:p>
        </w:tc>
        <w:tc>
          <w:tcPr>
            <w:tcW w:w="180" w:type="dxa"/>
            <w:vAlign w:val="bottom"/>
            <w:tcBorders>
              <w:top w:val="single" w:sz="8" w:color="004483"/>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004483"/>
            </w:tcBorders>
          </w:tcPr>
          <w:p>
            <w:pPr>
              <w:jc w:val="right"/>
              <w:ind w:right="66"/>
              <w:spacing w:after="0"/>
              <w:rPr>
                <w:sz w:val="20"/>
                <w:szCs w:val="20"/>
                <w:color w:val="auto"/>
              </w:rPr>
            </w:pPr>
            <w:r>
              <w:rPr>
                <w:rFonts w:ascii="Arial" w:cs="Arial" w:eastAsia="Arial" w:hAnsi="Arial"/>
                <w:sz w:val="16"/>
                <w:szCs w:val="16"/>
                <w:color w:val="auto"/>
              </w:rPr>
              <w:t>89.69</w:t>
            </w:r>
          </w:p>
        </w:tc>
        <w:tc>
          <w:tcPr>
            <w:tcW w:w="140" w:type="dxa"/>
            <w:vAlign w:val="bottom"/>
            <w:tcBorders>
              <w:top w:val="single" w:sz="8" w:color="A6A6A6"/>
            </w:tcBorders>
          </w:tcPr>
          <w:p>
            <w:pPr>
              <w:spacing w:after="0"/>
              <w:rPr>
                <w:sz w:val="18"/>
                <w:szCs w:val="18"/>
                <w:color w:val="auto"/>
              </w:rPr>
            </w:pPr>
          </w:p>
        </w:tc>
        <w:tc>
          <w:tcPr>
            <w:tcW w:w="1040" w:type="dxa"/>
            <w:vAlign w:val="bottom"/>
            <w:tcBorders>
              <w:top w:val="single" w:sz="8" w:color="004483"/>
              <w:bottom w:val="single" w:sz="8" w:color="004483"/>
            </w:tcBorders>
          </w:tcPr>
          <w:p>
            <w:pPr>
              <w:jc w:val="right"/>
              <w:ind w:right="70"/>
              <w:spacing w:after="0"/>
              <w:rPr>
                <w:sz w:val="20"/>
                <w:szCs w:val="20"/>
                <w:color w:val="auto"/>
              </w:rPr>
            </w:pPr>
            <w:r>
              <w:rPr>
                <w:rFonts w:ascii="Arial" w:cs="Arial" w:eastAsia="Arial" w:hAnsi="Arial"/>
                <w:sz w:val="16"/>
                <w:szCs w:val="16"/>
                <w:b w:val="1"/>
                <w:bCs w:val="1"/>
                <w:color w:val="auto"/>
              </w:rPr>
              <w:t>456,849</w:t>
            </w:r>
          </w:p>
        </w:tc>
        <w:tc>
          <w:tcPr>
            <w:tcW w:w="140" w:type="dxa"/>
            <w:vAlign w:val="bottom"/>
            <w:tcBorders>
              <w:top w:val="single" w:sz="8" w:color="A6A6A6"/>
            </w:tcBorders>
          </w:tcPr>
          <w:p>
            <w:pPr>
              <w:spacing w:after="0"/>
              <w:rPr>
                <w:sz w:val="18"/>
                <w:szCs w:val="18"/>
                <w:color w:val="auto"/>
              </w:rPr>
            </w:pPr>
          </w:p>
        </w:tc>
        <w:tc>
          <w:tcPr>
            <w:tcW w:w="180" w:type="dxa"/>
            <w:vAlign w:val="bottom"/>
            <w:tcBorders>
              <w:top w:val="single" w:sz="8" w:color="004483"/>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004483"/>
            </w:tcBorders>
          </w:tcPr>
          <w:p>
            <w:pPr>
              <w:jc w:val="right"/>
              <w:ind w:right="66"/>
              <w:spacing w:after="0"/>
              <w:rPr>
                <w:sz w:val="20"/>
                <w:szCs w:val="20"/>
                <w:color w:val="auto"/>
              </w:rPr>
            </w:pPr>
            <w:r>
              <w:rPr>
                <w:rFonts w:ascii="Arial" w:cs="Arial" w:eastAsia="Arial" w:hAnsi="Arial"/>
                <w:sz w:val="16"/>
                <w:szCs w:val="16"/>
                <w:color w:val="auto"/>
              </w:rPr>
              <w:t>83.81</w:t>
            </w:r>
          </w:p>
        </w:tc>
        <w:tc>
          <w:tcPr>
            <w:tcW w:w="140" w:type="dxa"/>
            <w:vAlign w:val="bottom"/>
            <w:tcBorders>
              <w:top w:val="single" w:sz="8" w:color="A6A6A6"/>
            </w:tcBorders>
          </w:tcPr>
          <w:p>
            <w:pPr>
              <w:spacing w:after="0"/>
              <w:rPr>
                <w:sz w:val="18"/>
                <w:szCs w:val="18"/>
                <w:color w:val="auto"/>
              </w:rPr>
            </w:pPr>
          </w:p>
        </w:tc>
        <w:tc>
          <w:tcPr>
            <w:tcW w:w="104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6"/>
                <w:szCs w:val="16"/>
                <w:b w:val="1"/>
                <w:bCs w:val="1"/>
                <w:color w:val="auto"/>
              </w:rPr>
              <w:t>708,501</w:t>
            </w:r>
          </w:p>
        </w:tc>
        <w:tc>
          <w:tcPr>
            <w:tcW w:w="140" w:type="dxa"/>
            <w:vAlign w:val="bottom"/>
            <w:tcBorders>
              <w:top w:val="single" w:sz="8" w:color="A6A6A6"/>
            </w:tcBorders>
          </w:tcPr>
          <w:p>
            <w:pPr>
              <w:spacing w:after="0"/>
              <w:rPr>
                <w:sz w:val="18"/>
                <w:szCs w:val="18"/>
                <w:color w:val="auto"/>
              </w:rPr>
            </w:pPr>
          </w:p>
        </w:tc>
        <w:tc>
          <w:tcPr>
            <w:tcW w:w="180" w:type="dxa"/>
            <w:vAlign w:val="bottom"/>
            <w:tcBorders>
              <w:top w:val="single" w:sz="8" w:color="004483"/>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004483"/>
            </w:tcBorders>
          </w:tcPr>
          <w:p>
            <w:pPr>
              <w:jc w:val="right"/>
              <w:ind w:right="66"/>
              <w:spacing w:after="0"/>
              <w:rPr>
                <w:sz w:val="20"/>
                <w:szCs w:val="20"/>
                <w:color w:val="auto"/>
              </w:rPr>
            </w:pPr>
            <w:r>
              <w:rPr>
                <w:rFonts w:ascii="Arial" w:cs="Arial" w:eastAsia="Arial" w:hAnsi="Arial"/>
                <w:sz w:val="16"/>
                <w:szCs w:val="16"/>
                <w:color w:val="auto"/>
              </w:rPr>
              <w:t>83.85</w:t>
            </w:r>
          </w:p>
        </w:tc>
        <w:tc>
          <w:tcPr>
            <w:tcW w:w="0" w:type="dxa"/>
            <w:vAlign w:val="bottom"/>
          </w:tcPr>
          <w:p>
            <w:pPr>
              <w:spacing w:after="0"/>
              <w:rPr>
                <w:sz w:val="1"/>
                <w:szCs w:val="1"/>
                <w:color w:val="auto"/>
              </w:rPr>
            </w:pPr>
          </w:p>
        </w:tc>
      </w:tr>
      <w:tr>
        <w:trPr>
          <w:trHeight w:val="20"/>
        </w:trPr>
        <w:tc>
          <w:tcPr>
            <w:tcW w:w="44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6"/>
                <w:szCs w:val="16"/>
                <w:b w:val="1"/>
                <w:bCs w:val="1"/>
                <w:color w:val="004483"/>
              </w:rPr>
              <w:t>Options Exercisable at End of Year</w:t>
            </w:r>
          </w:p>
        </w:tc>
        <w:tc>
          <w:tcPr>
            <w:tcW w:w="1040" w:type="dxa"/>
            <w:vAlign w:val="bottom"/>
            <w:tcBorders>
              <w:bottom w:val="single" w:sz="8" w:color="004483"/>
            </w:tcBorders>
          </w:tcPr>
          <w:p>
            <w:pPr>
              <w:jc w:val="right"/>
              <w:ind w:right="65"/>
              <w:spacing w:after="0"/>
              <w:rPr>
                <w:sz w:val="20"/>
                <w:szCs w:val="20"/>
                <w:color w:val="auto"/>
              </w:rPr>
            </w:pPr>
            <w:r>
              <w:rPr>
                <w:rFonts w:ascii="Arial" w:cs="Arial" w:eastAsia="Arial" w:hAnsi="Arial"/>
                <w:sz w:val="16"/>
                <w:szCs w:val="16"/>
                <w:b w:val="1"/>
                <w:bCs w:val="1"/>
                <w:color w:val="auto"/>
              </w:rPr>
              <w:t>339,043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4483"/>
            </w:tcBorders>
          </w:tcPr>
          <w:p>
            <w:pPr>
              <w:jc w:val="right"/>
              <w:ind w:right="70"/>
              <w:spacing w:after="0"/>
              <w:rPr>
                <w:sz w:val="20"/>
                <w:szCs w:val="20"/>
                <w:color w:val="auto"/>
              </w:rPr>
            </w:pPr>
            <w:r>
              <w:rPr>
                <w:rFonts w:ascii="Arial" w:cs="Arial" w:eastAsia="Arial" w:hAnsi="Arial"/>
                <w:sz w:val="16"/>
                <w:szCs w:val="16"/>
                <w:b w:val="1"/>
                <w:bCs w:val="1"/>
                <w:color w:val="auto"/>
              </w:rPr>
              <w:t>314,624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4483"/>
            </w:tcBorders>
          </w:tcPr>
          <w:p>
            <w:pPr>
              <w:jc w:val="right"/>
              <w:ind w:right="68"/>
              <w:spacing w:after="0"/>
              <w:rPr>
                <w:sz w:val="20"/>
                <w:szCs w:val="20"/>
                <w:color w:val="auto"/>
              </w:rPr>
            </w:pPr>
            <w:r>
              <w:rPr>
                <w:rFonts w:ascii="Arial" w:cs="Arial" w:eastAsia="Arial" w:hAnsi="Arial"/>
                <w:sz w:val="16"/>
                <w:szCs w:val="16"/>
                <w:b w:val="1"/>
                <w:bCs w:val="1"/>
                <w:color w:val="auto"/>
              </w:rPr>
              <w:t>416,817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0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Weighted-Average Fair Value of Options Granted</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104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48.36</w:t>
            </w:r>
          </w:p>
        </w:tc>
        <w:tc>
          <w:tcPr>
            <w:tcW w:w="14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49.18</w:t>
            </w:r>
          </w:p>
        </w:tc>
        <w:tc>
          <w:tcPr>
            <w:tcW w:w="14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shd w:val="clear" w:color="auto" w:fill="004483"/>
          </w:tcPr>
          <w:p>
            <w:pPr>
              <w:spacing w:after="0"/>
              <w:rPr>
                <w:sz w:val="14"/>
                <w:szCs w:val="14"/>
                <w:color w:val="auto"/>
              </w:rPr>
            </w:pPr>
          </w:p>
        </w:tc>
        <w:tc>
          <w:tcPr>
            <w:tcW w:w="1380" w:type="dxa"/>
            <w:vAlign w:val="bottom"/>
            <w:shd w:val="clear" w:color="auto" w:fill="004483"/>
          </w:tcPr>
          <w:p>
            <w:pPr>
              <w:jc w:val="right"/>
              <w:ind w:right="50"/>
              <w:spacing w:after="0"/>
              <w:rPr>
                <w:sz w:val="20"/>
                <w:szCs w:val="20"/>
                <w:color w:val="auto"/>
              </w:rPr>
            </w:pPr>
            <w:r>
              <w:rPr>
                <w:rFonts w:ascii="Arial" w:cs="Arial" w:eastAsia="Arial" w:hAnsi="Arial"/>
                <w:sz w:val="13"/>
                <w:szCs w:val="13"/>
                <w:b w:val="1"/>
                <w:bCs w:val="1"/>
                <w:color w:val="FFFFFF"/>
                <w:w w:val="95"/>
              </w:rPr>
              <w:t>Options Outstanding</w:t>
            </w:r>
          </w:p>
        </w:tc>
        <w:tc>
          <w:tcPr>
            <w:tcW w:w="320" w:type="dxa"/>
            <w:vAlign w:val="bottom"/>
            <w:shd w:val="clear" w:color="auto" w:fill="004483"/>
          </w:tcPr>
          <w:p>
            <w:pPr>
              <w:spacing w:after="0"/>
              <w:rPr>
                <w:sz w:val="14"/>
                <w:szCs w:val="14"/>
                <w:color w:val="auto"/>
              </w:rPr>
            </w:pPr>
          </w:p>
        </w:tc>
        <w:tc>
          <w:tcPr>
            <w:tcW w:w="860" w:type="dxa"/>
            <w:vAlign w:val="bottom"/>
            <w:shd w:val="clear" w:color="auto" w:fill="004483"/>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3"/>
            <w:shd w:val="clear" w:color="auto" w:fill="004483"/>
          </w:tcPr>
          <w:p>
            <w:pPr>
              <w:jc w:val="right"/>
              <w:ind w:right="628"/>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27"/>
        </w:trPr>
        <w:tc>
          <w:tcPr>
            <w:tcW w:w="5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jc w:val="right"/>
              <w:ind w:right="130"/>
              <w:spacing w:after="0" w:line="127" w:lineRule="exact"/>
              <w:rPr>
                <w:sz w:val="20"/>
                <w:szCs w:val="20"/>
                <w:color w:val="auto"/>
              </w:rPr>
            </w:pPr>
            <w:r>
              <w:rPr>
                <w:rFonts w:ascii="Arial" w:cs="Arial" w:eastAsia="Arial" w:hAnsi="Arial"/>
                <w:sz w:val="13"/>
                <w:szCs w:val="13"/>
                <w:b w:val="1"/>
                <w:bCs w:val="1"/>
                <w:color w:val="auto"/>
              </w:rPr>
              <w:t>Weighted-</w:t>
            </w:r>
          </w:p>
        </w:tc>
        <w:tc>
          <w:tcPr>
            <w:tcW w:w="320" w:type="dxa"/>
            <w:vAlign w:val="bottom"/>
          </w:tcPr>
          <w:p>
            <w:pPr>
              <w:spacing w:after="0"/>
              <w:rPr>
                <w:sz w:val="11"/>
                <w:szCs w:val="11"/>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6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auto"/>
              </w:rPr>
              <w:t>Number of</w:t>
            </w:r>
          </w:p>
        </w:tc>
        <w:tc>
          <w:tcPr>
            <w:tcW w:w="138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Average</w:t>
            </w:r>
          </w:p>
        </w:tc>
        <w:tc>
          <w:tcPr>
            <w:tcW w:w="3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38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Remaining</w:t>
            </w:r>
          </w:p>
        </w:tc>
        <w:tc>
          <w:tcPr>
            <w:tcW w:w="320" w:type="dxa"/>
            <w:vAlign w:val="bottom"/>
          </w:tcPr>
          <w:p>
            <w:pPr>
              <w:spacing w:after="0"/>
              <w:rPr>
                <w:sz w:val="11"/>
                <w:szCs w:val="11"/>
                <w:color w:val="auto"/>
              </w:rPr>
            </w:pPr>
          </w:p>
        </w:tc>
        <w:tc>
          <w:tcPr>
            <w:tcW w:w="86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4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160" w:type="dxa"/>
            <w:vAlign w:val="bottom"/>
          </w:tcPr>
          <w:p>
            <w:pPr>
              <w:jc w:val="right"/>
              <w:ind w:right="67"/>
              <w:spacing w:after="0" w:line="135" w:lineRule="exact"/>
              <w:rPr>
                <w:sz w:val="20"/>
                <w:szCs w:val="20"/>
                <w:color w:val="auto"/>
              </w:rPr>
            </w:pPr>
            <w:r>
              <w:rPr>
                <w:rFonts w:ascii="Arial" w:cs="Arial" w:eastAsia="Arial" w:hAnsi="Arial"/>
                <w:sz w:val="13"/>
                <w:szCs w:val="13"/>
                <w:b w:val="1"/>
                <w:bCs w:val="1"/>
                <w:color w:val="auto"/>
              </w:rPr>
              <w:t>Shares</w:t>
            </w:r>
          </w:p>
        </w:tc>
        <w:tc>
          <w:tcPr>
            <w:tcW w:w="138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Contractual</w:t>
            </w:r>
          </w:p>
        </w:tc>
        <w:tc>
          <w:tcPr>
            <w:tcW w:w="320" w:type="dxa"/>
            <w:vAlign w:val="bottom"/>
          </w:tcPr>
          <w:p>
            <w:pPr>
              <w:spacing w:after="0"/>
              <w:rPr>
                <w:sz w:val="11"/>
                <w:szCs w:val="11"/>
                <w:color w:val="auto"/>
              </w:rPr>
            </w:pPr>
          </w:p>
        </w:tc>
        <w:tc>
          <w:tcPr>
            <w:tcW w:w="86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1"/>
                <w:szCs w:val="11"/>
                <w:color w:val="auto"/>
              </w:rPr>
            </w:pPr>
          </w:p>
        </w:tc>
        <w:tc>
          <w:tcPr>
            <w:tcW w:w="120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rPr>
              <w:t>Shares</w:t>
            </w:r>
          </w:p>
        </w:tc>
        <w:tc>
          <w:tcPr>
            <w:tcW w:w="380" w:type="dxa"/>
            <w:vAlign w:val="bottom"/>
          </w:tcPr>
          <w:p>
            <w:pPr>
              <w:spacing w:after="0"/>
              <w:rPr>
                <w:sz w:val="11"/>
                <w:szCs w:val="11"/>
                <w:color w:val="auto"/>
              </w:rPr>
            </w:pPr>
          </w:p>
        </w:tc>
        <w:tc>
          <w:tcPr>
            <w:tcW w:w="88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1"/>
        </w:trPr>
        <w:tc>
          <w:tcPr>
            <w:tcW w:w="4920" w:type="dxa"/>
            <w:vAlign w:val="bottom"/>
            <w:tcBorders>
              <w:bottom w:val="single" w:sz="8" w:color="004483"/>
            </w:tcBorders>
            <w:gridSpan w:val="2"/>
            <w:vMerge w:val="continue"/>
          </w:tcPr>
          <w:p>
            <w:pPr>
              <w:spacing w:after="0"/>
              <w:rPr>
                <w:sz w:val="16"/>
                <w:szCs w:val="16"/>
                <w:color w:val="auto"/>
              </w:rPr>
            </w:pPr>
          </w:p>
        </w:tc>
        <w:tc>
          <w:tcPr>
            <w:tcW w:w="1160" w:type="dxa"/>
            <w:vAlign w:val="bottom"/>
            <w:tcBorders>
              <w:bottom w:val="single" w:sz="8" w:color="004483"/>
            </w:tcBorders>
          </w:tcPr>
          <w:p>
            <w:pPr>
              <w:jc w:val="right"/>
              <w:ind w:right="67"/>
              <w:spacing w:after="0"/>
              <w:rPr>
                <w:sz w:val="20"/>
                <w:szCs w:val="20"/>
                <w:color w:val="auto"/>
              </w:rPr>
            </w:pPr>
            <w:r>
              <w:rPr>
                <w:rFonts w:ascii="Arial" w:cs="Arial" w:eastAsia="Arial" w:hAnsi="Arial"/>
                <w:sz w:val="13"/>
                <w:szCs w:val="13"/>
                <w:b w:val="1"/>
                <w:bCs w:val="1"/>
                <w:color w:val="auto"/>
              </w:rPr>
              <w:t>Outstanding</w:t>
            </w:r>
          </w:p>
        </w:tc>
        <w:tc>
          <w:tcPr>
            <w:tcW w:w="1380" w:type="dxa"/>
            <w:vAlign w:val="bottom"/>
            <w:tcBorders>
              <w:bottom w:val="single" w:sz="8" w:color="004483"/>
            </w:tcBorders>
          </w:tcPr>
          <w:p>
            <w:pPr>
              <w:jc w:val="right"/>
              <w:ind w:right="130"/>
              <w:spacing w:after="0"/>
              <w:rPr>
                <w:sz w:val="20"/>
                <w:szCs w:val="20"/>
                <w:color w:val="auto"/>
              </w:rPr>
            </w:pPr>
            <w:r>
              <w:rPr>
                <w:rFonts w:ascii="Arial" w:cs="Arial" w:eastAsia="Arial" w:hAnsi="Arial"/>
                <w:sz w:val="13"/>
                <w:szCs w:val="13"/>
                <w:b w:val="1"/>
                <w:bCs w:val="1"/>
                <w:color w:val="auto"/>
              </w:rPr>
              <w:t>Life</w:t>
            </w:r>
          </w:p>
        </w:tc>
        <w:tc>
          <w:tcPr>
            <w:tcW w:w="32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jc w:val="right"/>
              <w:ind w:right="68"/>
              <w:spacing w:after="0"/>
              <w:rPr>
                <w:sz w:val="20"/>
                <w:szCs w:val="20"/>
                <w:color w:val="auto"/>
              </w:rPr>
            </w:pPr>
            <w:r>
              <w:rPr>
                <w:rFonts w:ascii="Arial" w:cs="Arial" w:eastAsia="Arial" w:hAnsi="Arial"/>
                <w:sz w:val="13"/>
                <w:szCs w:val="13"/>
                <w:b w:val="1"/>
                <w:bCs w:val="1"/>
                <w:color w:val="auto"/>
              </w:rPr>
              <w:t>Price</w:t>
            </w:r>
          </w:p>
        </w:tc>
        <w:tc>
          <w:tcPr>
            <w:tcW w:w="140" w:type="dxa"/>
            <w:vAlign w:val="bottom"/>
            <w:tcBorders>
              <w:bottom w:val="single" w:sz="8" w:color="004483"/>
            </w:tcBorders>
          </w:tcPr>
          <w:p>
            <w:pPr>
              <w:spacing w:after="0"/>
              <w:rPr>
                <w:sz w:val="16"/>
                <w:szCs w:val="16"/>
                <w:color w:val="auto"/>
              </w:rPr>
            </w:pPr>
          </w:p>
        </w:tc>
        <w:tc>
          <w:tcPr>
            <w:tcW w:w="1200" w:type="dxa"/>
            <w:vAlign w:val="bottom"/>
            <w:tcBorders>
              <w:bottom w:val="single" w:sz="8" w:color="004483"/>
            </w:tcBorders>
          </w:tcPr>
          <w:p>
            <w:pPr>
              <w:jc w:val="right"/>
              <w:ind w:right="93"/>
              <w:spacing w:after="0"/>
              <w:rPr>
                <w:sz w:val="20"/>
                <w:szCs w:val="20"/>
                <w:color w:val="auto"/>
              </w:rPr>
            </w:pPr>
            <w:r>
              <w:rPr>
                <w:rFonts w:ascii="Arial" w:cs="Arial" w:eastAsia="Arial" w:hAnsi="Arial"/>
                <w:sz w:val="13"/>
                <w:szCs w:val="13"/>
                <w:b w:val="1"/>
                <w:bCs w:val="1"/>
                <w:color w:val="auto"/>
              </w:rPr>
              <w:t>Outstanding</w:t>
            </w:r>
          </w:p>
        </w:tc>
        <w:tc>
          <w:tcPr>
            <w:tcW w:w="38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jc w:val="right"/>
              <w:ind w:right="68"/>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$59.32</w:t>
            </w:r>
          </w:p>
        </w:tc>
        <w:tc>
          <w:tcPr>
            <w:tcW w:w="4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 $81.28</w:t>
            </w:r>
          </w:p>
        </w:tc>
        <w:tc>
          <w:tcPr>
            <w:tcW w:w="116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149,712</w:t>
            </w:r>
          </w:p>
        </w:tc>
        <w:tc>
          <w:tcPr>
            <w:tcW w:w="1380" w:type="dxa"/>
            <w:vAlign w:val="bottom"/>
            <w:tcBorders>
              <w:bottom w:val="single" w:sz="8" w:color="A6A6A6"/>
            </w:tcBorders>
          </w:tcPr>
          <w:p>
            <w:pPr>
              <w:jc w:val="right"/>
              <w:ind w:right="130"/>
              <w:spacing w:after="0"/>
              <w:rPr>
                <w:sz w:val="20"/>
                <w:szCs w:val="20"/>
                <w:color w:val="auto"/>
              </w:rPr>
            </w:pPr>
            <w:r>
              <w:rPr>
                <w:rFonts w:ascii="Arial" w:cs="Arial" w:eastAsia="Arial" w:hAnsi="Arial"/>
                <w:sz w:val="16"/>
                <w:szCs w:val="16"/>
                <w:color w:val="auto"/>
              </w:rPr>
              <w:t>6.30</w:t>
            </w:r>
          </w:p>
        </w:tc>
        <w:tc>
          <w:tcPr>
            <w:tcW w:w="3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68"/>
              <w:spacing w:after="0"/>
              <w:rPr>
                <w:sz w:val="20"/>
                <w:szCs w:val="20"/>
                <w:color w:val="auto"/>
              </w:rPr>
            </w:pPr>
            <w:r>
              <w:rPr>
                <w:rFonts w:ascii="Arial" w:cs="Arial" w:eastAsia="Arial" w:hAnsi="Arial"/>
                <w:sz w:val="16"/>
                <w:szCs w:val="16"/>
                <w:color w:val="auto"/>
              </w:rPr>
              <w:t>62.96</w:t>
            </w:r>
          </w:p>
        </w:tc>
        <w:tc>
          <w:tcPr>
            <w:tcW w:w="1340" w:type="dxa"/>
            <w:vAlign w:val="bottom"/>
            <w:tcBorders>
              <w:bottom w:val="single" w:sz="8" w:color="A6A6A6"/>
            </w:tcBorders>
            <w:gridSpan w:val="2"/>
          </w:tcPr>
          <w:p>
            <w:pPr>
              <w:jc w:val="right"/>
              <w:ind w:right="93"/>
              <w:spacing w:after="0"/>
              <w:rPr>
                <w:sz w:val="20"/>
                <w:szCs w:val="20"/>
                <w:color w:val="auto"/>
              </w:rPr>
            </w:pPr>
            <w:r>
              <w:rPr>
                <w:rFonts w:ascii="Arial" w:cs="Arial" w:eastAsia="Arial" w:hAnsi="Arial"/>
                <w:sz w:val="16"/>
                <w:szCs w:val="16"/>
                <w:color w:val="auto"/>
              </w:rPr>
              <w:t>106,308</w:t>
            </w:r>
          </w:p>
        </w:tc>
        <w:tc>
          <w:tcPr>
            <w:tcW w:w="38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ind w:right="68"/>
              <w:spacing w:after="0"/>
              <w:rPr>
                <w:sz w:val="20"/>
                <w:szCs w:val="20"/>
                <w:color w:val="auto"/>
              </w:rPr>
            </w:pPr>
            <w:r>
              <w:rPr>
                <w:rFonts w:ascii="Arial" w:cs="Arial" w:eastAsia="Arial" w:hAnsi="Arial"/>
                <w:sz w:val="16"/>
                <w:szCs w:val="16"/>
                <w:color w:val="auto"/>
              </w:rPr>
              <w:t>63.84</w:t>
            </w:r>
          </w:p>
        </w:tc>
        <w:tc>
          <w:tcPr>
            <w:tcW w:w="0" w:type="dxa"/>
            <w:vAlign w:val="bottom"/>
          </w:tcPr>
          <w:p>
            <w:pPr>
              <w:spacing w:after="0"/>
              <w:rPr>
                <w:sz w:val="1"/>
                <w:szCs w:val="1"/>
                <w:color w:val="auto"/>
              </w:rPr>
            </w:pPr>
          </w:p>
        </w:tc>
      </w:tr>
      <w:tr>
        <w:trPr>
          <w:trHeight w:val="209"/>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$87.37</w:t>
            </w:r>
          </w:p>
        </w:tc>
        <w:tc>
          <w:tcPr>
            <w:tcW w:w="43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 $93.03</w:t>
            </w:r>
          </w:p>
        </w:tc>
        <w:tc>
          <w:tcPr>
            <w:tcW w:w="116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138,656</w:t>
            </w:r>
          </w:p>
        </w:tc>
        <w:tc>
          <w:tcPr>
            <w:tcW w:w="1380" w:type="dxa"/>
            <w:vAlign w:val="bottom"/>
            <w:tcBorders>
              <w:bottom w:val="single" w:sz="8" w:color="A6A6A6"/>
            </w:tcBorders>
          </w:tcPr>
          <w:p>
            <w:pPr>
              <w:jc w:val="right"/>
              <w:ind w:right="130"/>
              <w:spacing w:after="0"/>
              <w:rPr>
                <w:sz w:val="20"/>
                <w:szCs w:val="20"/>
                <w:color w:val="auto"/>
              </w:rPr>
            </w:pPr>
            <w:r>
              <w:rPr>
                <w:rFonts w:ascii="Arial" w:cs="Arial" w:eastAsia="Arial" w:hAnsi="Arial"/>
                <w:sz w:val="16"/>
                <w:szCs w:val="16"/>
                <w:color w:val="auto"/>
              </w:rPr>
              <w:t>5.80</w:t>
            </w:r>
          </w:p>
        </w:tc>
        <w:tc>
          <w:tcPr>
            <w:tcW w:w="32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68"/>
              <w:spacing w:after="0"/>
              <w:rPr>
                <w:sz w:val="20"/>
                <w:szCs w:val="20"/>
                <w:color w:val="auto"/>
              </w:rPr>
            </w:pPr>
            <w:r>
              <w:rPr>
                <w:rFonts w:ascii="Arial" w:cs="Arial" w:eastAsia="Arial" w:hAnsi="Arial"/>
                <w:sz w:val="16"/>
                <w:szCs w:val="16"/>
                <w:color w:val="auto"/>
              </w:rPr>
              <w:t>91.56</w:t>
            </w:r>
          </w:p>
        </w:tc>
        <w:tc>
          <w:tcPr>
            <w:tcW w:w="1340" w:type="dxa"/>
            <w:vAlign w:val="bottom"/>
            <w:tcBorders>
              <w:bottom w:val="single" w:sz="8" w:color="A6A6A6"/>
            </w:tcBorders>
            <w:gridSpan w:val="2"/>
          </w:tcPr>
          <w:p>
            <w:pPr>
              <w:jc w:val="right"/>
              <w:ind w:right="93"/>
              <w:spacing w:after="0"/>
              <w:rPr>
                <w:sz w:val="20"/>
                <w:szCs w:val="20"/>
                <w:color w:val="auto"/>
              </w:rPr>
            </w:pPr>
            <w:r>
              <w:rPr>
                <w:rFonts w:ascii="Arial" w:cs="Arial" w:eastAsia="Arial" w:hAnsi="Arial"/>
                <w:sz w:val="16"/>
                <w:szCs w:val="16"/>
                <w:color w:val="auto"/>
              </w:rPr>
              <w:t>137,664</w:t>
            </w:r>
          </w:p>
        </w:tc>
        <w:tc>
          <w:tcPr>
            <w:tcW w:w="38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ind w:right="68"/>
              <w:spacing w:after="0"/>
              <w:rPr>
                <w:sz w:val="20"/>
                <w:szCs w:val="20"/>
                <w:color w:val="auto"/>
              </w:rPr>
            </w:pPr>
            <w:r>
              <w:rPr>
                <w:rFonts w:ascii="Arial" w:cs="Arial" w:eastAsia="Arial" w:hAnsi="Arial"/>
                <w:sz w:val="16"/>
                <w:szCs w:val="16"/>
                <w:color w:val="auto"/>
              </w:rPr>
              <w:t>91.57</w:t>
            </w: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6"/>
                <w:szCs w:val="16"/>
                <w:b w:val="1"/>
                <w:bCs w:val="1"/>
                <w:color w:val="004483"/>
              </w:rPr>
              <w:t>$99.37</w:t>
            </w:r>
          </w:p>
        </w:tc>
        <w:tc>
          <w:tcPr>
            <w:tcW w:w="4380" w:type="dxa"/>
            <w:vAlign w:val="bottom"/>
          </w:tcPr>
          <w:p>
            <w:pPr>
              <w:ind w:left="20"/>
              <w:spacing w:after="0"/>
              <w:rPr>
                <w:sz w:val="20"/>
                <w:szCs w:val="20"/>
                <w:color w:val="auto"/>
              </w:rPr>
            </w:pPr>
            <w:r>
              <w:rPr>
                <w:rFonts w:ascii="Arial" w:cs="Arial" w:eastAsia="Arial" w:hAnsi="Arial"/>
                <w:sz w:val="16"/>
                <w:szCs w:val="16"/>
                <w:b w:val="1"/>
                <w:bCs w:val="1"/>
                <w:color w:val="004483"/>
              </w:rPr>
              <w:t>- $143.09</w:t>
            </w:r>
          </w:p>
        </w:tc>
        <w:tc>
          <w:tcPr>
            <w:tcW w:w="1160" w:type="dxa"/>
            <w:vAlign w:val="bottom"/>
          </w:tcPr>
          <w:p>
            <w:pPr>
              <w:jc w:val="right"/>
              <w:ind w:right="67"/>
              <w:spacing w:after="0"/>
              <w:rPr>
                <w:sz w:val="20"/>
                <w:szCs w:val="20"/>
                <w:color w:val="auto"/>
              </w:rPr>
            </w:pPr>
            <w:r>
              <w:rPr>
                <w:rFonts w:ascii="Arial" w:cs="Arial" w:eastAsia="Arial" w:hAnsi="Arial"/>
                <w:sz w:val="16"/>
                <w:szCs w:val="16"/>
                <w:color w:val="auto"/>
              </w:rPr>
              <w:t>148,581</w:t>
            </w:r>
          </w:p>
        </w:tc>
        <w:tc>
          <w:tcPr>
            <w:tcW w:w="1380" w:type="dxa"/>
            <w:vAlign w:val="bottom"/>
          </w:tcPr>
          <w:p>
            <w:pPr>
              <w:jc w:val="right"/>
              <w:ind w:right="130"/>
              <w:spacing w:after="0"/>
              <w:rPr>
                <w:sz w:val="20"/>
                <w:szCs w:val="20"/>
                <w:color w:val="auto"/>
              </w:rPr>
            </w:pPr>
            <w:r>
              <w:rPr>
                <w:rFonts w:ascii="Arial" w:cs="Arial" w:eastAsia="Arial" w:hAnsi="Arial"/>
                <w:sz w:val="16"/>
                <w:szCs w:val="16"/>
                <w:color w:val="auto"/>
              </w:rPr>
              <w:t>6.62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8"/>
              <w:spacing w:after="0"/>
              <w:rPr>
                <w:sz w:val="20"/>
                <w:szCs w:val="20"/>
                <w:color w:val="auto"/>
              </w:rPr>
            </w:pPr>
            <w:r>
              <w:rPr>
                <w:rFonts w:ascii="Arial" w:cs="Arial" w:eastAsia="Arial" w:hAnsi="Arial"/>
                <w:sz w:val="16"/>
                <w:szCs w:val="16"/>
                <w:color w:val="auto"/>
              </w:rPr>
              <w:t>114.86</w:t>
            </w:r>
          </w:p>
        </w:tc>
        <w:tc>
          <w:tcPr>
            <w:tcW w:w="1340" w:type="dxa"/>
            <w:vAlign w:val="bottom"/>
            <w:gridSpan w:val="2"/>
          </w:tcPr>
          <w:p>
            <w:pPr>
              <w:jc w:val="right"/>
              <w:ind w:right="93"/>
              <w:spacing w:after="0"/>
              <w:rPr>
                <w:sz w:val="20"/>
                <w:szCs w:val="20"/>
                <w:color w:val="auto"/>
              </w:rPr>
            </w:pPr>
            <w:r>
              <w:rPr>
                <w:rFonts w:ascii="Arial" w:cs="Arial" w:eastAsia="Arial" w:hAnsi="Arial"/>
                <w:sz w:val="16"/>
                <w:szCs w:val="16"/>
                <w:color w:val="auto"/>
              </w:rPr>
              <w:t>95,071</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8"/>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10"/>
        </w:trPr>
        <w:tc>
          <w:tcPr>
            <w:tcW w:w="540" w:type="dxa"/>
            <w:vAlign w:val="bottom"/>
            <w:tcBorders>
              <w:top w:val="single" w:sz="8" w:color="A6A6A6"/>
            </w:tcBorders>
          </w:tcPr>
          <w:p>
            <w:pPr>
              <w:spacing w:after="0"/>
              <w:rPr>
                <w:sz w:val="18"/>
                <w:szCs w:val="18"/>
                <w:color w:val="auto"/>
              </w:rPr>
            </w:pPr>
          </w:p>
        </w:tc>
        <w:tc>
          <w:tcPr>
            <w:tcW w:w="4380" w:type="dxa"/>
            <w:vAlign w:val="bottom"/>
            <w:tcBorders>
              <w:top w:val="single" w:sz="8" w:color="A6A6A6"/>
            </w:tcBorders>
          </w:tcPr>
          <w:p>
            <w:pPr>
              <w:spacing w:after="0"/>
              <w:rPr>
                <w:sz w:val="18"/>
                <w:szCs w:val="18"/>
                <w:color w:val="auto"/>
              </w:rPr>
            </w:pPr>
          </w:p>
        </w:tc>
        <w:tc>
          <w:tcPr>
            <w:tcW w:w="116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6"/>
                <w:szCs w:val="16"/>
                <w:b w:val="1"/>
                <w:bCs w:val="1"/>
                <w:color w:val="auto"/>
              </w:rPr>
              <w:t>436,949</w:t>
            </w:r>
          </w:p>
        </w:tc>
        <w:tc>
          <w:tcPr>
            <w:tcW w:w="1380" w:type="dxa"/>
            <w:vAlign w:val="bottom"/>
            <w:tcBorders>
              <w:top w:val="single" w:sz="8" w:color="A6A6A6"/>
            </w:tcBorders>
          </w:tcPr>
          <w:p>
            <w:pPr>
              <w:jc w:val="right"/>
              <w:ind w:right="130"/>
              <w:spacing w:after="0"/>
              <w:rPr>
                <w:sz w:val="20"/>
                <w:szCs w:val="20"/>
                <w:color w:val="auto"/>
              </w:rPr>
            </w:pPr>
            <w:r>
              <w:rPr>
                <w:rFonts w:ascii="Arial" w:cs="Arial" w:eastAsia="Arial" w:hAnsi="Arial"/>
                <w:sz w:val="16"/>
                <w:szCs w:val="16"/>
                <w:b w:val="1"/>
                <w:bCs w:val="1"/>
                <w:color w:val="auto"/>
              </w:rPr>
              <w:t>6.25</w:t>
            </w:r>
          </w:p>
        </w:tc>
        <w:tc>
          <w:tcPr>
            <w:tcW w:w="320" w:type="dxa"/>
            <w:vAlign w:val="bottom"/>
            <w:tcBorders>
              <w:top w:val="single" w:sz="8" w:color="A6A6A6"/>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6A6A6"/>
            </w:tcBorders>
          </w:tcPr>
          <w:p>
            <w:pPr>
              <w:jc w:val="right"/>
              <w:ind w:right="68"/>
              <w:spacing w:after="0"/>
              <w:rPr>
                <w:sz w:val="20"/>
                <w:szCs w:val="20"/>
                <w:color w:val="auto"/>
              </w:rPr>
            </w:pPr>
            <w:r>
              <w:rPr>
                <w:rFonts w:ascii="Arial" w:cs="Arial" w:eastAsia="Arial" w:hAnsi="Arial"/>
                <w:sz w:val="16"/>
                <w:szCs w:val="16"/>
                <w:b w:val="1"/>
                <w:bCs w:val="1"/>
                <w:color w:val="auto"/>
              </w:rPr>
              <w:t>89.69</w:t>
            </w:r>
          </w:p>
        </w:tc>
        <w:tc>
          <w:tcPr>
            <w:tcW w:w="140" w:type="dxa"/>
            <w:vAlign w:val="bottom"/>
            <w:tcBorders>
              <w:top w:val="single" w:sz="8" w:color="A6A6A6"/>
            </w:tcBorders>
          </w:tcPr>
          <w:p>
            <w:pPr>
              <w:spacing w:after="0"/>
              <w:rPr>
                <w:sz w:val="18"/>
                <w:szCs w:val="18"/>
                <w:color w:val="auto"/>
              </w:rPr>
            </w:pPr>
          </w:p>
        </w:tc>
        <w:tc>
          <w:tcPr>
            <w:tcW w:w="1200" w:type="dxa"/>
            <w:vAlign w:val="bottom"/>
            <w:tcBorders>
              <w:top w:val="single" w:sz="8" w:color="004483"/>
              <w:bottom w:val="single" w:sz="8" w:color="004483"/>
            </w:tcBorders>
          </w:tcPr>
          <w:p>
            <w:pPr>
              <w:jc w:val="right"/>
              <w:ind w:right="93"/>
              <w:spacing w:after="0"/>
              <w:rPr>
                <w:sz w:val="20"/>
                <w:szCs w:val="20"/>
                <w:color w:val="auto"/>
              </w:rPr>
            </w:pPr>
            <w:r>
              <w:rPr>
                <w:rFonts w:ascii="Arial" w:cs="Arial" w:eastAsia="Arial" w:hAnsi="Arial"/>
                <w:sz w:val="16"/>
                <w:szCs w:val="16"/>
                <w:b w:val="1"/>
                <w:bCs w:val="1"/>
                <w:color w:val="auto"/>
              </w:rPr>
              <w:t>339,043</w:t>
            </w:r>
          </w:p>
        </w:tc>
        <w:tc>
          <w:tcPr>
            <w:tcW w:w="380" w:type="dxa"/>
            <w:vAlign w:val="bottom"/>
            <w:tcBorders>
              <w:top w:val="single" w:sz="8" w:color="A6A6A6"/>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6A6A6"/>
            </w:tcBorders>
          </w:tcPr>
          <w:p>
            <w:pPr>
              <w:jc w:val="right"/>
              <w:ind w:right="68"/>
              <w:spacing w:after="0"/>
              <w:rPr>
                <w:sz w:val="20"/>
                <w:szCs w:val="20"/>
                <w:color w:val="auto"/>
              </w:rPr>
            </w:pPr>
            <w:r>
              <w:rPr>
                <w:rFonts w:ascii="Arial" w:cs="Arial" w:eastAsia="Arial" w:hAnsi="Arial"/>
                <w:sz w:val="16"/>
                <w:szCs w:val="16"/>
                <w:b w:val="1"/>
                <w:bCs w:val="1"/>
                <w:color w:val="auto"/>
              </w:rPr>
              <w:t>87.74</w:t>
            </w:r>
          </w:p>
        </w:tc>
        <w:tc>
          <w:tcPr>
            <w:tcW w:w="0" w:type="dxa"/>
            <w:vAlign w:val="bottom"/>
          </w:tcPr>
          <w:p>
            <w:pPr>
              <w:spacing w:after="0"/>
              <w:rPr>
                <w:sz w:val="1"/>
                <w:szCs w:val="1"/>
                <w:color w:val="auto"/>
              </w:rPr>
            </w:pPr>
          </w:p>
        </w:tc>
      </w:tr>
      <w:tr>
        <w:trPr>
          <w:trHeight w:val="20"/>
        </w:trPr>
        <w:tc>
          <w:tcPr>
            <w:tcW w:w="540" w:type="dxa"/>
            <w:vAlign w:val="bottom"/>
            <w:tcBorders>
              <w:bottom w:val="single" w:sz="8" w:color="A6A6A6"/>
            </w:tcBorders>
          </w:tcPr>
          <w:p>
            <w:pPr>
              <w:spacing w:after="0" w:line="20" w:lineRule="exact"/>
              <w:rPr>
                <w:sz w:val="1"/>
                <w:szCs w:val="1"/>
                <w:color w:val="auto"/>
              </w:rPr>
            </w:pPr>
          </w:p>
        </w:tc>
        <w:tc>
          <w:tcPr>
            <w:tcW w:w="4380" w:type="dxa"/>
            <w:vAlign w:val="bottom"/>
            <w:tcBorders>
              <w:bottom w:val="single" w:sz="8" w:color="A6A6A6"/>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At March 31, 2023, the aggregate intrinsic value for outstanding and exercisable options was approximately $24.9 million and $20.0 million, respectively. The total intrinsic value of options exercised during the fiscal years ended March 31, 2023, 2022, and 2021 was approximately $4.4 million, $15.7 million and $26.4 million,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004483"/>
        </w:rPr>
        <w:t>RESTRICTED STOCK</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May 2022, the Compensation Committee approved the granting to certain officers and key employees an aggregate of 50,783 shares of performance vesting restricted stock that would be earned only if certain performance conditions were satisfied (the Fiscal 2023 Employee Restricted Stock Performance Award). The performance criterion for the Fiscal 2023 Employee Restricted Stock Performance Award is based upon the achievement of certain levels of return on equity (as defined in the agreement), ranging from 10.0% to 20.0%, for the fiscal year ended March 31, 2023. All restricted shares would be earned if the return on equity was 20.0% or greater, and the percentage of shares earned would be reduced proportionately to approximately 66.7% if the return on equity was 10.0%. If the Company did not achieve a return on equity of at least 10.0%, all awards would be forfeited. During fiscal 2023, the return on equity exceeded 20.0%; therefore all of the shares were earned. Restrictions on the earned shares will lapse ratably over four years, with the first fourth lapsing promptly following the determination date and the remaining restrictions lapsing on March 31, 2024 through 2026. The Compensation Committee also approved the granting of 42,545 shares of time-vesting restricted stock to the same officers and key employees, which vest ratably over four years, with the first tranche vesting on March 31, 2023 and the remaining restricted shares vesting on March 31, 2024 through 2026 (the Fiscal 2023 Employee Restricted Stock Time-Vesting Award). Both of the Fiscal 2023 Employee Restricted Stock Performance Award and the Fiscal 2023 Employee Restricted Stock Time-Vesting Award were valued at the closing price of the stock on the date of grant and are being expensed over a four-year period.</w:t>
      </w:r>
    </w:p>
    <w:p>
      <w:pPr>
        <w:spacing w:after="0" w:line="94" w:lineRule="exact"/>
        <w:rPr>
          <w:sz w:val="20"/>
          <w:szCs w:val="20"/>
          <w:color w:val="auto"/>
        </w:rPr>
      </w:pPr>
    </w:p>
    <w:p>
      <w:pPr>
        <w:jc w:val="both"/>
        <w:ind w:right="540"/>
        <w:spacing w:after="0" w:line="247" w:lineRule="auto"/>
        <w:rPr>
          <w:sz w:val="20"/>
          <w:szCs w:val="20"/>
          <w:color w:val="auto"/>
        </w:rPr>
      </w:pPr>
      <w:r>
        <w:rPr>
          <w:rFonts w:ascii="Arial" w:cs="Arial" w:eastAsia="Arial" w:hAnsi="Arial"/>
          <w:sz w:val="18"/>
          <w:szCs w:val="18"/>
          <w:color w:val="auto"/>
        </w:rPr>
        <w:t>In August 2022, we granted to members of the Board of Directors 14,482 shares of restricted stock (the Fiscal 2023 Board of Directors Restricted Stock Award), which vested six months after the grant date. The Fiscal 2023 Board of Directors Restricted Stock Award was valued at the closing price of the stock on the date of the grant and was expensed over a six-month period.</w:t>
      </w:r>
    </w:p>
    <w:p>
      <w:pPr>
        <w:spacing w:after="0" w:line="7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fair value of restricted stock is estimated based on the stock price at the date of the grant. The following table summarizes the activity for nonvested restricted shares during the fiscal years ended March 31, 2023,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2020" w:type="dxa"/>
            <w:vAlign w:val="bottom"/>
            <w:gridSpan w:val="5"/>
            <w:shd w:val="clear" w:color="auto" w:fill="004483"/>
          </w:tcPr>
          <w:p>
            <w:pPr>
              <w:jc w:val="center"/>
              <w:spacing w:after="0"/>
              <w:rPr>
                <w:sz w:val="20"/>
                <w:szCs w:val="20"/>
                <w:color w:val="auto"/>
              </w:rPr>
            </w:pPr>
            <w:r>
              <w:rPr>
                <w:rFonts w:ascii="Arial" w:cs="Arial" w:eastAsia="Arial" w:hAnsi="Arial"/>
                <w:sz w:val="13"/>
                <w:szCs w:val="13"/>
                <w:b w:val="1"/>
                <w:bCs w:val="1"/>
                <w:color w:val="FFFFFF"/>
                <w:w w:val="96"/>
              </w:rPr>
              <w:t>For the Years Ended March 31,</w:t>
            </w:r>
          </w:p>
        </w:tc>
        <w:tc>
          <w:tcPr>
            <w:tcW w:w="1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88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160" w:type="dxa"/>
            <w:vAlign w:val="bottom"/>
            <w:shd w:val="clear" w:color="auto" w:fill="004483"/>
          </w:tcPr>
          <w:p>
            <w:pPr>
              <w:spacing w:after="0"/>
              <w:rPr>
                <w:sz w:val="14"/>
                <w:szCs w:val="14"/>
                <w:color w:val="auto"/>
              </w:rPr>
            </w:pPr>
          </w:p>
        </w:tc>
        <w:tc>
          <w:tcPr>
            <w:tcW w:w="7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460" w:type="dxa"/>
            <w:vAlign w:val="bottom"/>
          </w:tcPr>
          <w:p>
            <w:pPr>
              <w:spacing w:after="0"/>
              <w:rPr>
                <w:sz w:val="11"/>
                <w:szCs w:val="11"/>
                <w:color w:val="auto"/>
              </w:rPr>
            </w:pPr>
          </w:p>
        </w:tc>
        <w:tc>
          <w:tcPr>
            <w:tcW w:w="900" w:type="dxa"/>
            <w:vAlign w:val="bottom"/>
            <w:tcBorders>
              <w:top w:val="single" w:sz="8" w:color="004483"/>
            </w:tcBorders>
          </w:tcPr>
          <w:p>
            <w:pPr>
              <w:spacing w:after="0"/>
              <w:rPr>
                <w:sz w:val="11"/>
                <w:szCs w:val="11"/>
                <w:color w:val="auto"/>
              </w:rPr>
            </w:pPr>
          </w:p>
        </w:tc>
        <w:tc>
          <w:tcPr>
            <w:tcW w:w="12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60" w:type="dxa"/>
            <w:vAlign w:val="bottom"/>
            <w:tcBorders>
              <w:top w:val="single" w:sz="8" w:color="004483"/>
            </w:tcBorders>
          </w:tcPr>
          <w:p>
            <w:pPr>
              <w:spacing w:after="0"/>
              <w:rPr>
                <w:sz w:val="11"/>
                <w:szCs w:val="11"/>
                <w:color w:val="auto"/>
              </w:rPr>
            </w:pPr>
          </w:p>
        </w:tc>
        <w:tc>
          <w:tcPr>
            <w:tcW w:w="700" w:type="dxa"/>
            <w:vAlign w:val="bottom"/>
            <w:tcBorders>
              <w:top w:val="single" w:sz="8" w:color="004483"/>
            </w:tcBorders>
          </w:tcPr>
          <w:p>
            <w:pPr>
              <w:jc w:val="right"/>
              <w:spacing w:after="0" w:line="127"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60" w:type="dxa"/>
            <w:vAlign w:val="bottom"/>
            <w:tcBorders>
              <w:top w:val="single" w:sz="8" w:color="004483"/>
            </w:tcBorders>
          </w:tcPr>
          <w:p>
            <w:pPr>
              <w:spacing w:after="0"/>
              <w:rPr>
                <w:sz w:val="11"/>
                <w:szCs w:val="11"/>
                <w:color w:val="auto"/>
              </w:rPr>
            </w:pPr>
          </w:p>
        </w:tc>
        <w:tc>
          <w:tcPr>
            <w:tcW w:w="700" w:type="dxa"/>
            <w:vAlign w:val="bottom"/>
            <w:tcBorders>
              <w:top w:val="single" w:sz="8" w:color="004483"/>
            </w:tcBorders>
          </w:tcPr>
          <w:p>
            <w:pPr>
              <w:jc w:val="right"/>
              <w:spacing w:after="0" w:line="127"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40" w:type="dxa"/>
            <w:vAlign w:val="bottom"/>
            <w:tcBorders>
              <w:top w:val="single" w:sz="8" w:color="004483"/>
            </w:tcBorders>
          </w:tcPr>
          <w:p>
            <w:pPr>
              <w:spacing w:after="0"/>
              <w:rPr>
                <w:sz w:val="11"/>
                <w:szCs w:val="11"/>
                <w:color w:val="auto"/>
              </w:rPr>
            </w:pPr>
          </w:p>
        </w:tc>
        <w:tc>
          <w:tcPr>
            <w:tcW w:w="160" w:type="dxa"/>
            <w:vAlign w:val="bottom"/>
            <w:tcBorders>
              <w:top w:val="single" w:sz="8" w:color="004483"/>
            </w:tcBorders>
          </w:tcPr>
          <w:p>
            <w:pPr>
              <w:spacing w:after="0"/>
              <w:rPr>
                <w:sz w:val="11"/>
                <w:szCs w:val="11"/>
                <w:color w:val="auto"/>
              </w:rPr>
            </w:pPr>
          </w:p>
        </w:tc>
        <w:tc>
          <w:tcPr>
            <w:tcW w:w="720" w:type="dxa"/>
            <w:vAlign w:val="bottom"/>
            <w:tcBorders>
              <w:top w:val="single" w:sz="8" w:color="004483"/>
            </w:tcBorders>
          </w:tcPr>
          <w:p>
            <w:pPr>
              <w:jc w:val="right"/>
              <w:spacing w:after="0" w:line="127"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 Date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 Date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91"/>
        </w:trPr>
        <w:tc>
          <w:tcPr>
            <w:tcW w:w="4460" w:type="dxa"/>
            <w:vAlign w:val="bottom"/>
            <w:tcBorders>
              <w:bottom w:val="single" w:sz="8" w:color="004483"/>
            </w:tcBorders>
          </w:tcPr>
          <w:p>
            <w:pPr>
              <w:spacing w:after="0"/>
              <w:rPr>
                <w:sz w:val="16"/>
                <w:szCs w:val="16"/>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of Shares</w:t>
            </w: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of Shares</w:t>
            </w:r>
          </w:p>
        </w:tc>
        <w:tc>
          <w:tcPr>
            <w:tcW w:w="14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of Shares</w:t>
            </w:r>
          </w:p>
        </w:tc>
        <w:tc>
          <w:tcPr>
            <w:tcW w:w="14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Nonvested Restricted Stock at Beginning of Year</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258,779</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85.34</w:t>
            </w:r>
          </w:p>
        </w:tc>
        <w:tc>
          <w:tcPr>
            <w:tcW w:w="140" w:type="dxa"/>
            <w:vAlign w:val="bottom"/>
          </w:tcPr>
          <w:p>
            <w:pPr>
              <w:spacing w:after="0"/>
              <w:rPr>
                <w:sz w:val="18"/>
                <w:szCs w:val="18"/>
                <w:color w:val="auto"/>
              </w:rPr>
            </w:pPr>
          </w:p>
        </w:tc>
        <w:tc>
          <w:tcPr>
            <w:tcW w:w="10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267,090</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62.56</w:t>
            </w:r>
          </w:p>
        </w:tc>
        <w:tc>
          <w:tcPr>
            <w:tcW w:w="140" w:type="dxa"/>
            <w:vAlign w:val="bottom"/>
          </w:tcPr>
          <w:p>
            <w:pPr>
              <w:spacing w:after="0"/>
              <w:rPr>
                <w:sz w:val="18"/>
                <w:szCs w:val="18"/>
                <w:color w:val="auto"/>
              </w:rPr>
            </w:pPr>
          </w:p>
        </w:tc>
        <w:tc>
          <w:tcPr>
            <w:tcW w:w="10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233,120</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Granted</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111,230</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126.23</w:t>
            </w:r>
          </w:p>
        </w:tc>
        <w:tc>
          <w:tcPr>
            <w:tcW w:w="140" w:type="dxa"/>
            <w:vAlign w:val="bottom"/>
          </w:tcPr>
          <w:p>
            <w:pPr>
              <w:spacing w:after="0"/>
              <w:rPr>
                <w:sz w:val="18"/>
                <w:szCs w:val="18"/>
                <w:color w:val="auto"/>
              </w:rPr>
            </w:pPr>
          </w:p>
        </w:tc>
        <w:tc>
          <w:tcPr>
            <w:tcW w:w="10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113,414</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139.91</w:t>
            </w:r>
          </w:p>
        </w:tc>
        <w:tc>
          <w:tcPr>
            <w:tcW w:w="140" w:type="dxa"/>
            <w:vAlign w:val="bottom"/>
          </w:tcPr>
          <w:p>
            <w:pPr>
              <w:spacing w:after="0"/>
              <w:rPr>
                <w:sz w:val="18"/>
                <w:szCs w:val="18"/>
                <w:color w:val="auto"/>
              </w:rPr>
            </w:pPr>
          </w:p>
        </w:tc>
        <w:tc>
          <w:tcPr>
            <w:tcW w:w="10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179,377</w:t>
            </w:r>
          </w:p>
        </w:tc>
        <w:tc>
          <w:tcPr>
            <w:tcW w:w="14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b w:val="1"/>
                <w:bCs w:val="1"/>
                <w:color w:val="004483"/>
              </w:rPr>
              <w:t>Vested</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(147,678 )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104.33</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(116,507 )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87.47</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(136,280 )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b w:val="1"/>
                <w:bCs w:val="1"/>
                <w:color w:val="004483"/>
              </w:rPr>
              <w:t>Cancelled</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(3,247 )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124.82</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(5,218 )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75.10</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(9,127 )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71.46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004483"/>
              </w:rPr>
              <w:t>Nonvested Restricted Stock at End of Year</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219,084</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96.54</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258,779</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85.34</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267,090</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62.56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72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Expense related to restricted shares was $13.7 million, $10.9 million, and $10.4 million in fiscal years ended March 31, 2023, 2022, and 2021, respectively. At March 31, 2023, there were approximately 219,000 shares with remaining restrictions, for which $17.8 million of unearned compensation will be recognized over a weighted-average period of 2.4 years.</w:t>
      </w:r>
    </w:p>
    <w:p>
      <w:pPr>
        <w:spacing w:after="0" w:line="7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3,260,302 at March 31, 2023. Of the available shares, a total of 944,043 shares can be used for future restricted stock and restricted stock unit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color w:val="004483"/>
        </w:rPr>
        <w:t>(M) NET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within Interest Expense,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94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480" w:type="dxa"/>
            <w:vAlign w:val="bottom"/>
            <w:shd w:val="clear" w:color="auto" w:fill="004483"/>
          </w:tcPr>
          <w:p>
            <w:pPr>
              <w:spacing w:after="0"/>
              <w:rPr>
                <w:sz w:val="14"/>
                <w:szCs w:val="14"/>
                <w:color w:val="auto"/>
              </w:rPr>
            </w:pPr>
          </w:p>
        </w:tc>
        <w:tc>
          <w:tcPr>
            <w:tcW w:w="1000" w:type="dxa"/>
            <w:vAlign w:val="bottom"/>
            <w:shd w:val="clear" w:color="auto" w:fill="004483"/>
          </w:tcPr>
          <w:p>
            <w:pPr>
              <w:spacing w:after="0"/>
              <w:rPr>
                <w:sz w:val="14"/>
                <w:szCs w:val="14"/>
                <w:color w:val="auto"/>
              </w:rPr>
            </w:pPr>
          </w:p>
        </w:tc>
      </w:tr>
      <w:tr>
        <w:trPr>
          <w:trHeight w:val="162"/>
        </w:trPr>
        <w:tc>
          <w:tcPr>
            <w:tcW w:w="6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3"/>
                <w:szCs w:val="13"/>
                <w:b w:val="1"/>
                <w:bCs w:val="1"/>
                <w:color w:val="auto"/>
              </w:rPr>
              <w:t>2021</w:t>
            </w:r>
          </w:p>
        </w:tc>
      </w:tr>
      <w:tr>
        <w:trPr>
          <w:trHeight w:val="183"/>
        </w:trPr>
        <w:tc>
          <w:tcPr>
            <w:tcW w:w="646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gridSpan w:val="3"/>
          </w:tcPr>
          <w:p>
            <w:pPr>
              <w:jc w:val="center"/>
              <w:ind w:right="300"/>
              <w:spacing w:after="0"/>
              <w:rPr>
                <w:sz w:val="20"/>
                <w:szCs w:val="20"/>
                <w:color w:val="auto"/>
              </w:rPr>
            </w:pPr>
            <w:r>
              <w:rPr>
                <w:rFonts w:ascii="Arial" w:cs="Arial" w:eastAsia="Arial" w:hAnsi="Arial"/>
                <w:sz w:val="13"/>
                <w:szCs w:val="13"/>
                <w:color w:val="auto"/>
                <w:w w:val="96"/>
              </w:rPr>
              <w:t>(dollars in thousands)</w:t>
            </w:r>
          </w:p>
        </w:tc>
        <w:tc>
          <w:tcPr>
            <w:tcW w:w="48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r>
      <w:tr>
        <w:trPr>
          <w:trHeight w:val="213"/>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Income</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(421 )</w:t>
            </w:r>
          </w:p>
        </w:tc>
        <w:tc>
          <w:tcPr>
            <w:tcW w:w="720" w:type="dxa"/>
            <w:vAlign w:val="bottom"/>
            <w:tcBorders>
              <w:bottom w:val="single" w:sz="8" w:color="A6A6A6"/>
            </w:tcBorders>
            <w:gridSpan w:val="3"/>
          </w:tcPr>
          <w:p>
            <w:pPr>
              <w:jc w:val="right"/>
              <w:ind w:right="28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(39 )</w:t>
            </w:r>
          </w:p>
        </w:tc>
        <w:tc>
          <w:tcPr>
            <w:tcW w:w="1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(66 )</w:t>
            </w:r>
          </w:p>
        </w:tc>
      </w:tr>
      <w:tr>
        <w:trPr>
          <w:trHeight w:val="20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4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ind w:right="3"/>
              <w:spacing w:after="0"/>
              <w:rPr>
                <w:sz w:val="20"/>
                <w:szCs w:val="20"/>
                <w:color w:val="auto"/>
              </w:rPr>
            </w:pPr>
            <w:r>
              <w:rPr>
                <w:rFonts w:ascii="Arial" w:cs="Arial" w:eastAsia="Arial" w:hAnsi="Arial"/>
                <w:sz w:val="16"/>
                <w:szCs w:val="16"/>
                <w:color w:val="auto"/>
              </w:rPr>
              <w:t>33,706</w:t>
            </w:r>
          </w:p>
        </w:tc>
        <w:tc>
          <w:tcPr>
            <w:tcW w:w="8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21,637</w:t>
            </w:r>
          </w:p>
        </w:tc>
        <w:tc>
          <w:tcPr>
            <w:tcW w:w="1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40,624</w:t>
            </w:r>
          </w:p>
        </w:tc>
      </w:tr>
      <w:tr>
        <w:trPr>
          <w:trHeight w:val="23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46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color w:val="auto"/>
              </w:rPr>
              <w:t>1,886</w:t>
            </w:r>
          </w:p>
        </w:tc>
        <w:tc>
          <w:tcPr>
            <w:tcW w:w="80" w:type="dxa"/>
            <w:vAlign w:val="bottom"/>
            <w:tcBorders>
              <w:bottom w:val="single" w:sz="8" w:color="004483"/>
            </w:tcBorders>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9,275</w:t>
            </w:r>
          </w:p>
        </w:tc>
        <w:tc>
          <w:tcPr>
            <w:tcW w:w="18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3,862</w:t>
            </w:r>
          </w:p>
        </w:tc>
      </w:tr>
      <w:tr>
        <w:trPr>
          <w:trHeight w:val="210"/>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b w:val="1"/>
                <w:bCs w:val="1"/>
                <w:color w:val="auto"/>
              </w:rPr>
              <w:t>35,171</w:t>
            </w:r>
          </w:p>
        </w:tc>
        <w:tc>
          <w:tcPr>
            <w:tcW w:w="80" w:type="dxa"/>
            <w:vAlign w:val="bottom"/>
            <w:tcBorders>
              <w:bottom w:val="single" w:sz="8" w:color="004483"/>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004483"/>
            </w:tcBorders>
          </w:tcPr>
          <w:p>
            <w:pPr>
              <w:jc w:val="right"/>
              <w:ind w:right="288"/>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30,873</w:t>
            </w:r>
          </w:p>
        </w:tc>
        <w:tc>
          <w:tcPr>
            <w:tcW w:w="180" w:type="dxa"/>
            <w:vAlign w:val="bottom"/>
          </w:tcPr>
          <w:p>
            <w:pPr>
              <w:spacing w:after="0"/>
              <w:rPr>
                <w:sz w:val="18"/>
                <w:szCs w:val="18"/>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44,420</w:t>
            </w:r>
          </w:p>
        </w:tc>
      </w:tr>
      <w:tr>
        <w:trPr>
          <w:trHeight w:val="20"/>
        </w:trPr>
        <w:tc>
          <w:tcPr>
            <w:tcW w:w="64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r>
    </w:tbl>
    <w:p>
      <w:pPr>
        <w:spacing w:after="0" w:line="2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Interest Income includes interest earned on investments of excess Cash and Cash Equivalents. Components of Interest Expense include interest associated with the Revolving Credit Facility, Term Loan (retired in July 2021), Senior Unsecured Notes, and commitment fees based on the unused portion of the Revolving Credit Facility. Other Expenses include amortization of debt issuance costs and Revolving Credit Facility and Term Loan costs.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(N) PENSION AND PROFIT SHARING PLANS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offer our employees multiple retirement and profit sharing plans.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Pension Plans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have several defined benefit and defined contribution retirement plans that together cover substantially all of our employees. Benefits paid under the defined benefit plans covering certain hourly employees are based on years of service and each employee’s qualifying compensation over the last few years of employment. During fiscal 2020, the last of our pension plans that was still accruing benefits was frozen; therefore, none of our pension plans are accruing additional benefits.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3" w:name="page94"/>
    <w:bookmarkEnd w:id="93"/>
    <w:p>
      <w:pPr>
        <w:ind w:right="440"/>
        <w:spacing w:after="0" w:line="260" w:lineRule="auto"/>
        <w:rPr>
          <w:sz w:val="20"/>
          <w:szCs w:val="20"/>
          <w:color w:val="auto"/>
        </w:rPr>
      </w:pPr>
      <w:r>
        <w:rPr>
          <w:rFonts w:ascii="Arial" w:cs="Arial" w:eastAsia="Arial" w:hAnsi="Arial"/>
          <w:sz w:val="18"/>
          <w:szCs w:val="18"/>
          <w:color w:val="auto"/>
        </w:rPr>
        <w:t>The following table provides a reconciliation of the Benefit Obligations and Fair Values of Plan Assets for all defined benefit plans for the years ended March 31, 2023 and 2022, as well as a statement of the funded status for the same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460" w:type="dxa"/>
            <w:vAlign w:val="bottom"/>
            <w:shd w:val="clear" w:color="auto" w:fill="004483"/>
          </w:tcPr>
          <w:p>
            <w:pPr>
              <w:spacing w:after="0"/>
              <w:rPr>
                <w:sz w:val="14"/>
                <w:szCs w:val="14"/>
                <w:color w:val="auto"/>
              </w:rPr>
            </w:pPr>
          </w:p>
        </w:tc>
        <w:tc>
          <w:tcPr>
            <w:tcW w:w="2360" w:type="dxa"/>
            <w:vAlign w:val="bottom"/>
            <w:gridSpan w:val="3"/>
            <w:shd w:val="clear" w:color="auto" w:fill="004483"/>
          </w:tcPr>
          <w:p>
            <w:pPr>
              <w:jc w:val="right"/>
              <w:ind w:right="79"/>
              <w:spacing w:after="0"/>
              <w:rPr>
                <w:sz w:val="20"/>
                <w:szCs w:val="20"/>
                <w:color w:val="auto"/>
              </w:rPr>
            </w:pPr>
            <w:r>
              <w:rPr>
                <w:rFonts w:ascii="Arial" w:cs="Arial" w:eastAsia="Arial" w:hAnsi="Arial"/>
                <w:sz w:val="13"/>
                <w:szCs w:val="13"/>
                <w:b w:val="1"/>
                <w:bCs w:val="1"/>
                <w:color w:val="FFFFFF"/>
              </w:rPr>
              <w:t>For the Years Ended March 31,</w:t>
            </w:r>
          </w:p>
        </w:tc>
        <w:tc>
          <w:tcPr>
            <w:tcW w:w="800" w:type="dxa"/>
            <w:vAlign w:val="bottom"/>
            <w:shd w:val="clear" w:color="auto" w:fill="004483"/>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right"/>
              <w:ind w:right="80"/>
              <w:spacing w:after="0"/>
              <w:rPr>
                <w:sz w:val="20"/>
                <w:szCs w:val="20"/>
                <w:color w:val="auto"/>
              </w:rPr>
            </w:pPr>
            <w:r>
              <w:rPr>
                <w:rFonts w:ascii="Arial" w:cs="Arial" w:eastAsia="Arial" w:hAnsi="Arial"/>
                <w:sz w:val="13"/>
                <w:szCs w:val="13"/>
                <w:b w:val="1"/>
                <w:bCs w:val="1"/>
                <w:color w:val="auto"/>
              </w:rPr>
              <w:t>2022</w:t>
            </w:r>
          </w:p>
        </w:tc>
      </w:tr>
      <w:tr>
        <w:trPr>
          <w:trHeight w:val="183"/>
        </w:trPr>
        <w:tc>
          <w:tcPr>
            <w:tcW w:w="76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360" w:type="dxa"/>
            <w:vAlign w:val="bottom"/>
            <w:tcBorders>
              <w:bottom w:val="single" w:sz="8" w:color="004483"/>
            </w:tcBorders>
            <w:gridSpan w:val="3"/>
          </w:tcPr>
          <w:p>
            <w:pPr>
              <w:jc w:val="right"/>
              <w:ind w:right="399"/>
              <w:spacing w:after="0"/>
              <w:rPr>
                <w:sz w:val="20"/>
                <w:szCs w:val="20"/>
                <w:color w:val="auto"/>
              </w:rPr>
            </w:pPr>
            <w:r>
              <w:rPr>
                <w:rFonts w:ascii="Arial" w:cs="Arial" w:eastAsia="Arial" w:hAnsi="Arial"/>
                <w:sz w:val="13"/>
                <w:szCs w:val="13"/>
                <w:color w:val="auto"/>
              </w:rPr>
              <w:t>(dollars in thousands)</w:t>
            </w:r>
          </w:p>
        </w:tc>
        <w:tc>
          <w:tcPr>
            <w:tcW w:w="800" w:type="dxa"/>
            <w:vAlign w:val="bottom"/>
            <w:tcBorders>
              <w:bottom w:val="single" w:sz="8" w:color="004483"/>
            </w:tcBorders>
          </w:tcPr>
          <w:p>
            <w:pPr>
              <w:spacing w:after="0"/>
              <w:rPr>
                <w:sz w:val="15"/>
                <w:szCs w:val="15"/>
                <w:color w:val="auto"/>
              </w:rPr>
            </w:pPr>
          </w:p>
        </w:tc>
      </w:tr>
      <w:tr>
        <w:trPr>
          <w:trHeight w:val="216"/>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Reconciliation of Benefit Obligations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r>
      <w:tr>
        <w:trPr>
          <w:trHeight w:val="207"/>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Benefit Obligation at April 1,</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33,909</w:t>
            </w:r>
          </w:p>
        </w:tc>
        <w:tc>
          <w:tcPr>
            <w:tcW w:w="112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35,844</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Cost on Projected Benefit Obligation</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1,240</w:t>
            </w: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1,167</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Actuarial Gain</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(4,509 )</w:t>
            </w: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(1,776 )</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Benefits Paid</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(1,451 )</w:t>
            </w: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(1,326 )</w:t>
            </w:r>
          </w:p>
        </w:tc>
      </w:tr>
      <w:tr>
        <w:trPr>
          <w:trHeight w:val="240"/>
        </w:trPr>
        <w:tc>
          <w:tcPr>
            <w:tcW w:w="7620" w:type="dxa"/>
            <w:vAlign w:val="bottom"/>
          </w:tcPr>
          <w:p>
            <w:pPr>
              <w:ind w:left="380"/>
              <w:spacing w:after="0"/>
              <w:rPr>
                <w:sz w:val="20"/>
                <w:szCs w:val="20"/>
                <w:color w:val="auto"/>
              </w:rPr>
            </w:pPr>
            <w:r>
              <w:rPr>
                <w:rFonts w:ascii="Arial" w:cs="Arial" w:eastAsia="Arial" w:hAnsi="Arial"/>
                <w:sz w:val="16"/>
                <w:szCs w:val="16"/>
                <w:color w:val="004483"/>
              </w:rPr>
              <w:t>Benefit Obligation at March 31,</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29,189</w:t>
            </w:r>
          </w:p>
        </w:tc>
        <w:tc>
          <w:tcPr>
            <w:tcW w:w="112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33,909</w:t>
            </w:r>
          </w:p>
        </w:tc>
      </w:tr>
      <w:tr>
        <w:trPr>
          <w:trHeight w:val="209"/>
        </w:trPr>
        <w:tc>
          <w:tcPr>
            <w:tcW w:w="76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Reconciliation of Fair Value of Plan Assets</w:t>
            </w:r>
          </w:p>
        </w:tc>
        <w:tc>
          <w:tcPr>
            <w:tcW w:w="46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004483"/>
              <w:bottom w:val="single" w:sz="8" w:color="A6A6A6"/>
            </w:tcBorders>
          </w:tcPr>
          <w:p>
            <w:pPr>
              <w:spacing w:after="0"/>
              <w:rPr>
                <w:sz w:val="18"/>
                <w:szCs w:val="18"/>
                <w:color w:val="auto"/>
              </w:rPr>
            </w:pPr>
          </w:p>
        </w:tc>
        <w:tc>
          <w:tcPr>
            <w:tcW w:w="800" w:type="dxa"/>
            <w:vAlign w:val="bottom"/>
            <w:tcBorders>
              <w:top w:val="single" w:sz="8" w:color="004483"/>
              <w:bottom w:val="single" w:sz="8" w:color="A6A6A6"/>
            </w:tcBorders>
          </w:tcPr>
          <w:p>
            <w:pPr>
              <w:spacing w:after="0"/>
              <w:rPr>
                <w:sz w:val="18"/>
                <w:szCs w:val="18"/>
                <w:color w:val="auto"/>
              </w:rPr>
            </w:pPr>
          </w:p>
        </w:tc>
      </w:tr>
      <w:tr>
        <w:trPr>
          <w:trHeight w:val="207"/>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Fair Value of Plan Assets at April 1,</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36,313</w:t>
            </w:r>
          </w:p>
        </w:tc>
        <w:tc>
          <w:tcPr>
            <w:tcW w:w="112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37,907</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Actual Return on Plan Assets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(3,756 )</w:t>
            </w: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(268 )</w:t>
            </w:r>
          </w:p>
        </w:tc>
      </w:tr>
      <w:tr>
        <w:trPr>
          <w:trHeight w:val="240"/>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Benefits Paid</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(1,451 )</w:t>
            </w:r>
          </w:p>
        </w:tc>
        <w:tc>
          <w:tcPr>
            <w:tcW w:w="22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(1,326 )</w:t>
            </w:r>
          </w:p>
        </w:tc>
      </w:tr>
      <w:tr>
        <w:trPr>
          <w:trHeight w:val="236"/>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Fair Value of Plan Assets at March 31,</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31,106</w:t>
            </w:r>
          </w:p>
        </w:tc>
        <w:tc>
          <w:tcPr>
            <w:tcW w:w="22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36,313</w:t>
            </w:r>
          </w:p>
        </w:tc>
      </w:tr>
      <w:tr>
        <w:trPr>
          <w:trHeight w:val="210"/>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Funded Status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r>
      <w:tr>
        <w:trPr>
          <w:trHeight w:val="209"/>
        </w:trPr>
        <w:tc>
          <w:tcPr>
            <w:tcW w:w="7620" w:type="dxa"/>
            <w:vAlign w:val="bottom"/>
          </w:tcPr>
          <w:p>
            <w:pPr>
              <w:ind w:left="200"/>
              <w:spacing w:after="0"/>
              <w:rPr>
                <w:sz w:val="20"/>
                <w:szCs w:val="20"/>
                <w:color w:val="auto"/>
              </w:rPr>
            </w:pPr>
            <w:r>
              <w:rPr>
                <w:rFonts w:ascii="Arial" w:cs="Arial" w:eastAsia="Arial" w:hAnsi="Arial"/>
                <w:sz w:val="16"/>
                <w:szCs w:val="16"/>
                <w:b w:val="1"/>
                <w:bCs w:val="1"/>
                <w:color w:val="auto"/>
              </w:rPr>
              <w:t>Funded Status at March 31,</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1,917</w:t>
            </w:r>
          </w:p>
        </w:tc>
        <w:tc>
          <w:tcPr>
            <w:tcW w:w="112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b w:val="1"/>
                <w:bCs w:val="1"/>
                <w:color w:val="auto"/>
              </w:rPr>
              <w:t>2,404</w:t>
            </w:r>
          </w:p>
        </w:tc>
      </w:tr>
      <w:tr>
        <w:trPr>
          <w:trHeight w:val="20"/>
        </w:trPr>
        <w:tc>
          <w:tcPr>
            <w:tcW w:w="7620" w:type="dxa"/>
            <w:vAlign w:val="bottom"/>
            <w:tcBorders>
              <w:bottom w:val="single" w:sz="8" w:color="A6A6A6"/>
            </w:tcBorders>
          </w:tcPr>
          <w:p>
            <w:pPr>
              <w:spacing w:after="0" w:line="20" w:lineRule="exact"/>
              <w:rPr>
                <w:sz w:val="1"/>
                <w:szCs w:val="1"/>
                <w:color w:val="auto"/>
              </w:rPr>
            </w:pPr>
          </w:p>
        </w:tc>
        <w:tc>
          <w:tcPr>
            <w:tcW w:w="460" w:type="dxa"/>
            <w:vAlign w:val="bottom"/>
            <w:tcBorders>
              <w:top w:val="single" w:sz="8" w:color="004483"/>
              <w:bottom w:val="single" w:sz="8" w:color="004483"/>
            </w:tcBorders>
          </w:tcPr>
          <w:p>
            <w:pPr>
              <w:spacing w:after="0" w:line="20" w:lineRule="exact"/>
              <w:rPr>
                <w:sz w:val="1"/>
                <w:szCs w:val="1"/>
                <w:color w:val="auto"/>
              </w:rPr>
            </w:pPr>
          </w:p>
        </w:tc>
        <w:tc>
          <w:tcPr>
            <w:tcW w:w="1240" w:type="dxa"/>
            <w:vAlign w:val="bottom"/>
            <w:tcBorders>
              <w:top w:val="single" w:sz="8" w:color="004483"/>
              <w:bottom w:val="single" w:sz="8" w:color="004483"/>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90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r>
      <w:tr>
        <w:trPr>
          <w:trHeight w:val="197"/>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Amounts Recognized in the Balance Sheet Include:</w:t>
            </w:r>
          </w:p>
        </w:tc>
        <w:tc>
          <w:tcPr>
            <w:tcW w:w="46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22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spacing w:after="0"/>
              <w:rPr>
                <w:sz w:val="17"/>
                <w:szCs w:val="17"/>
                <w:color w:val="auto"/>
              </w:rPr>
            </w:pPr>
          </w:p>
        </w:tc>
      </w:tr>
      <w:tr>
        <w:trPr>
          <w:trHeight w:val="207"/>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1,917</w:t>
            </w:r>
          </w:p>
        </w:tc>
        <w:tc>
          <w:tcPr>
            <w:tcW w:w="112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2,404</w:t>
            </w:r>
          </w:p>
        </w:tc>
      </w:tr>
      <w:tr>
        <w:trPr>
          <w:trHeight w:val="209"/>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Accumulated Other Comprehensive Losses:</w:t>
            </w:r>
          </w:p>
        </w:tc>
        <w:tc>
          <w:tcPr>
            <w:tcW w:w="46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r>
      <w:tr>
        <w:trPr>
          <w:trHeight w:val="240"/>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Actuarial Loss</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4,662</w:t>
            </w:r>
          </w:p>
        </w:tc>
        <w:tc>
          <w:tcPr>
            <w:tcW w:w="22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color w:val="auto"/>
              </w:rPr>
              <w:t>4,172</w:t>
            </w:r>
          </w:p>
        </w:tc>
      </w:tr>
      <w:tr>
        <w:trPr>
          <w:trHeight w:val="207"/>
        </w:trPr>
        <w:tc>
          <w:tcPr>
            <w:tcW w:w="76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Accumulated Other Comprehensive Losses</w:t>
            </w: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4,662</w:t>
            </w:r>
          </w:p>
        </w:tc>
        <w:tc>
          <w:tcPr>
            <w:tcW w:w="112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80"/>
              <w:spacing w:after="0"/>
              <w:rPr>
                <w:sz w:val="20"/>
                <w:szCs w:val="20"/>
                <w:color w:val="auto"/>
              </w:rPr>
            </w:pPr>
            <w:r>
              <w:rPr>
                <w:rFonts w:ascii="Arial" w:cs="Arial" w:eastAsia="Arial" w:hAnsi="Arial"/>
                <w:sz w:val="16"/>
                <w:szCs w:val="16"/>
                <w:color w:val="auto"/>
              </w:rPr>
              <w:t>4,172</w:t>
            </w:r>
          </w:p>
        </w:tc>
      </w:tr>
      <w:tr>
        <w:trPr>
          <w:trHeight w:val="239"/>
        </w:trPr>
        <w:tc>
          <w:tcPr>
            <w:tcW w:w="76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Tax Impact</w:t>
            </w:r>
          </w:p>
        </w:tc>
        <w:tc>
          <w:tcPr>
            <w:tcW w:w="460" w:type="dxa"/>
            <w:vAlign w:val="bottom"/>
            <w:tcBorders>
              <w:bottom w:val="single" w:sz="8" w:color="004483"/>
            </w:tcBorders>
          </w:tcPr>
          <w:p>
            <w:pPr>
              <w:spacing w:after="0"/>
              <w:rPr>
                <w:sz w:val="20"/>
                <w:szCs w:val="20"/>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(1,115 )</w:t>
            </w:r>
          </w:p>
        </w:tc>
        <w:tc>
          <w:tcPr>
            <w:tcW w:w="220" w:type="dxa"/>
            <w:vAlign w:val="bottom"/>
            <w:tcBorders>
              <w:bottom w:val="single" w:sz="8" w:color="A6A6A6"/>
            </w:tcBorders>
          </w:tcPr>
          <w:p>
            <w:pPr>
              <w:spacing w:after="0"/>
              <w:rPr>
                <w:sz w:val="20"/>
                <w:szCs w:val="20"/>
                <w:color w:val="auto"/>
              </w:rPr>
            </w:pPr>
          </w:p>
        </w:tc>
        <w:tc>
          <w:tcPr>
            <w:tcW w:w="9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(997 )</w:t>
            </w:r>
          </w:p>
        </w:tc>
      </w:tr>
      <w:tr>
        <w:trPr>
          <w:trHeight w:val="209"/>
        </w:trPr>
        <w:tc>
          <w:tcPr>
            <w:tcW w:w="7620" w:type="dxa"/>
            <w:vAlign w:val="bottom"/>
          </w:tcPr>
          <w:p>
            <w:pPr>
              <w:ind w:left="200"/>
              <w:spacing w:after="0"/>
              <w:rPr>
                <w:sz w:val="20"/>
                <w:szCs w:val="20"/>
                <w:color w:val="auto"/>
              </w:rPr>
            </w:pPr>
            <w:r>
              <w:rPr>
                <w:rFonts w:ascii="Arial" w:cs="Arial" w:eastAsia="Arial" w:hAnsi="Arial"/>
                <w:sz w:val="16"/>
                <w:szCs w:val="16"/>
                <w:b w:val="1"/>
                <w:bCs w:val="1"/>
                <w:color w:val="auto"/>
              </w:rPr>
              <w:t>Accumulated Other Comprehensive Losses, net of tax</w:t>
            </w: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3,547</w:t>
            </w:r>
          </w:p>
        </w:tc>
        <w:tc>
          <w:tcPr>
            <w:tcW w:w="220" w:type="dxa"/>
            <w:vAlign w:val="bottom"/>
          </w:tcPr>
          <w:p>
            <w:pPr>
              <w:spacing w:after="0"/>
              <w:rPr>
                <w:sz w:val="18"/>
                <w:szCs w:val="18"/>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ind w:right="80"/>
              <w:spacing w:after="0"/>
              <w:rPr>
                <w:sz w:val="20"/>
                <w:szCs w:val="20"/>
                <w:color w:val="auto"/>
              </w:rPr>
            </w:pPr>
            <w:r>
              <w:rPr>
                <w:rFonts w:ascii="Arial" w:cs="Arial" w:eastAsia="Arial" w:hAnsi="Arial"/>
                <w:sz w:val="16"/>
                <w:szCs w:val="16"/>
                <w:b w:val="1"/>
                <w:bCs w:val="1"/>
                <w:color w:val="auto"/>
              </w:rPr>
              <w:t>3,175</w:t>
            </w:r>
          </w:p>
        </w:tc>
      </w:tr>
      <w:tr>
        <w:trPr>
          <w:trHeight w:val="20"/>
        </w:trPr>
        <w:tc>
          <w:tcPr>
            <w:tcW w:w="76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fiscal years ended March 31, 2023, 2022, and 2021, included the following components: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480" w:type="dxa"/>
            <w:vAlign w:val="bottom"/>
            <w:shd w:val="clear" w:color="auto" w:fill="004483"/>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190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96"/>
              </w:rPr>
              <w:t>For the Years Ended March 31,</w:t>
            </w:r>
          </w:p>
        </w:tc>
        <w:tc>
          <w:tcPr>
            <w:tcW w:w="480" w:type="dxa"/>
            <w:vAlign w:val="bottom"/>
            <w:shd w:val="clear" w:color="auto" w:fill="004483"/>
          </w:tcPr>
          <w:p>
            <w:pPr>
              <w:spacing w:after="0"/>
              <w:rPr>
                <w:sz w:val="14"/>
                <w:szCs w:val="14"/>
                <w:color w:val="auto"/>
              </w:rPr>
            </w:pPr>
          </w:p>
        </w:tc>
        <w:tc>
          <w:tcPr>
            <w:tcW w:w="980" w:type="dxa"/>
            <w:vAlign w:val="bottom"/>
            <w:shd w:val="clear" w:color="auto" w:fill="004483"/>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3"/>
                <w:szCs w:val="13"/>
                <w:b w:val="1"/>
                <w:bCs w:val="1"/>
                <w:color w:val="auto"/>
              </w:rPr>
              <w:t>2021</w:t>
            </w:r>
          </w:p>
        </w:tc>
      </w:tr>
      <w:tr>
        <w:trPr>
          <w:trHeight w:val="183"/>
        </w:trPr>
        <w:tc>
          <w:tcPr>
            <w:tcW w:w="650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6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640" w:type="dxa"/>
            <w:vAlign w:val="bottom"/>
            <w:tcBorders>
              <w:bottom w:val="single" w:sz="8" w:color="004483"/>
            </w:tcBorders>
            <w:gridSpan w:val="3"/>
          </w:tcPr>
          <w:p>
            <w:pPr>
              <w:jc w:val="center"/>
              <w:ind w:right="320"/>
              <w:spacing w:after="0"/>
              <w:rPr>
                <w:sz w:val="20"/>
                <w:szCs w:val="20"/>
                <w:color w:val="auto"/>
              </w:rPr>
            </w:pPr>
            <w:r>
              <w:rPr>
                <w:rFonts w:ascii="Arial" w:cs="Arial" w:eastAsia="Arial" w:hAnsi="Arial"/>
                <w:sz w:val="13"/>
                <w:szCs w:val="13"/>
                <w:color w:val="auto"/>
                <w:w w:val="96"/>
              </w:rPr>
              <w:t>(dollars in thousands)</w:t>
            </w:r>
          </w:p>
        </w:tc>
        <w:tc>
          <w:tcPr>
            <w:tcW w:w="48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r>
      <w:tr>
        <w:trPr>
          <w:trHeight w:val="216"/>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Interest Cost of Projected Benefit Obligation</w:t>
            </w:r>
          </w:p>
        </w:tc>
        <w:tc>
          <w:tcPr>
            <w:tcW w:w="4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ind w:right="3"/>
              <w:spacing w:after="0"/>
              <w:rPr>
                <w:sz w:val="20"/>
                <w:szCs w:val="20"/>
                <w:color w:val="auto"/>
              </w:rPr>
            </w:pPr>
            <w:r>
              <w:rPr>
                <w:rFonts w:ascii="Arial" w:cs="Arial" w:eastAsia="Arial" w:hAnsi="Arial"/>
                <w:sz w:val="16"/>
                <w:szCs w:val="16"/>
                <w:color w:val="auto"/>
              </w:rPr>
              <w:t>1,240</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83"/>
              <w:spacing w:after="0"/>
              <w:rPr>
                <w:sz w:val="20"/>
                <w:szCs w:val="20"/>
                <w:color w:val="auto"/>
              </w:rPr>
            </w:pPr>
            <w:r>
              <w:rPr>
                <w:rFonts w:ascii="Arial" w:cs="Arial" w:eastAsia="Arial" w:hAnsi="Arial"/>
                <w:sz w:val="16"/>
                <w:szCs w:val="16"/>
                <w:color w:val="auto"/>
              </w:rPr>
              <w:t>1,167</w:t>
            </w:r>
          </w:p>
        </w:tc>
        <w:tc>
          <w:tcPr>
            <w:tcW w:w="1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63"/>
              <w:spacing w:after="0"/>
              <w:rPr>
                <w:sz w:val="20"/>
                <w:szCs w:val="20"/>
                <w:color w:val="auto"/>
              </w:rPr>
            </w:pPr>
            <w:r>
              <w:rPr>
                <w:rFonts w:ascii="Arial" w:cs="Arial" w:eastAsia="Arial" w:hAnsi="Arial"/>
                <w:sz w:val="16"/>
                <w:szCs w:val="16"/>
                <w:color w:val="auto"/>
              </w:rPr>
              <w:t>1,216</w:t>
            </w:r>
          </w:p>
        </w:tc>
      </w:tr>
      <w:tr>
        <w:trPr>
          <w:trHeight w:val="210"/>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Expected Return on Plan Assets</w:t>
            </w:r>
          </w:p>
        </w:tc>
        <w:tc>
          <w:tcPr>
            <w:tcW w:w="4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(1,366 )</w:t>
            </w:r>
          </w:p>
        </w:tc>
        <w:tc>
          <w:tcPr>
            <w:tcW w:w="6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ind w:right="3"/>
              <w:spacing w:after="0"/>
              <w:rPr>
                <w:sz w:val="20"/>
                <w:szCs w:val="20"/>
                <w:color w:val="auto"/>
              </w:rPr>
            </w:pPr>
            <w:r>
              <w:rPr>
                <w:rFonts w:ascii="Arial" w:cs="Arial" w:eastAsia="Arial" w:hAnsi="Arial"/>
                <w:sz w:val="16"/>
                <w:szCs w:val="16"/>
                <w:color w:val="auto"/>
              </w:rPr>
              <w:t>(1,299 )</w:t>
            </w:r>
          </w:p>
        </w:tc>
        <w:tc>
          <w:tcPr>
            <w:tcW w:w="18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(1,419 )</w:t>
            </w:r>
          </w:p>
        </w:tc>
      </w:tr>
      <w:tr>
        <w:trPr>
          <w:trHeight w:val="237"/>
        </w:trPr>
        <w:tc>
          <w:tcPr>
            <w:tcW w:w="6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Recognized Net Actuarial Loss</w:t>
            </w:r>
          </w:p>
        </w:tc>
        <w:tc>
          <w:tcPr>
            <w:tcW w:w="48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3"/>
              <w:spacing w:after="0"/>
              <w:rPr>
                <w:sz w:val="20"/>
                <w:szCs w:val="20"/>
                <w:color w:val="auto"/>
              </w:rPr>
            </w:pPr>
            <w:r>
              <w:rPr>
                <w:rFonts w:ascii="Arial" w:cs="Arial" w:eastAsia="Arial" w:hAnsi="Arial"/>
                <w:sz w:val="16"/>
                <w:szCs w:val="16"/>
                <w:color w:val="auto"/>
              </w:rPr>
              <w:t>123</w:t>
            </w:r>
          </w:p>
        </w:tc>
        <w:tc>
          <w:tcPr>
            <w:tcW w:w="60" w:type="dxa"/>
            <w:vAlign w:val="bottom"/>
            <w:tcBorders>
              <w:bottom w:val="single" w:sz="8" w:color="004483"/>
            </w:tcBorders>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ind w:right="83"/>
              <w:spacing w:after="0"/>
              <w:rPr>
                <w:sz w:val="20"/>
                <w:szCs w:val="20"/>
                <w:color w:val="auto"/>
              </w:rPr>
            </w:pPr>
            <w:r>
              <w:rPr>
                <w:rFonts w:ascii="Arial" w:cs="Arial" w:eastAsia="Arial" w:hAnsi="Arial"/>
                <w:sz w:val="16"/>
                <w:szCs w:val="16"/>
                <w:color w:val="auto"/>
              </w:rPr>
              <w:t>143</w:t>
            </w:r>
          </w:p>
        </w:tc>
        <w:tc>
          <w:tcPr>
            <w:tcW w:w="18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133</w:t>
            </w:r>
          </w:p>
        </w:tc>
      </w:tr>
      <w:tr>
        <w:trPr>
          <w:trHeight w:val="209"/>
        </w:trPr>
        <w:tc>
          <w:tcPr>
            <w:tcW w:w="6500" w:type="dxa"/>
            <w:vAlign w:val="bottom"/>
          </w:tcPr>
          <w:p>
            <w:pPr>
              <w:ind w:left="200"/>
              <w:spacing w:after="0"/>
              <w:rPr>
                <w:sz w:val="20"/>
                <w:szCs w:val="20"/>
                <w:color w:val="auto"/>
              </w:rPr>
            </w:pPr>
            <w:r>
              <w:rPr>
                <w:rFonts w:ascii="Arial" w:cs="Arial" w:eastAsia="Arial" w:hAnsi="Arial"/>
                <w:sz w:val="16"/>
                <w:szCs w:val="16"/>
                <w:b w:val="1"/>
                <w:bCs w:val="1"/>
                <w:color w:val="004483"/>
              </w:rPr>
              <w:t>Net Periodic Pension Cost</w:t>
            </w: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(3 )</w:t>
            </w:r>
          </w:p>
        </w:tc>
        <w:tc>
          <w:tcPr>
            <w:tcW w:w="60" w:type="dxa"/>
            <w:vAlign w:val="bottom"/>
            <w:tcBorders>
              <w:bottom w:val="single" w:sz="8" w:color="004483"/>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004483"/>
            </w:tcBorders>
          </w:tcPr>
          <w:p>
            <w:pPr>
              <w:jc w:val="right"/>
              <w:ind w:right="308"/>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83"/>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8"/>
                <w:szCs w:val="18"/>
                <w:color w:val="auto"/>
              </w:rPr>
            </w:pP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(70 )</w:t>
            </w:r>
          </w:p>
        </w:tc>
      </w:tr>
      <w:tr>
        <w:trPr>
          <w:trHeight w:val="20"/>
        </w:trPr>
        <w:tc>
          <w:tcPr>
            <w:tcW w:w="650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95"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Expected benefit payments over the next five years, and the following five years under the pension plans are expected to be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Fiscal Years</w:t>
            </w:r>
          </w:p>
        </w:tc>
        <w:tc>
          <w:tcPr>
            <w:tcW w:w="4980" w:type="dxa"/>
            <w:vAlign w:val="bottom"/>
            <w:tcBorders>
              <w:bottom w:val="single" w:sz="8" w:color="004483"/>
            </w:tcBorders>
          </w:tcPr>
          <w:p>
            <w:pPr>
              <w:spacing w:after="0"/>
              <w:rPr>
                <w:sz w:val="16"/>
                <w:szCs w:val="16"/>
                <w:color w:val="auto"/>
              </w:rPr>
            </w:pPr>
          </w:p>
        </w:tc>
        <w:tc>
          <w:tcPr>
            <w:tcW w:w="1260" w:type="dxa"/>
            <w:vAlign w:val="bottom"/>
            <w:tcBorders>
              <w:bottom w:val="single" w:sz="8" w:color="004483"/>
            </w:tcBorders>
          </w:tcPr>
          <w:p>
            <w:pPr>
              <w:jc w:val="right"/>
              <w:ind w:right="82"/>
              <w:spacing w:after="0"/>
              <w:rPr>
                <w:sz w:val="20"/>
                <w:szCs w:val="20"/>
                <w:color w:val="auto"/>
              </w:rPr>
            </w:pPr>
            <w:r>
              <w:rPr>
                <w:rFonts w:ascii="Arial" w:cs="Arial" w:eastAsia="Arial" w:hAnsi="Arial"/>
                <w:sz w:val="13"/>
                <w:szCs w:val="13"/>
                <w:b w:val="1"/>
                <w:bCs w:val="1"/>
                <w:color w:val="auto"/>
              </w:rPr>
              <w:t>Total</w:t>
            </w:r>
          </w:p>
        </w:tc>
      </w:tr>
      <w:tr>
        <w:trPr>
          <w:trHeight w:val="216"/>
        </w:trPr>
        <w:tc>
          <w:tcPr>
            <w:tcW w:w="50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2024</w:t>
            </w:r>
          </w:p>
        </w:tc>
        <w:tc>
          <w:tcPr>
            <w:tcW w:w="4980" w:type="dxa"/>
            <w:vAlign w:val="bottom"/>
            <w:tcBorders>
              <w:bottom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1,753</w:t>
            </w:r>
          </w:p>
        </w:tc>
      </w:tr>
      <w:tr>
        <w:trPr>
          <w:trHeight w:val="210"/>
        </w:trPr>
        <w:tc>
          <w:tcPr>
            <w:tcW w:w="50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2025</w:t>
            </w:r>
          </w:p>
        </w:tc>
        <w:tc>
          <w:tcPr>
            <w:tcW w:w="4980" w:type="dxa"/>
            <w:vAlign w:val="bottom"/>
            <w:tcBorders>
              <w:bottom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1,842</w:t>
            </w:r>
          </w:p>
        </w:tc>
      </w:tr>
      <w:tr>
        <w:trPr>
          <w:trHeight w:val="210"/>
        </w:trPr>
        <w:tc>
          <w:tcPr>
            <w:tcW w:w="50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2026</w:t>
            </w:r>
          </w:p>
        </w:tc>
        <w:tc>
          <w:tcPr>
            <w:tcW w:w="4980" w:type="dxa"/>
            <w:vAlign w:val="bottom"/>
            <w:tcBorders>
              <w:bottom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1,890</w:t>
            </w:r>
          </w:p>
        </w:tc>
      </w:tr>
      <w:tr>
        <w:trPr>
          <w:trHeight w:val="209"/>
        </w:trPr>
        <w:tc>
          <w:tcPr>
            <w:tcW w:w="50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2027</w:t>
            </w:r>
          </w:p>
        </w:tc>
        <w:tc>
          <w:tcPr>
            <w:tcW w:w="4980" w:type="dxa"/>
            <w:vAlign w:val="bottom"/>
            <w:tcBorders>
              <w:bottom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1,964</w:t>
            </w:r>
          </w:p>
        </w:tc>
      </w:tr>
      <w:tr>
        <w:trPr>
          <w:trHeight w:val="210"/>
        </w:trPr>
        <w:tc>
          <w:tcPr>
            <w:tcW w:w="50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2028</w:t>
            </w:r>
          </w:p>
        </w:tc>
        <w:tc>
          <w:tcPr>
            <w:tcW w:w="4980" w:type="dxa"/>
            <w:vAlign w:val="bottom"/>
            <w:tcBorders>
              <w:bottom w:val="single" w:sz="8" w:color="A6A6A6"/>
            </w:tcBorders>
          </w:tcPr>
          <w:p>
            <w:pPr>
              <w:jc w:val="right"/>
              <w:ind w:right="6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1,994</w:t>
            </w:r>
          </w:p>
        </w:tc>
      </w:tr>
      <w:tr>
        <w:trPr>
          <w:trHeight w:val="210"/>
        </w:trPr>
        <w:tc>
          <w:tcPr>
            <w:tcW w:w="5000" w:type="dxa"/>
            <w:vAlign w:val="bottom"/>
            <w:tcBorders>
              <w:bottom w:val="single" w:sz="8" w:color="A3A3A3"/>
            </w:tcBorders>
          </w:tcPr>
          <w:p>
            <w:pPr>
              <w:ind w:left="20"/>
              <w:spacing w:after="0"/>
              <w:rPr>
                <w:sz w:val="20"/>
                <w:szCs w:val="20"/>
                <w:color w:val="auto"/>
              </w:rPr>
            </w:pPr>
            <w:r>
              <w:rPr>
                <w:rFonts w:ascii="Arial" w:cs="Arial" w:eastAsia="Arial" w:hAnsi="Arial"/>
                <w:sz w:val="16"/>
                <w:szCs w:val="16"/>
                <w:b w:val="1"/>
                <w:bCs w:val="1"/>
                <w:color w:val="004483"/>
              </w:rPr>
              <w:t>2029-2033</w:t>
            </w:r>
          </w:p>
        </w:tc>
        <w:tc>
          <w:tcPr>
            <w:tcW w:w="4980" w:type="dxa"/>
            <w:vAlign w:val="bottom"/>
            <w:tcBorders>
              <w:bottom w:val="single" w:sz="8" w:color="A3A3A3"/>
            </w:tcBorders>
          </w:tcPr>
          <w:p>
            <w:pPr>
              <w:jc w:val="right"/>
              <w:ind w:right="6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3A3A3"/>
            </w:tcBorders>
          </w:tcPr>
          <w:p>
            <w:pPr>
              <w:jc w:val="right"/>
              <w:ind w:right="82"/>
              <w:spacing w:after="0"/>
              <w:rPr>
                <w:sz w:val="20"/>
                <w:szCs w:val="20"/>
                <w:color w:val="auto"/>
              </w:rPr>
            </w:pPr>
            <w:r>
              <w:rPr>
                <w:rFonts w:ascii="Arial" w:cs="Arial" w:eastAsia="Arial" w:hAnsi="Arial"/>
                <w:sz w:val="16"/>
                <w:szCs w:val="16"/>
                <w:color w:val="auto"/>
              </w:rPr>
              <w:t>9,834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assumptions used in the actuarial calculations of the present value of Net Periodic Benefit Costs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100" w:type="dxa"/>
            <w:vAlign w:val="bottom"/>
            <w:shd w:val="clear" w:color="auto" w:fill="004483"/>
          </w:tcPr>
          <w:p>
            <w:pPr>
              <w:spacing w:after="0"/>
              <w:rPr>
                <w:sz w:val="14"/>
                <w:szCs w:val="14"/>
                <w:color w:val="auto"/>
              </w:rPr>
            </w:pPr>
          </w:p>
        </w:tc>
        <w:tc>
          <w:tcPr>
            <w:tcW w:w="660" w:type="dxa"/>
            <w:vAlign w:val="bottom"/>
            <w:shd w:val="clear" w:color="auto" w:fill="004483"/>
          </w:tcPr>
          <w:p>
            <w:pPr>
              <w:spacing w:after="0"/>
              <w:rPr>
                <w:sz w:val="14"/>
                <w:szCs w:val="14"/>
                <w:color w:val="auto"/>
              </w:rPr>
            </w:pPr>
          </w:p>
        </w:tc>
        <w:tc>
          <w:tcPr>
            <w:tcW w:w="2000" w:type="dxa"/>
            <w:vAlign w:val="bottom"/>
            <w:shd w:val="clear" w:color="auto" w:fill="004483"/>
          </w:tcPr>
          <w:p>
            <w:pPr>
              <w:jc w:val="right"/>
              <w:ind w:right="1047"/>
              <w:spacing w:after="0"/>
              <w:rPr>
                <w:sz w:val="20"/>
                <w:szCs w:val="20"/>
                <w:color w:val="auto"/>
              </w:rPr>
            </w:pPr>
            <w:r>
              <w:rPr>
                <w:rFonts w:ascii="Arial" w:cs="Arial" w:eastAsia="Arial" w:hAnsi="Arial"/>
                <w:sz w:val="13"/>
                <w:szCs w:val="13"/>
                <w:b w:val="1"/>
                <w:bCs w:val="1"/>
                <w:color w:val="FFFFFF"/>
              </w:rPr>
              <w:t>March 31,</w:t>
            </w:r>
          </w:p>
        </w:tc>
        <w:tc>
          <w:tcPr>
            <w:tcW w:w="1060" w:type="dxa"/>
            <w:vAlign w:val="bottom"/>
            <w:shd w:val="clear" w:color="auto" w:fill="004483"/>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6420" w:type="dxa"/>
            <w:vAlign w:val="bottom"/>
            <w:tcBorders>
              <w:bottom w:val="single" w:sz="8" w:color="004483"/>
            </w:tcBorders>
          </w:tcPr>
          <w:p>
            <w:pPr>
              <w:spacing w:after="0"/>
              <w:rPr>
                <w:sz w:val="15"/>
                <w:szCs w:val="15"/>
                <w:color w:val="auto"/>
              </w:rPr>
            </w:pPr>
          </w:p>
        </w:tc>
        <w:tc>
          <w:tcPr>
            <w:tcW w:w="1760" w:type="dxa"/>
            <w:vAlign w:val="bottom"/>
            <w:tcBorders>
              <w:bottom w:val="single" w:sz="8" w:color="004483"/>
            </w:tcBorders>
            <w:gridSpan w:val="2"/>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2000" w:type="dxa"/>
            <w:vAlign w:val="bottom"/>
            <w:tcBorders>
              <w:bottom w:val="single" w:sz="8" w:color="004483"/>
            </w:tcBorders>
          </w:tcPr>
          <w:p>
            <w:pPr>
              <w:jc w:val="right"/>
              <w:ind w:right="767"/>
              <w:spacing w:after="0"/>
              <w:rPr>
                <w:sz w:val="20"/>
                <w:szCs w:val="20"/>
                <w:color w:val="auto"/>
              </w:rPr>
            </w:pPr>
            <w:r>
              <w:rPr>
                <w:rFonts w:ascii="Arial" w:cs="Arial" w:eastAsia="Arial" w:hAnsi="Arial"/>
                <w:sz w:val="13"/>
                <w:szCs w:val="13"/>
                <w:b w:val="1"/>
                <w:bCs w:val="1"/>
                <w:color w:val="auto"/>
              </w:rPr>
              <w:t>2022</w:t>
            </w:r>
          </w:p>
        </w:tc>
        <w:tc>
          <w:tcPr>
            <w:tcW w:w="1060" w:type="dxa"/>
            <w:vAlign w:val="bottom"/>
            <w:tcBorders>
              <w:bottom w:val="single" w:sz="8" w:color="004483"/>
            </w:tcBorders>
          </w:tcPr>
          <w:p>
            <w:pPr>
              <w:jc w:val="right"/>
              <w:ind w:right="64"/>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r>
      <w:tr>
        <w:trPr>
          <w:trHeight w:val="216"/>
        </w:trPr>
        <w:tc>
          <w:tcPr>
            <w:tcW w:w="6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Periodic Benefit Costs</w:t>
            </w:r>
          </w:p>
        </w:tc>
        <w:tc>
          <w:tcPr>
            <w:tcW w:w="11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20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420" w:type="dxa"/>
            <w:vAlign w:val="bottom"/>
          </w:tcPr>
          <w:p>
            <w:pPr>
              <w:ind w:left="200"/>
              <w:spacing w:after="0"/>
              <w:rPr>
                <w:sz w:val="20"/>
                <w:szCs w:val="20"/>
                <w:color w:val="auto"/>
              </w:rPr>
            </w:pPr>
            <w:r>
              <w:rPr>
                <w:rFonts w:ascii="Arial" w:cs="Arial" w:eastAsia="Arial" w:hAnsi="Arial"/>
                <w:sz w:val="16"/>
                <w:szCs w:val="16"/>
                <w:b w:val="1"/>
                <w:bCs w:val="1"/>
                <w:color w:val="004483"/>
              </w:rPr>
              <w:t>Discount Rate</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3.75 %</w:t>
            </w:r>
          </w:p>
        </w:tc>
        <w:tc>
          <w:tcPr>
            <w:tcW w:w="2000" w:type="dxa"/>
            <w:vAlign w:val="bottom"/>
          </w:tcPr>
          <w:p>
            <w:pPr>
              <w:jc w:val="right"/>
              <w:ind w:right="607"/>
              <w:spacing w:after="0"/>
              <w:rPr>
                <w:sz w:val="20"/>
                <w:szCs w:val="20"/>
                <w:color w:val="auto"/>
              </w:rPr>
            </w:pPr>
            <w:r>
              <w:rPr>
                <w:rFonts w:ascii="Arial" w:cs="Arial" w:eastAsia="Arial" w:hAnsi="Arial"/>
                <w:sz w:val="16"/>
                <w:szCs w:val="16"/>
                <w:color w:val="auto"/>
              </w:rPr>
              <w:t>3.33 %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3.64 %</w:t>
            </w:r>
          </w:p>
        </w:tc>
      </w:tr>
      <w:tr>
        <w:trPr>
          <w:trHeight w:val="20"/>
        </w:trPr>
        <w:tc>
          <w:tcPr>
            <w:tcW w:w="6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20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20" w:type="dxa"/>
            <w:vAlign w:val="bottom"/>
          </w:tcPr>
          <w:p>
            <w:pPr>
              <w:ind w:left="200"/>
              <w:spacing w:after="0"/>
              <w:rPr>
                <w:sz w:val="20"/>
                <w:szCs w:val="20"/>
                <w:color w:val="auto"/>
              </w:rPr>
            </w:pPr>
            <w:r>
              <w:rPr>
                <w:rFonts w:ascii="Arial" w:cs="Arial" w:eastAsia="Arial" w:hAnsi="Arial"/>
                <w:sz w:val="16"/>
                <w:szCs w:val="16"/>
                <w:b w:val="1"/>
                <w:bCs w:val="1"/>
                <w:color w:val="004483"/>
              </w:rPr>
              <w:t>Expected Return on Plan Assets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3.85 %</w:t>
            </w:r>
          </w:p>
        </w:tc>
        <w:tc>
          <w:tcPr>
            <w:tcW w:w="2000" w:type="dxa"/>
            <w:vAlign w:val="bottom"/>
          </w:tcPr>
          <w:p>
            <w:pPr>
              <w:jc w:val="right"/>
              <w:ind w:right="607"/>
              <w:spacing w:after="0"/>
              <w:rPr>
                <w:sz w:val="20"/>
                <w:szCs w:val="20"/>
                <w:color w:val="auto"/>
              </w:rPr>
            </w:pPr>
            <w:r>
              <w:rPr>
                <w:rFonts w:ascii="Arial" w:cs="Arial" w:eastAsia="Arial" w:hAnsi="Arial"/>
                <w:sz w:val="16"/>
                <w:szCs w:val="16"/>
                <w:color w:val="auto"/>
              </w:rPr>
              <w:t>3.50 %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4.00 %</w:t>
            </w:r>
          </w:p>
        </w:tc>
      </w:tr>
      <w:tr>
        <w:trPr>
          <w:trHeight w:val="210"/>
        </w:trPr>
        <w:tc>
          <w:tcPr>
            <w:tcW w:w="6420" w:type="dxa"/>
            <w:vAlign w:val="bottom"/>
            <w:tcBorders>
              <w:top w:val="single" w:sz="8" w:color="A6A6A6"/>
              <w:bottom w:val="single" w:sz="8" w:color="A3A3A3"/>
            </w:tcBorders>
          </w:tcPr>
          <w:p>
            <w:pPr>
              <w:ind w:left="200"/>
              <w:spacing w:after="0"/>
              <w:rPr>
                <w:sz w:val="20"/>
                <w:szCs w:val="20"/>
                <w:color w:val="auto"/>
              </w:rPr>
            </w:pPr>
            <w:r>
              <w:rPr>
                <w:rFonts w:ascii="Arial" w:cs="Arial" w:eastAsia="Arial" w:hAnsi="Arial"/>
                <w:sz w:val="16"/>
                <w:szCs w:val="16"/>
                <w:b w:val="1"/>
                <w:bCs w:val="1"/>
                <w:color w:val="004483"/>
              </w:rPr>
              <w:t>Rate of Compensation Increase</w:t>
            </w:r>
          </w:p>
        </w:tc>
        <w:tc>
          <w:tcPr>
            <w:tcW w:w="1760" w:type="dxa"/>
            <w:vAlign w:val="bottom"/>
            <w:tcBorders>
              <w:top w:val="single" w:sz="8" w:color="A6A6A6"/>
              <w:bottom w:val="single" w:sz="8" w:color="A3A3A3"/>
            </w:tcBorders>
            <w:gridSpan w:val="2"/>
          </w:tcPr>
          <w:p>
            <w:pPr>
              <w:jc w:val="right"/>
              <w:ind w:right="460"/>
              <w:spacing w:after="0"/>
              <w:rPr>
                <w:sz w:val="20"/>
                <w:szCs w:val="20"/>
                <w:color w:val="auto"/>
              </w:rPr>
            </w:pPr>
            <w:r>
              <w:rPr>
                <w:rFonts w:ascii="Arial" w:cs="Arial" w:eastAsia="Arial" w:hAnsi="Arial"/>
                <w:sz w:val="16"/>
                <w:szCs w:val="16"/>
                <w:color w:val="auto"/>
              </w:rPr>
              <w:t>n/a</w:t>
            </w:r>
          </w:p>
        </w:tc>
        <w:tc>
          <w:tcPr>
            <w:tcW w:w="2000" w:type="dxa"/>
            <w:vAlign w:val="bottom"/>
            <w:tcBorders>
              <w:top w:val="single" w:sz="8" w:color="A6A6A6"/>
              <w:bottom w:val="single" w:sz="8" w:color="A3A3A3"/>
            </w:tcBorders>
          </w:tcPr>
          <w:p>
            <w:pPr>
              <w:jc w:val="right"/>
              <w:ind w:right="767"/>
              <w:spacing w:after="0"/>
              <w:rPr>
                <w:sz w:val="20"/>
                <w:szCs w:val="20"/>
                <w:color w:val="auto"/>
              </w:rPr>
            </w:pPr>
            <w:r>
              <w:rPr>
                <w:rFonts w:ascii="Arial" w:cs="Arial" w:eastAsia="Arial" w:hAnsi="Arial"/>
                <w:sz w:val="16"/>
                <w:szCs w:val="16"/>
                <w:color w:val="auto"/>
              </w:rPr>
              <w:t>n/a</w:t>
            </w:r>
          </w:p>
        </w:tc>
        <w:tc>
          <w:tcPr>
            <w:tcW w:w="1060" w:type="dxa"/>
            <w:vAlign w:val="bottom"/>
            <w:tcBorders>
              <w:top w:val="single" w:sz="8" w:color="A6A6A6"/>
              <w:bottom w:val="single" w:sz="8" w:color="A3A3A3"/>
            </w:tcBorders>
          </w:tcPr>
          <w:p>
            <w:pPr>
              <w:jc w:val="right"/>
              <w:ind w:right="64"/>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r>
      <w:tr>
        <w:trPr>
          <w:trHeight w:val="223"/>
        </w:trPr>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2"/>
        </w:trPr>
        <w:tc>
          <w:tcPr>
            <w:tcW w:w="6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shd w:val="clear" w:color="auto" w:fill="004483"/>
          </w:tcPr>
          <w:p>
            <w:pPr>
              <w:spacing w:after="0"/>
              <w:rPr>
                <w:sz w:val="14"/>
                <w:szCs w:val="14"/>
                <w:color w:val="auto"/>
              </w:rPr>
            </w:pPr>
          </w:p>
        </w:tc>
        <w:tc>
          <w:tcPr>
            <w:tcW w:w="2000" w:type="dxa"/>
            <w:vAlign w:val="bottom"/>
            <w:shd w:val="clear" w:color="auto" w:fill="004483"/>
          </w:tcPr>
          <w:p>
            <w:pPr>
              <w:jc w:val="right"/>
              <w:ind w:right="507"/>
              <w:spacing w:after="0"/>
              <w:rPr>
                <w:sz w:val="20"/>
                <w:szCs w:val="20"/>
                <w:color w:val="auto"/>
              </w:rPr>
            </w:pPr>
            <w:r>
              <w:rPr>
                <w:rFonts w:ascii="Arial" w:cs="Arial" w:eastAsia="Arial" w:hAnsi="Arial"/>
                <w:sz w:val="13"/>
                <w:szCs w:val="13"/>
                <w:b w:val="1"/>
                <w:bCs w:val="1"/>
                <w:color w:val="FFFFFF"/>
              </w:rPr>
              <w:t>March 31,</w:t>
            </w:r>
          </w:p>
        </w:tc>
        <w:tc>
          <w:tcPr>
            <w:tcW w:w="1060" w:type="dxa"/>
            <w:vAlign w:val="bottom"/>
            <w:shd w:val="clear" w:color="auto" w:fill="004483"/>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642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660" w:type="dxa"/>
            <w:vAlign w:val="bottom"/>
            <w:tcBorders>
              <w:bottom w:val="single" w:sz="8" w:color="004483"/>
            </w:tcBorders>
          </w:tcPr>
          <w:p>
            <w:pPr>
              <w:spacing w:after="0"/>
              <w:rPr>
                <w:sz w:val="15"/>
                <w:szCs w:val="15"/>
                <w:color w:val="auto"/>
              </w:rPr>
            </w:pPr>
          </w:p>
        </w:tc>
        <w:tc>
          <w:tcPr>
            <w:tcW w:w="2000" w:type="dxa"/>
            <w:vAlign w:val="bottom"/>
            <w:tcBorders>
              <w:bottom w:val="single" w:sz="8" w:color="004483"/>
            </w:tcBorders>
          </w:tcPr>
          <w:p>
            <w:pPr>
              <w:jc w:val="right"/>
              <w:ind w:right="1047"/>
              <w:spacing w:after="0"/>
              <w:rPr>
                <w:sz w:val="20"/>
                <w:szCs w:val="20"/>
                <w:color w:val="auto"/>
              </w:rPr>
            </w:pPr>
            <w:r>
              <w:rPr>
                <w:rFonts w:ascii="Arial" w:cs="Arial" w:eastAsia="Arial" w:hAnsi="Arial"/>
                <w:sz w:val="13"/>
                <w:szCs w:val="13"/>
                <w:b w:val="1"/>
                <w:bCs w:val="1"/>
                <w:color w:val="auto"/>
              </w:rPr>
              <w:t>2023</w:t>
            </w:r>
          </w:p>
        </w:tc>
        <w:tc>
          <w:tcPr>
            <w:tcW w:w="1060" w:type="dxa"/>
            <w:vAlign w:val="bottom"/>
            <w:tcBorders>
              <w:bottom w:val="single" w:sz="8" w:color="004483"/>
            </w:tcBorders>
          </w:tcPr>
          <w:p>
            <w:pPr>
              <w:jc w:val="right"/>
              <w:ind w:right="84"/>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5"/>
                <w:szCs w:val="15"/>
                <w:color w:val="auto"/>
              </w:rPr>
            </w:pPr>
          </w:p>
        </w:tc>
      </w:tr>
      <w:tr>
        <w:trPr>
          <w:trHeight w:val="216"/>
        </w:trPr>
        <w:tc>
          <w:tcPr>
            <w:tcW w:w="6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Benefit Obligations</w:t>
            </w:r>
          </w:p>
        </w:tc>
        <w:tc>
          <w:tcPr>
            <w:tcW w:w="11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200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420" w:type="dxa"/>
            <w:vAlign w:val="bottom"/>
          </w:tcPr>
          <w:p>
            <w:pPr>
              <w:ind w:left="200"/>
              <w:spacing w:after="0"/>
              <w:rPr>
                <w:sz w:val="20"/>
                <w:szCs w:val="20"/>
                <w:color w:val="auto"/>
              </w:rPr>
            </w:pPr>
            <w:r>
              <w:rPr>
                <w:rFonts w:ascii="Arial" w:cs="Arial" w:eastAsia="Arial" w:hAnsi="Arial"/>
                <w:sz w:val="16"/>
                <w:szCs w:val="16"/>
                <w:b w:val="1"/>
                <w:bCs w:val="1"/>
                <w:color w:val="004483"/>
              </w:rPr>
              <w:t>Discount Rate</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tcPr>
          <w:p>
            <w:pPr>
              <w:jc w:val="right"/>
              <w:ind w:right="867"/>
              <w:spacing w:after="0"/>
              <w:rPr>
                <w:sz w:val="20"/>
                <w:szCs w:val="20"/>
                <w:color w:val="auto"/>
              </w:rPr>
            </w:pPr>
            <w:r>
              <w:rPr>
                <w:rFonts w:ascii="Arial" w:cs="Arial" w:eastAsia="Arial" w:hAnsi="Arial"/>
                <w:sz w:val="16"/>
                <w:szCs w:val="16"/>
                <w:color w:val="auto"/>
              </w:rPr>
              <w:t>4.99 %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3.75 %</w:t>
            </w:r>
          </w:p>
        </w:tc>
      </w:tr>
      <w:tr>
        <w:trPr>
          <w:trHeight w:val="210"/>
        </w:trPr>
        <w:tc>
          <w:tcPr>
            <w:tcW w:w="6420" w:type="dxa"/>
            <w:vAlign w:val="bottom"/>
            <w:tcBorders>
              <w:top w:val="single" w:sz="8" w:color="A6A6A6"/>
              <w:bottom w:val="single" w:sz="8" w:color="A3A3A3"/>
            </w:tcBorders>
          </w:tcPr>
          <w:p>
            <w:pPr>
              <w:ind w:left="200"/>
              <w:spacing w:after="0"/>
              <w:rPr>
                <w:sz w:val="20"/>
                <w:szCs w:val="20"/>
                <w:color w:val="auto"/>
              </w:rPr>
            </w:pPr>
            <w:r>
              <w:rPr>
                <w:rFonts w:ascii="Arial" w:cs="Arial" w:eastAsia="Arial" w:hAnsi="Arial"/>
                <w:sz w:val="16"/>
                <w:szCs w:val="16"/>
                <w:b w:val="1"/>
                <w:bCs w:val="1"/>
                <w:color w:val="004483"/>
              </w:rPr>
              <w:t>Rate of Compensation Increase</w:t>
            </w:r>
          </w:p>
        </w:tc>
        <w:tc>
          <w:tcPr>
            <w:tcW w:w="1100" w:type="dxa"/>
            <w:vAlign w:val="bottom"/>
            <w:tcBorders>
              <w:top w:val="single" w:sz="8" w:color="A6A6A6"/>
              <w:bottom w:val="single" w:sz="8" w:color="A3A3A3"/>
            </w:tcBorders>
          </w:tcPr>
          <w:p>
            <w:pPr>
              <w:spacing w:after="0"/>
              <w:rPr>
                <w:sz w:val="18"/>
                <w:szCs w:val="18"/>
                <w:color w:val="auto"/>
              </w:rPr>
            </w:pPr>
          </w:p>
        </w:tc>
        <w:tc>
          <w:tcPr>
            <w:tcW w:w="660" w:type="dxa"/>
            <w:vAlign w:val="bottom"/>
            <w:tcBorders>
              <w:top w:val="single" w:sz="8" w:color="A6A6A6"/>
              <w:bottom w:val="single" w:sz="8" w:color="A3A3A3"/>
            </w:tcBorders>
          </w:tcPr>
          <w:p>
            <w:pPr>
              <w:spacing w:after="0"/>
              <w:rPr>
                <w:sz w:val="18"/>
                <w:szCs w:val="18"/>
                <w:color w:val="auto"/>
              </w:rPr>
            </w:pPr>
          </w:p>
        </w:tc>
        <w:tc>
          <w:tcPr>
            <w:tcW w:w="2000" w:type="dxa"/>
            <w:vAlign w:val="bottom"/>
            <w:tcBorders>
              <w:top w:val="single" w:sz="8" w:color="A6A6A6"/>
              <w:bottom w:val="single" w:sz="8" w:color="A3A3A3"/>
            </w:tcBorders>
          </w:tcPr>
          <w:p>
            <w:pPr>
              <w:jc w:val="right"/>
              <w:ind w:right="1047"/>
              <w:spacing w:after="0"/>
              <w:rPr>
                <w:sz w:val="20"/>
                <w:szCs w:val="20"/>
                <w:color w:val="auto"/>
              </w:rPr>
            </w:pPr>
            <w:r>
              <w:rPr>
                <w:rFonts w:ascii="Arial" w:cs="Arial" w:eastAsia="Arial" w:hAnsi="Arial"/>
                <w:sz w:val="16"/>
                <w:szCs w:val="16"/>
                <w:color w:val="auto"/>
              </w:rPr>
              <w:t>n/a</w:t>
            </w:r>
          </w:p>
        </w:tc>
        <w:tc>
          <w:tcPr>
            <w:tcW w:w="1060" w:type="dxa"/>
            <w:vAlign w:val="bottom"/>
            <w:tcBorders>
              <w:top w:val="single" w:sz="8" w:color="A6A6A6"/>
              <w:bottom w:val="single" w:sz="8" w:color="A3A3A3"/>
            </w:tcBorders>
          </w:tcPr>
          <w:p>
            <w:pPr>
              <w:jc w:val="right"/>
              <w:ind w:right="84"/>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r>
    </w:tbl>
    <w:p>
      <w:pPr>
        <w:spacing w:after="0" w:line="19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that include: market-based estimates of inflation, real risk-free rates of return, yield curve structure, credit-risk premiums, and equity-risk premiums. Because all of our pension plans were frozen beginning in fiscal 2021, the rate of compensation increase is not applicable. We used these components as appropriate to develop benchmark estimates for the expected long-term management approach that we employ.</w:t>
      </w:r>
    </w:p>
    <w:p>
      <w:pPr>
        <w:spacing w:after="0" w:line="70"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pension plans’ approximate weighted-average asset allocation at March 31, 2023 and 2022, and the range of target allocation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94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Range of</w:t>
            </w:r>
          </w:p>
        </w:tc>
        <w:tc>
          <w:tcPr>
            <w:tcW w:w="2740" w:type="dxa"/>
            <w:vAlign w:val="bottom"/>
            <w:gridSpan w:val="4"/>
            <w:shd w:val="clear" w:color="auto" w:fill="004483"/>
          </w:tcPr>
          <w:p>
            <w:pPr>
              <w:ind w:left="360"/>
              <w:spacing w:after="0"/>
              <w:rPr>
                <w:sz w:val="20"/>
                <w:szCs w:val="20"/>
                <w:color w:val="auto"/>
              </w:rPr>
            </w:pPr>
            <w:r>
              <w:rPr>
                <w:rFonts w:ascii="Arial" w:cs="Arial" w:eastAsia="Arial" w:hAnsi="Arial"/>
                <w:sz w:val="13"/>
                <w:szCs w:val="13"/>
                <w:b w:val="1"/>
                <w:bCs w:val="1"/>
                <w:color w:val="FFFFFF"/>
                <w:w w:val="97"/>
              </w:rPr>
              <w:t>Percentage of Plan Assets at March 31,</w:t>
            </w:r>
          </w:p>
        </w:tc>
        <w:tc>
          <w:tcPr>
            <w:tcW w:w="480" w:type="dxa"/>
            <w:vAlign w:val="bottom"/>
            <w:shd w:val="clear" w:color="auto" w:fill="00448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3940" w:type="dxa"/>
            <w:vAlign w:val="bottom"/>
            <w:gridSpan w:val="3"/>
            <w:vMerge w:val="continue"/>
          </w:tcPr>
          <w:p>
            <w:pPr>
              <w:spacing w:after="0"/>
              <w:rPr>
                <w:sz w:val="11"/>
                <w:szCs w:val="11"/>
                <w:color w:val="auto"/>
              </w:rPr>
            </w:pPr>
          </w:p>
        </w:tc>
        <w:tc>
          <w:tcPr>
            <w:tcW w:w="1460" w:type="dxa"/>
            <w:vAlign w:val="bottom"/>
            <w:vMerge w:val="restart"/>
          </w:tcPr>
          <w:p>
            <w:pPr>
              <w:jc w:val="right"/>
              <w:ind w:right="85"/>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004483"/>
            </w:tcBorders>
          </w:tcPr>
          <w:p>
            <w:pPr>
              <w:spacing w:after="0"/>
              <w:rPr>
                <w:sz w:val="16"/>
                <w:szCs w:val="16"/>
                <w:color w:val="auto"/>
              </w:rPr>
            </w:pPr>
          </w:p>
        </w:tc>
        <w:tc>
          <w:tcPr>
            <w:tcW w:w="3940" w:type="dxa"/>
            <w:vAlign w:val="bottom"/>
            <w:tcBorders>
              <w:bottom w:val="single" w:sz="8" w:color="004483"/>
            </w:tcBorders>
            <w:gridSpan w:val="3"/>
          </w:tcPr>
          <w:p>
            <w:pPr>
              <w:jc w:val="right"/>
              <w:ind w:right="180"/>
              <w:spacing w:after="0"/>
              <w:rPr>
                <w:sz w:val="20"/>
                <w:szCs w:val="20"/>
                <w:color w:val="auto"/>
              </w:rPr>
            </w:pPr>
            <w:r>
              <w:rPr>
                <w:rFonts w:ascii="Arial" w:cs="Arial" w:eastAsia="Arial" w:hAnsi="Arial"/>
                <w:sz w:val="13"/>
                <w:szCs w:val="13"/>
                <w:b w:val="1"/>
                <w:bCs w:val="1"/>
                <w:color w:val="auto"/>
              </w:rPr>
              <w:t>Target Allocation</w:t>
            </w:r>
          </w:p>
        </w:tc>
        <w:tc>
          <w:tcPr>
            <w:tcW w:w="1460" w:type="dxa"/>
            <w:vAlign w:val="bottom"/>
            <w:tcBorders>
              <w:bottom w:val="single" w:sz="8" w:color="004483"/>
            </w:tcBorders>
            <w:vMerge w:val="continue"/>
          </w:tcPr>
          <w:p>
            <w:pPr>
              <w:spacing w:after="0"/>
              <w:rPr>
                <w:sz w:val="16"/>
                <w:szCs w:val="16"/>
                <w:color w:val="auto"/>
              </w:rPr>
            </w:pPr>
          </w:p>
        </w:tc>
        <w:tc>
          <w:tcPr>
            <w:tcW w:w="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120" w:type="dxa"/>
            <w:vAlign w:val="bottom"/>
            <w:tcBorders>
              <w:bottom w:val="single" w:sz="8" w:color="004483"/>
            </w:tcBorders>
          </w:tcPr>
          <w:p>
            <w:pPr>
              <w:spacing w:after="0"/>
              <w:rPr>
                <w:sz w:val="16"/>
                <w:szCs w:val="16"/>
                <w:color w:val="auto"/>
              </w:rPr>
            </w:pPr>
          </w:p>
        </w:tc>
        <w:tc>
          <w:tcPr>
            <w:tcW w:w="480" w:type="dxa"/>
            <w:vAlign w:val="bottom"/>
            <w:tcBorders>
              <w:bottom w:val="single" w:sz="8" w:color="004483"/>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Asset Category</w:t>
            </w:r>
          </w:p>
        </w:tc>
        <w:tc>
          <w:tcPr>
            <w:tcW w:w="328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46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3280" w:type="dxa"/>
            <w:vAlign w:val="bottom"/>
          </w:tcPr>
          <w:p>
            <w:pPr>
              <w:jc w:val="right"/>
              <w:spacing w:after="0"/>
              <w:rPr>
                <w:sz w:val="20"/>
                <w:szCs w:val="20"/>
                <w:color w:val="auto"/>
              </w:rPr>
            </w:pPr>
            <w:r>
              <w:rPr>
                <w:rFonts w:ascii="Arial" w:cs="Arial" w:eastAsia="Arial" w:hAnsi="Arial"/>
                <w:sz w:val="16"/>
                <w:szCs w:val="16"/>
                <w:color w:val="auto"/>
              </w:rPr>
              <w:t>10</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 20%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4080" w:type="dxa"/>
            <w:vAlign w:val="bottom"/>
            <w:shd w:val="clear" w:color="auto" w:fill="A6A6A6"/>
          </w:tcPr>
          <w:p>
            <w:pPr>
              <w:spacing w:after="0" w:line="20" w:lineRule="exact"/>
              <w:rPr>
                <w:sz w:val="1"/>
                <w:szCs w:val="1"/>
                <w:color w:val="auto"/>
              </w:rPr>
            </w:pPr>
          </w:p>
        </w:tc>
        <w:tc>
          <w:tcPr>
            <w:tcW w:w="328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b w:val="1"/>
                <w:bCs w:val="1"/>
                <w:color w:val="004483"/>
              </w:rPr>
              <w:t>Debt Securities</w:t>
            </w:r>
          </w:p>
        </w:tc>
        <w:tc>
          <w:tcPr>
            <w:tcW w:w="3280" w:type="dxa"/>
            <w:vAlign w:val="bottom"/>
          </w:tcPr>
          <w:p>
            <w:pPr>
              <w:jc w:val="right"/>
              <w:spacing w:after="0"/>
              <w:rPr>
                <w:sz w:val="20"/>
                <w:szCs w:val="20"/>
                <w:color w:val="auto"/>
              </w:rPr>
            </w:pPr>
            <w:r>
              <w:rPr>
                <w:rFonts w:ascii="Arial" w:cs="Arial" w:eastAsia="Arial" w:hAnsi="Arial"/>
                <w:sz w:val="16"/>
                <w:szCs w:val="16"/>
                <w:color w:val="auto"/>
              </w:rPr>
              <w:t>60</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 90%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
        </w:trPr>
        <w:tc>
          <w:tcPr>
            <w:tcW w:w="4080" w:type="dxa"/>
            <w:vAlign w:val="bottom"/>
            <w:shd w:val="clear" w:color="auto" w:fill="A6A6A6"/>
          </w:tcPr>
          <w:p>
            <w:pPr>
              <w:spacing w:after="0" w:line="20" w:lineRule="exact"/>
              <w:rPr>
                <w:sz w:val="1"/>
                <w:szCs w:val="1"/>
                <w:color w:val="auto"/>
              </w:rPr>
            </w:pPr>
          </w:p>
        </w:tc>
        <w:tc>
          <w:tcPr>
            <w:tcW w:w="328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b w:val="1"/>
                <w:bCs w:val="1"/>
                <w:color w:val="004483"/>
              </w:rPr>
              <w:t>Other</w:t>
            </w:r>
          </w:p>
        </w:tc>
        <w:tc>
          <w:tcPr>
            <w:tcW w:w="3280" w:type="dxa"/>
            <w:vAlign w:val="bottom"/>
          </w:tcPr>
          <w:p>
            <w:pPr>
              <w:jc w:val="right"/>
              <w:spacing w:after="0"/>
              <w:rPr>
                <w:sz w:val="20"/>
                <w:szCs w:val="20"/>
                <w:color w:val="auto"/>
              </w:rPr>
            </w:pPr>
            <w:r>
              <w:rPr>
                <w:rFonts w:ascii="Arial" w:cs="Arial" w:eastAsia="Arial" w:hAnsi="Arial"/>
                <w:sz w:val="16"/>
                <w:szCs w:val="16"/>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 20%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9"/>
        </w:trPr>
        <w:tc>
          <w:tcPr>
            <w:tcW w:w="4080" w:type="dxa"/>
            <w:vAlign w:val="bottom"/>
            <w:tcBorders>
              <w:top w:val="single" w:sz="8" w:color="A6A6A6"/>
            </w:tcBorders>
          </w:tcPr>
          <w:p>
            <w:pPr>
              <w:ind w:left="200"/>
              <w:spacing w:after="0"/>
              <w:rPr>
                <w:sz w:val="20"/>
                <w:szCs w:val="20"/>
                <w:color w:val="auto"/>
              </w:rPr>
            </w:pPr>
            <w:r>
              <w:rPr>
                <w:rFonts w:ascii="Arial" w:cs="Arial" w:eastAsia="Arial" w:hAnsi="Arial"/>
                <w:sz w:val="16"/>
                <w:szCs w:val="16"/>
                <w:b w:val="1"/>
                <w:bCs w:val="1"/>
                <w:color w:val="auto"/>
              </w:rPr>
              <w:t>Total</w:t>
            </w:r>
          </w:p>
        </w:tc>
        <w:tc>
          <w:tcPr>
            <w:tcW w:w="3280" w:type="dxa"/>
            <w:vAlign w:val="bottom"/>
            <w:tcBorders>
              <w:top w:val="single" w:sz="8" w:color="A6A6A6"/>
            </w:tcBorders>
          </w:tcPr>
          <w:p>
            <w:pPr>
              <w:spacing w:after="0"/>
              <w:rPr>
                <w:sz w:val="18"/>
                <w:szCs w:val="18"/>
                <w:color w:val="auto"/>
              </w:rPr>
            </w:pPr>
          </w:p>
        </w:tc>
        <w:tc>
          <w:tcPr>
            <w:tcW w:w="500" w:type="dxa"/>
            <w:vAlign w:val="bottom"/>
            <w:tcBorders>
              <w:top w:val="single" w:sz="8" w:color="A6A6A6"/>
            </w:tcBorders>
          </w:tcPr>
          <w:p>
            <w:pPr>
              <w:spacing w:after="0"/>
              <w:rPr>
                <w:sz w:val="18"/>
                <w:szCs w:val="18"/>
                <w:color w:val="auto"/>
              </w:rPr>
            </w:pPr>
          </w:p>
        </w:tc>
        <w:tc>
          <w:tcPr>
            <w:tcW w:w="160" w:type="dxa"/>
            <w:vAlign w:val="bottom"/>
            <w:tcBorders>
              <w:top w:val="single" w:sz="8" w:color="A3A3A3"/>
            </w:tcBorders>
          </w:tcPr>
          <w:p>
            <w:pPr>
              <w:spacing w:after="0"/>
              <w:rPr>
                <w:sz w:val="18"/>
                <w:szCs w:val="18"/>
                <w:color w:val="auto"/>
              </w:rPr>
            </w:pPr>
          </w:p>
        </w:tc>
        <w:tc>
          <w:tcPr>
            <w:tcW w:w="14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100 %</w:t>
            </w:r>
          </w:p>
        </w:tc>
        <w:tc>
          <w:tcPr>
            <w:tcW w:w="20" w:type="dxa"/>
            <w:vAlign w:val="bottom"/>
            <w:tcBorders>
              <w:top w:val="single" w:sz="8" w:color="A3A3A3"/>
              <w:bottom w:val="single" w:sz="8" w:color="004483"/>
            </w:tcBorders>
          </w:tcPr>
          <w:p>
            <w:pPr>
              <w:spacing w:after="0"/>
              <w:rPr>
                <w:sz w:val="18"/>
                <w:szCs w:val="18"/>
                <w:color w:val="auto"/>
              </w:rPr>
            </w:pPr>
          </w:p>
        </w:tc>
        <w:tc>
          <w:tcPr>
            <w:tcW w:w="140" w:type="dxa"/>
            <w:vAlign w:val="bottom"/>
            <w:tcBorders>
              <w:top w:val="single" w:sz="8" w:color="A3A3A3"/>
            </w:tcBorders>
          </w:tcPr>
          <w:p>
            <w:pPr>
              <w:spacing w:after="0"/>
              <w:rPr>
                <w:sz w:val="18"/>
                <w:szCs w:val="18"/>
                <w:color w:val="auto"/>
              </w:rPr>
            </w:pPr>
          </w:p>
        </w:tc>
        <w:tc>
          <w:tcPr>
            <w:tcW w:w="1120" w:type="dxa"/>
            <w:vAlign w:val="bottom"/>
            <w:tcBorders>
              <w:top w:val="single" w:sz="8" w:color="004483"/>
              <w:bottom w:val="single" w:sz="8" w:color="004483"/>
            </w:tcBorders>
          </w:tcPr>
          <w:p>
            <w:pPr>
              <w:spacing w:after="0"/>
              <w:rPr>
                <w:sz w:val="18"/>
                <w:szCs w:val="18"/>
                <w:color w:val="auto"/>
              </w:rPr>
            </w:pPr>
          </w:p>
        </w:tc>
        <w:tc>
          <w:tcPr>
            <w:tcW w:w="4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7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 generating returns, net of management fees, that exceed market-based benchmarks. None of the plans hold any Company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actuarial estimates, we do not anticipate making any contributions to our defined benefit plans for fiscal 2024.</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fair values of our defined benefit plans’ consolidated assets by category as of March 31, 2023 and 2022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shd w:val="clear" w:color="auto" w:fill="004483"/>
          </w:tcPr>
          <w:p>
            <w:pPr>
              <w:spacing w:after="0"/>
              <w:rPr>
                <w:sz w:val="14"/>
                <w:szCs w:val="14"/>
                <w:color w:val="auto"/>
              </w:rPr>
            </w:pPr>
          </w:p>
        </w:tc>
        <w:tc>
          <w:tcPr>
            <w:tcW w:w="2100" w:type="dxa"/>
            <w:vAlign w:val="bottom"/>
            <w:gridSpan w:val="3"/>
            <w:shd w:val="clear" w:color="auto" w:fill="004483"/>
          </w:tcPr>
          <w:p>
            <w:pPr>
              <w:jc w:val="right"/>
              <w:ind w:right="559"/>
              <w:spacing w:after="0"/>
              <w:rPr>
                <w:sz w:val="20"/>
                <w:szCs w:val="20"/>
                <w:color w:val="auto"/>
              </w:rPr>
            </w:pPr>
            <w:r>
              <w:rPr>
                <w:rFonts w:ascii="Arial" w:cs="Arial" w:eastAsia="Arial" w:hAnsi="Arial"/>
                <w:sz w:val="13"/>
                <w:szCs w:val="13"/>
                <w:b w:val="1"/>
                <w:bCs w:val="1"/>
                <w:color w:val="FFFFFF"/>
              </w:rPr>
              <w:t>March 31,</w:t>
            </w:r>
          </w:p>
        </w:tc>
        <w:tc>
          <w:tcPr>
            <w:tcW w:w="960" w:type="dxa"/>
            <w:vAlign w:val="bottom"/>
            <w:shd w:val="clear" w:color="auto" w:fill="004483"/>
          </w:tcPr>
          <w:p>
            <w:pPr>
              <w:spacing w:after="0"/>
              <w:rPr>
                <w:sz w:val="14"/>
                <w:szCs w:val="14"/>
                <w:color w:val="auto"/>
              </w:rPr>
            </w:pPr>
          </w:p>
        </w:tc>
      </w:tr>
      <w:tr>
        <w:trPr>
          <w:trHeight w:val="162"/>
        </w:trPr>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82"/>
              <w:spacing w:after="0"/>
              <w:rPr>
                <w:sz w:val="20"/>
                <w:szCs w:val="20"/>
                <w:color w:val="auto"/>
              </w:rPr>
            </w:pPr>
            <w:r>
              <w:rPr>
                <w:rFonts w:ascii="Arial" w:cs="Arial" w:eastAsia="Arial" w:hAnsi="Arial"/>
                <w:sz w:val="13"/>
                <w:szCs w:val="13"/>
                <w:b w:val="1"/>
                <w:bCs w:val="1"/>
                <w:color w:val="auto"/>
              </w:rPr>
              <w:t>2022</w:t>
            </w:r>
          </w:p>
        </w:tc>
      </w:tr>
      <w:tr>
        <w:trPr>
          <w:trHeight w:val="183"/>
        </w:trPr>
        <w:tc>
          <w:tcPr>
            <w:tcW w:w="738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100" w:type="dxa"/>
            <w:vAlign w:val="bottom"/>
            <w:tcBorders>
              <w:bottom w:val="single" w:sz="8" w:color="004483"/>
            </w:tcBorders>
            <w:gridSpan w:val="3"/>
          </w:tcPr>
          <w:p>
            <w:pPr>
              <w:jc w:val="right"/>
              <w:ind w:right="259"/>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004483"/>
            </w:tcBorders>
          </w:tcPr>
          <w:p>
            <w:pPr>
              <w:spacing w:after="0"/>
              <w:rPr>
                <w:sz w:val="15"/>
                <w:szCs w:val="15"/>
                <w:color w:val="auto"/>
              </w:rPr>
            </w:pPr>
          </w:p>
        </w:tc>
      </w:tr>
      <w:tr>
        <w:trPr>
          <w:trHeight w:val="216"/>
        </w:trPr>
        <w:tc>
          <w:tcPr>
            <w:tcW w:w="76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2,878</w:t>
            </w:r>
          </w:p>
        </w:tc>
        <w:tc>
          <w:tcPr>
            <w:tcW w:w="980" w:type="dxa"/>
            <w:vAlign w:val="bottom"/>
            <w:tcBorders>
              <w:bottom w:val="single" w:sz="8" w:color="A6A6A6"/>
            </w:tcBorders>
            <w:gridSpan w:val="2"/>
          </w:tcPr>
          <w:p>
            <w:pPr>
              <w:jc w:val="right"/>
              <w:ind w:right="5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3,433</w:t>
            </w:r>
          </w:p>
        </w:tc>
      </w:tr>
      <w:tr>
        <w:trPr>
          <w:trHeight w:val="210"/>
        </w:trPr>
        <w:tc>
          <w:tcPr>
            <w:tcW w:w="76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004483"/>
              </w:rPr>
              <w:t>Fixed Income Securities</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27,811</w:t>
            </w:r>
          </w:p>
        </w:tc>
        <w:tc>
          <w:tcPr>
            <w:tcW w:w="2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32,583</w:t>
            </w:r>
          </w:p>
        </w:tc>
      </w:tr>
      <w:tr>
        <w:trPr>
          <w:trHeight w:val="209"/>
        </w:trPr>
        <w:tc>
          <w:tcPr>
            <w:tcW w:w="76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004483"/>
              </w:rPr>
              <w:t>Real Estate Funds</w:t>
            </w:r>
          </w:p>
        </w:tc>
        <w:tc>
          <w:tcPr>
            <w:tcW w:w="58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ind w:right="82"/>
              <w:spacing w:after="0"/>
              <w:rPr>
                <w:sz w:val="20"/>
                <w:szCs w:val="20"/>
                <w:color w:val="auto"/>
              </w:rPr>
            </w:pPr>
            <w:r>
              <w:rPr>
                <w:rFonts w:ascii="Arial" w:cs="Arial" w:eastAsia="Arial" w:hAnsi="Arial"/>
                <w:sz w:val="16"/>
                <w:szCs w:val="16"/>
                <w:color w:val="auto"/>
              </w:rPr>
              <w:t>115</w:t>
            </w:r>
          </w:p>
        </w:tc>
      </w:tr>
      <w:tr>
        <w:trPr>
          <w:trHeight w:val="237"/>
        </w:trPr>
        <w:tc>
          <w:tcPr>
            <w:tcW w:w="7600" w:type="dxa"/>
            <w:vAlign w:val="bottom"/>
            <w:gridSpan w:val="2"/>
          </w:tcPr>
          <w:p>
            <w:pPr>
              <w:ind w:left="20"/>
              <w:spacing w:after="0"/>
              <w:rPr>
                <w:sz w:val="20"/>
                <w:szCs w:val="20"/>
                <w:color w:val="auto"/>
              </w:rPr>
            </w:pPr>
            <w:r>
              <w:rPr>
                <w:rFonts w:ascii="Arial" w:cs="Arial" w:eastAsia="Arial" w:hAnsi="Arial"/>
                <w:sz w:val="16"/>
                <w:szCs w:val="16"/>
                <w:b w:val="1"/>
                <w:bCs w:val="1"/>
                <w:color w:val="004483"/>
              </w:rPr>
              <w:t>Cash Equivalents</w:t>
            </w:r>
          </w:p>
        </w:tc>
        <w:tc>
          <w:tcPr>
            <w:tcW w:w="58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color w:val="auto"/>
              </w:rPr>
              <w:t>417</w:t>
            </w:r>
          </w:p>
        </w:tc>
        <w:tc>
          <w:tcPr>
            <w:tcW w:w="220" w:type="dxa"/>
            <w:vAlign w:val="bottom"/>
          </w:tcPr>
          <w:p>
            <w:pPr>
              <w:spacing w:after="0"/>
              <w:rPr>
                <w:sz w:val="20"/>
                <w:szCs w:val="20"/>
                <w:color w:val="auto"/>
              </w:rPr>
            </w:pPr>
          </w:p>
        </w:tc>
        <w:tc>
          <w:tcPr>
            <w:tcW w:w="7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ind w:right="82"/>
              <w:spacing w:after="0"/>
              <w:rPr>
                <w:sz w:val="20"/>
                <w:szCs w:val="20"/>
                <w:color w:val="auto"/>
              </w:rPr>
            </w:pPr>
            <w:r>
              <w:rPr>
                <w:rFonts w:ascii="Arial" w:cs="Arial" w:eastAsia="Arial" w:hAnsi="Arial"/>
                <w:sz w:val="16"/>
                <w:szCs w:val="16"/>
                <w:color w:val="auto"/>
              </w:rPr>
              <w:t>182</w:t>
            </w:r>
          </w:p>
        </w:tc>
      </w:tr>
      <w:tr>
        <w:trPr>
          <w:trHeight w:val="209"/>
        </w:trPr>
        <w:tc>
          <w:tcPr>
            <w:tcW w:w="7380" w:type="dxa"/>
            <w:vAlign w:val="bottom"/>
            <w:tcBorders>
              <w:top w:val="single" w:sz="8" w:color="A6A6A6"/>
            </w:tcBorders>
          </w:tcPr>
          <w:p>
            <w:pPr>
              <w:ind w:left="20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3A3A3"/>
            </w:tcBorders>
          </w:tcPr>
          <w:p>
            <w:pPr>
              <w:spacing w:after="0"/>
              <w:rPr>
                <w:sz w:val="18"/>
                <w:szCs w:val="18"/>
                <w:color w:val="auto"/>
              </w:rPr>
            </w:pPr>
          </w:p>
        </w:tc>
        <w:tc>
          <w:tcPr>
            <w:tcW w:w="580" w:type="dxa"/>
            <w:vAlign w:val="bottom"/>
            <w:tcBorders>
              <w:top w:val="single" w:sz="8" w:color="004483"/>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004483"/>
              <w:bottom w:val="single" w:sz="8" w:color="004483"/>
            </w:tcBorders>
          </w:tcPr>
          <w:p>
            <w:pPr>
              <w:jc w:val="right"/>
              <w:ind w:right="66"/>
              <w:spacing w:after="0"/>
              <w:rPr>
                <w:sz w:val="20"/>
                <w:szCs w:val="20"/>
                <w:color w:val="auto"/>
              </w:rPr>
            </w:pPr>
            <w:r>
              <w:rPr>
                <w:rFonts w:ascii="Arial" w:cs="Arial" w:eastAsia="Arial" w:hAnsi="Arial"/>
                <w:sz w:val="16"/>
                <w:szCs w:val="16"/>
                <w:b w:val="1"/>
                <w:bCs w:val="1"/>
                <w:color w:val="auto"/>
              </w:rPr>
              <w:t>31,106</w:t>
            </w:r>
          </w:p>
        </w:tc>
        <w:tc>
          <w:tcPr>
            <w:tcW w:w="220" w:type="dxa"/>
            <w:vAlign w:val="bottom"/>
            <w:tcBorders>
              <w:top w:val="single" w:sz="8" w:color="A3A3A3"/>
            </w:tcBorders>
          </w:tcPr>
          <w:p>
            <w:pPr>
              <w:spacing w:after="0"/>
              <w:rPr>
                <w:sz w:val="18"/>
                <w:szCs w:val="18"/>
                <w:color w:val="auto"/>
              </w:rPr>
            </w:pPr>
          </w:p>
        </w:tc>
        <w:tc>
          <w:tcPr>
            <w:tcW w:w="760" w:type="dxa"/>
            <w:vAlign w:val="bottom"/>
            <w:tcBorders>
              <w:top w:val="single" w:sz="8" w:color="004483"/>
              <w:bottom w:val="single" w:sz="8" w:color="004483"/>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004483"/>
              <w:bottom w:val="single" w:sz="8" w:color="004483"/>
            </w:tcBorders>
          </w:tcPr>
          <w:p>
            <w:pPr>
              <w:jc w:val="right"/>
              <w:ind w:right="82"/>
              <w:spacing w:after="0"/>
              <w:rPr>
                <w:sz w:val="20"/>
                <w:szCs w:val="20"/>
                <w:color w:val="auto"/>
              </w:rPr>
            </w:pPr>
            <w:r>
              <w:rPr>
                <w:rFonts w:ascii="Arial" w:cs="Arial" w:eastAsia="Arial" w:hAnsi="Arial"/>
                <w:sz w:val="16"/>
                <w:szCs w:val="16"/>
                <w:b w:val="1"/>
                <w:bCs w:val="1"/>
                <w:color w:val="auto"/>
              </w:rPr>
              <w:t>36,313</w:t>
            </w:r>
          </w:p>
        </w:tc>
      </w:tr>
      <w:tr>
        <w:trPr>
          <w:trHeight w:val="20"/>
        </w:trPr>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9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The fair values of our defined benefit plans’ consolidated assets were determined using the fair value hierarchy of inputs described in Footnote (A) to the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2023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68"/>
              <w:spacing w:after="0"/>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95"/>
              </w:rPr>
              <w:t>Significant Other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auto"/>
              </w:rPr>
              <w:t>Significant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Active Markets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for Identical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68"/>
              <w:spacing w:after="0" w:line="135" w:lineRule="exact"/>
              <w:rPr>
                <w:sz w:val="20"/>
                <w:szCs w:val="20"/>
                <w:color w:val="auto"/>
              </w:rPr>
            </w:pPr>
            <w:r>
              <w:rPr>
                <w:rFonts w:ascii="Arial" w:cs="Arial" w:eastAsia="Arial" w:hAnsi="Arial"/>
                <w:sz w:val="13"/>
                <w:szCs w:val="13"/>
                <w:b w:val="1"/>
                <w:bCs w:val="1"/>
                <w:color w:val="auto"/>
              </w:rPr>
              <w:t>Observable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67"/>
              <w:spacing w:after="0" w:line="135" w:lineRule="exact"/>
              <w:rPr>
                <w:sz w:val="20"/>
                <w:szCs w:val="20"/>
                <w:color w:val="auto"/>
              </w:rPr>
            </w:pPr>
            <w:r>
              <w:rPr>
                <w:rFonts w:ascii="Arial" w:cs="Arial" w:eastAsia="Arial" w:hAnsi="Arial"/>
                <w:sz w:val="13"/>
                <w:szCs w:val="13"/>
                <w:b w:val="1"/>
                <w:bCs w:val="1"/>
                <w:color w:val="auto"/>
              </w:rPr>
              <w:t>Unobservable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vMerge w:val="restart"/>
          </w:tcPr>
          <w:p>
            <w:pPr>
              <w:jc w:val="right"/>
              <w:ind w:right="6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Categories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3"/>
                <w:szCs w:val="13"/>
                <w:b w:val="1"/>
                <w:bCs w:val="1"/>
                <w:color w:val="auto"/>
              </w:rPr>
              <w:t>Assets (Level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3"/>
                <w:szCs w:val="13"/>
                <w:b w:val="1"/>
                <w:bCs w:val="1"/>
                <w:color w:val="auto"/>
              </w:rPr>
              <w:t>Inputs (Level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Arial" w:cs="Arial" w:eastAsia="Arial" w:hAnsi="Arial"/>
                <w:sz w:val="13"/>
                <w:szCs w:val="13"/>
                <w:b w:val="1"/>
                <w:bCs w:val="1"/>
                <w:color w:val="auto"/>
              </w:rPr>
              <w:t>Inputs (Level 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004483"/>
            </w:tcBorders>
            <w:vMerge w:val="continue"/>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600" w:type="dxa"/>
            <w:vAlign w:val="bottom"/>
            <w:tcBorders>
              <w:bottom w:val="single" w:sz="8" w:color="004483"/>
            </w:tcBorders>
            <w:gridSpan w:val="4"/>
          </w:tcPr>
          <w:p>
            <w:pPr>
              <w:jc w:val="right"/>
              <w:ind w:right="747"/>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8"/>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8"/>
              <w:spacing w:after="0"/>
              <w:rPr>
                <w:sz w:val="20"/>
                <w:szCs w:val="20"/>
                <w:color w:val="auto"/>
              </w:rPr>
            </w:pPr>
            <w:r>
              <w:rPr>
                <w:rFonts w:ascii="Arial" w:cs="Arial" w:eastAsia="Arial" w:hAnsi="Arial"/>
                <w:sz w:val="16"/>
                <w:szCs w:val="16"/>
                <w:color w:val="auto"/>
              </w:rPr>
              <w:t>2,878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7"/>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09"/>
        </w:trPr>
        <w:tc>
          <w:tcPr>
            <w:tcW w:w="54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Fixed Income Securities</w:t>
            </w:r>
          </w:p>
        </w:tc>
        <w:tc>
          <w:tcPr>
            <w:tcW w:w="180" w:type="dxa"/>
            <w:vAlign w:val="bottom"/>
            <w:tcBorders>
              <w:top w:val="single" w:sz="8" w:color="A3A3A3"/>
              <w:bottom w:val="single" w:sz="8" w:color="A3A3A3"/>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ind w:right="68"/>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3A3A3"/>
              <w:bottom w:val="single" w:sz="8" w:color="A3A3A3"/>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ind w:right="68"/>
              <w:spacing w:after="0"/>
              <w:rPr>
                <w:sz w:val="20"/>
                <w:szCs w:val="20"/>
                <w:color w:val="auto"/>
              </w:rPr>
            </w:pPr>
            <w:r>
              <w:rPr>
                <w:rFonts w:ascii="Arial" w:cs="Arial" w:eastAsia="Arial" w:hAnsi="Arial"/>
                <w:sz w:val="16"/>
                <w:szCs w:val="16"/>
                <w:color w:val="auto"/>
              </w:rPr>
              <w:t>27,811</w:t>
            </w:r>
          </w:p>
        </w:tc>
        <w:tc>
          <w:tcPr>
            <w:tcW w:w="160" w:type="dxa"/>
            <w:vAlign w:val="bottom"/>
            <w:tcBorders>
              <w:top w:val="single" w:sz="8" w:color="A3A3A3"/>
              <w:bottom w:val="single" w:sz="8" w:color="A3A3A3"/>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ind w:right="67"/>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3A3A3"/>
              <w:bottom w:val="single" w:sz="8" w:color="A3A3A3"/>
            </w:tcBorders>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A6A6A6"/>
              <w:bottom w:val="single" w:sz="8" w:color="A6A6A6"/>
            </w:tcBorders>
          </w:tcPr>
          <w:p>
            <w:pPr>
              <w:jc w:val="right"/>
              <w:ind w:right="63"/>
              <w:spacing w:after="0"/>
              <w:rPr>
                <w:sz w:val="20"/>
                <w:szCs w:val="20"/>
                <w:color w:val="auto"/>
              </w:rPr>
            </w:pPr>
            <w:r>
              <w:rPr>
                <w:rFonts w:ascii="Arial" w:cs="Arial" w:eastAsia="Arial" w:hAnsi="Arial"/>
                <w:sz w:val="16"/>
                <w:szCs w:val="16"/>
                <w:color w:val="auto"/>
              </w:rPr>
              <w:t>27,811</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Cash Equivalents</w:t>
            </w:r>
          </w:p>
        </w:tc>
        <w:tc>
          <w:tcPr>
            <w:tcW w:w="180" w:type="dxa"/>
            <w:vAlign w:val="bottom"/>
            <w:tcBorders>
              <w:bottom w:val="single" w:sz="8" w:color="A3A3A3"/>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68"/>
              <w:spacing w:after="0"/>
              <w:rPr>
                <w:sz w:val="20"/>
                <w:szCs w:val="20"/>
                <w:color w:val="auto"/>
              </w:rPr>
            </w:pPr>
            <w:r>
              <w:rPr>
                <w:rFonts w:ascii="Arial" w:cs="Arial" w:eastAsia="Arial" w:hAnsi="Arial"/>
                <w:sz w:val="16"/>
                <w:szCs w:val="16"/>
                <w:color w:val="auto"/>
              </w:rPr>
              <w:t>417</w:t>
            </w:r>
          </w:p>
        </w:tc>
        <w:tc>
          <w:tcPr>
            <w:tcW w:w="160" w:type="dxa"/>
            <w:vAlign w:val="bottom"/>
            <w:tcBorders>
              <w:bottom w:val="single" w:sz="8" w:color="A3A3A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ind w:right="68"/>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3A3A3"/>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3A3A3"/>
            </w:tcBorders>
          </w:tcPr>
          <w:p>
            <w:pPr>
              <w:spacing w:after="0"/>
              <w:rPr>
                <w:sz w:val="20"/>
                <w:szCs w:val="20"/>
                <w:color w:val="auto"/>
              </w:rPr>
            </w:pPr>
          </w:p>
        </w:tc>
        <w:tc>
          <w:tcPr>
            <w:tcW w:w="36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tcPr>
          <w:p>
            <w:pPr>
              <w:jc w:val="right"/>
              <w:ind w:right="68"/>
              <w:spacing w:after="0"/>
              <w:rPr>
                <w:sz w:val="20"/>
                <w:szCs w:val="20"/>
                <w:color w:val="auto"/>
              </w:rPr>
            </w:pPr>
            <w:r>
              <w:rPr>
                <w:rFonts w:ascii="Arial" w:cs="Arial" w:eastAsia="Arial" w:hAnsi="Arial"/>
                <w:sz w:val="16"/>
                <w:szCs w:val="16"/>
                <w:b w:val="1"/>
                <w:bCs w:val="1"/>
                <w:color w:val="auto"/>
              </w:rPr>
              <w:t>417</w:t>
            </w:r>
          </w:p>
        </w:tc>
        <w:tc>
          <w:tcPr>
            <w:tcW w:w="16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ind w:right="68"/>
              <w:spacing w:after="0"/>
              <w:rPr>
                <w:sz w:val="20"/>
                <w:szCs w:val="20"/>
                <w:color w:val="auto"/>
              </w:rPr>
            </w:pPr>
            <w:r>
              <w:rPr>
                <w:rFonts w:ascii="Arial" w:cs="Arial" w:eastAsia="Arial" w:hAnsi="Arial"/>
                <w:sz w:val="16"/>
                <w:szCs w:val="16"/>
                <w:b w:val="1"/>
                <w:bCs w:val="1"/>
                <w:color w:val="auto"/>
              </w:rPr>
              <w:t>30,689</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360" w:type="dxa"/>
            <w:vAlign w:val="bottom"/>
            <w:tcBorders>
              <w:bottom w:val="single" w:sz="8" w:color="004483"/>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004483"/>
            </w:tcBorders>
          </w:tcPr>
          <w:p>
            <w:pPr>
              <w:jc w:val="right"/>
              <w:ind w:right="63"/>
              <w:spacing w:after="0"/>
              <w:rPr>
                <w:sz w:val="20"/>
                <w:szCs w:val="20"/>
                <w:color w:val="auto"/>
              </w:rPr>
            </w:pPr>
            <w:r>
              <w:rPr>
                <w:rFonts w:ascii="Arial" w:cs="Arial" w:eastAsia="Arial" w:hAnsi="Arial"/>
                <w:sz w:val="16"/>
                <w:szCs w:val="16"/>
                <w:b w:val="1"/>
                <w:bCs w:val="1"/>
                <w:color w:val="auto"/>
              </w:rPr>
              <w:t>31,106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2022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87"/>
              <w:spacing w:after="0"/>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w w:val="95"/>
              </w:rPr>
              <w:t>Significant Other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3"/>
                <w:szCs w:val="13"/>
                <w:b w:val="1"/>
                <w:bCs w:val="1"/>
                <w:color w:val="auto"/>
              </w:rPr>
              <w:t>Significant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87"/>
              <w:spacing w:after="0" w:line="135" w:lineRule="exact"/>
              <w:rPr>
                <w:sz w:val="20"/>
                <w:szCs w:val="20"/>
                <w:color w:val="auto"/>
              </w:rPr>
            </w:pPr>
            <w:r>
              <w:rPr>
                <w:rFonts w:ascii="Arial" w:cs="Arial" w:eastAsia="Arial" w:hAnsi="Arial"/>
                <w:sz w:val="13"/>
                <w:szCs w:val="13"/>
                <w:b w:val="1"/>
                <w:bCs w:val="1"/>
                <w:color w:val="auto"/>
              </w:rPr>
              <w:t>Active Markets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87"/>
              <w:spacing w:after="0" w:line="135" w:lineRule="exact"/>
              <w:rPr>
                <w:sz w:val="20"/>
                <w:szCs w:val="20"/>
                <w:color w:val="auto"/>
              </w:rPr>
            </w:pPr>
            <w:r>
              <w:rPr>
                <w:rFonts w:ascii="Arial" w:cs="Arial" w:eastAsia="Arial" w:hAnsi="Arial"/>
                <w:sz w:val="13"/>
                <w:szCs w:val="13"/>
                <w:b w:val="1"/>
                <w:bCs w:val="1"/>
                <w:color w:val="auto"/>
              </w:rPr>
              <w:t>for Identical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87"/>
              <w:spacing w:after="0" w:line="135" w:lineRule="exact"/>
              <w:rPr>
                <w:sz w:val="20"/>
                <w:szCs w:val="20"/>
                <w:color w:val="auto"/>
              </w:rPr>
            </w:pPr>
            <w:r>
              <w:rPr>
                <w:rFonts w:ascii="Arial" w:cs="Arial" w:eastAsia="Arial" w:hAnsi="Arial"/>
                <w:sz w:val="13"/>
                <w:szCs w:val="13"/>
                <w:b w:val="1"/>
                <w:bCs w:val="1"/>
                <w:color w:val="auto"/>
              </w:rPr>
              <w:t>Observable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66"/>
              <w:spacing w:after="0" w:line="135" w:lineRule="exact"/>
              <w:rPr>
                <w:sz w:val="20"/>
                <w:szCs w:val="20"/>
                <w:color w:val="auto"/>
              </w:rPr>
            </w:pPr>
            <w:r>
              <w:rPr>
                <w:rFonts w:ascii="Arial" w:cs="Arial" w:eastAsia="Arial" w:hAnsi="Arial"/>
                <w:sz w:val="13"/>
                <w:szCs w:val="13"/>
                <w:b w:val="1"/>
                <w:bCs w:val="1"/>
                <w:color w:val="auto"/>
              </w:rPr>
              <w:t>Unobservable</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Categories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Arial" w:cs="Arial" w:eastAsia="Arial" w:hAnsi="Arial"/>
                <w:sz w:val="13"/>
                <w:szCs w:val="13"/>
                <w:b w:val="1"/>
                <w:bCs w:val="1"/>
                <w:color w:val="auto"/>
              </w:rPr>
              <w:t>Assets (Level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Arial" w:cs="Arial" w:eastAsia="Arial" w:hAnsi="Arial"/>
                <w:sz w:val="13"/>
                <w:szCs w:val="13"/>
                <w:b w:val="1"/>
                <w:bCs w:val="1"/>
                <w:color w:val="auto"/>
              </w:rPr>
              <w:t>Inputs (Level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Arial" w:cs="Arial" w:eastAsia="Arial" w:hAnsi="Arial"/>
                <w:sz w:val="13"/>
                <w:szCs w:val="13"/>
                <w:b w:val="1"/>
                <w:bCs w:val="1"/>
                <w:color w:val="auto"/>
              </w:rPr>
              <w:t>Inputs (Level 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004483"/>
            </w:tcBorders>
            <w:vMerge w:val="continue"/>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1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2620" w:type="dxa"/>
            <w:vAlign w:val="bottom"/>
            <w:tcBorders>
              <w:bottom w:val="single" w:sz="8" w:color="004483"/>
            </w:tcBorders>
            <w:gridSpan w:val="4"/>
          </w:tcPr>
          <w:p>
            <w:pPr>
              <w:jc w:val="right"/>
              <w:ind w:right="746"/>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92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7"/>
              <w:spacing w:after="0"/>
              <w:rPr>
                <w:sz w:val="20"/>
                <w:szCs w:val="20"/>
                <w:color w:val="auto"/>
              </w:rPr>
            </w:pPr>
            <w:r>
              <w:rPr>
                <w:rFonts w:ascii="Arial" w:cs="Arial" w:eastAsia="Arial" w:hAnsi="Arial"/>
                <w:sz w:val="16"/>
                <w:szCs w:val="16"/>
                <w:color w:val="auto"/>
              </w:rPr>
              <w:t>3,433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6"/>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3,433</w:t>
            </w:r>
          </w:p>
        </w:tc>
        <w:tc>
          <w:tcPr>
            <w:tcW w:w="0" w:type="dxa"/>
            <w:vAlign w:val="bottom"/>
          </w:tcPr>
          <w:p>
            <w:pPr>
              <w:spacing w:after="0"/>
              <w:rPr>
                <w:sz w:val="1"/>
                <w:szCs w:val="1"/>
                <w:color w:val="auto"/>
              </w:rPr>
            </w:pPr>
          </w:p>
        </w:tc>
      </w:tr>
      <w:tr>
        <w:trPr>
          <w:trHeight w:val="209"/>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Fixed Income Securities</w:t>
            </w:r>
          </w:p>
        </w:tc>
        <w:tc>
          <w:tcPr>
            <w:tcW w:w="180" w:type="dxa"/>
            <w:vAlign w:val="bottom"/>
            <w:tcBorders>
              <w:top w:val="single" w:sz="8" w:color="A3A3A3"/>
              <w:bottom w:val="single" w:sz="8" w:color="A3A3A3"/>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180" w:type="dxa"/>
            <w:vAlign w:val="bottom"/>
            <w:tcBorders>
              <w:top w:val="single" w:sz="8" w:color="A6A6A6"/>
              <w:bottom w:val="single" w:sz="8" w:color="A6A6A6"/>
            </w:tcBorders>
          </w:tcPr>
          <w:p>
            <w:pPr>
              <w:jc w:val="right"/>
              <w:ind w:right="87"/>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3A3A3"/>
              <w:bottom w:val="single" w:sz="8" w:color="A3A3A3"/>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180" w:type="dxa"/>
            <w:vAlign w:val="bottom"/>
            <w:tcBorders>
              <w:top w:val="single" w:sz="8" w:color="A6A6A6"/>
              <w:bottom w:val="single" w:sz="8" w:color="A6A6A6"/>
            </w:tcBorders>
          </w:tcPr>
          <w:p>
            <w:pPr>
              <w:jc w:val="right"/>
              <w:ind w:right="87"/>
              <w:spacing w:after="0"/>
              <w:rPr>
                <w:sz w:val="20"/>
                <w:szCs w:val="20"/>
                <w:color w:val="auto"/>
              </w:rPr>
            </w:pPr>
            <w:r>
              <w:rPr>
                <w:rFonts w:ascii="Arial" w:cs="Arial" w:eastAsia="Arial" w:hAnsi="Arial"/>
                <w:sz w:val="16"/>
                <w:szCs w:val="16"/>
                <w:color w:val="auto"/>
              </w:rPr>
              <w:t>32,583</w:t>
            </w:r>
          </w:p>
        </w:tc>
        <w:tc>
          <w:tcPr>
            <w:tcW w:w="160" w:type="dxa"/>
            <w:vAlign w:val="bottom"/>
            <w:tcBorders>
              <w:top w:val="single" w:sz="8" w:color="A3A3A3"/>
              <w:bottom w:val="single" w:sz="8" w:color="A3A3A3"/>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ind w:right="66"/>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3A3A3"/>
              <w:bottom w:val="single" w:sz="8" w:color="A3A3A3"/>
            </w:tcBorders>
          </w:tcPr>
          <w:p>
            <w:pPr>
              <w:spacing w:after="0"/>
              <w:rPr>
                <w:sz w:val="18"/>
                <w:szCs w:val="18"/>
                <w:color w:val="auto"/>
              </w:rPr>
            </w:pPr>
          </w:p>
        </w:tc>
        <w:tc>
          <w:tcPr>
            <w:tcW w:w="380" w:type="dxa"/>
            <w:vAlign w:val="bottom"/>
            <w:tcBorders>
              <w:top w:val="single" w:sz="8" w:color="A6A6A6"/>
              <w:bottom w:val="single" w:sz="8" w:color="A6A6A6"/>
            </w:tcBorders>
          </w:tcPr>
          <w:p>
            <w:pPr>
              <w:spacing w:after="0"/>
              <w:rPr>
                <w:sz w:val="18"/>
                <w:szCs w:val="18"/>
                <w:color w:val="auto"/>
              </w:rPr>
            </w:pPr>
          </w:p>
        </w:tc>
        <w:tc>
          <w:tcPr>
            <w:tcW w:w="920" w:type="dxa"/>
            <w:vAlign w:val="bottom"/>
            <w:tcBorders>
              <w:top w:val="single" w:sz="8" w:color="A6A6A6"/>
              <w:bottom w:val="single" w:sz="8" w:color="A6A6A6"/>
            </w:tcBorders>
          </w:tcPr>
          <w:p>
            <w:pPr>
              <w:jc w:val="right"/>
              <w:ind w:right="62"/>
              <w:spacing w:after="0"/>
              <w:rPr>
                <w:sz w:val="20"/>
                <w:szCs w:val="20"/>
                <w:color w:val="auto"/>
              </w:rPr>
            </w:pPr>
            <w:r>
              <w:rPr>
                <w:rFonts w:ascii="Arial" w:cs="Arial" w:eastAsia="Arial" w:hAnsi="Arial"/>
                <w:sz w:val="16"/>
                <w:szCs w:val="16"/>
                <w:color w:val="auto"/>
              </w:rPr>
              <w:t>32,583</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Real Estate Funds</w:t>
            </w:r>
          </w:p>
        </w:tc>
        <w:tc>
          <w:tcPr>
            <w:tcW w:w="180" w:type="dxa"/>
            <w:vAlign w:val="bottom"/>
            <w:tcBorders>
              <w:bottom w:val="single" w:sz="8" w:color="A3A3A3"/>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87"/>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3A3A3"/>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ind w:right="87"/>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A3A3A3"/>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ind w:right="66"/>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3A3A3"/>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ind w:right="6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Cash Equivalents</w:t>
            </w:r>
          </w:p>
        </w:tc>
        <w:tc>
          <w:tcPr>
            <w:tcW w:w="180" w:type="dxa"/>
            <w:vAlign w:val="bottom"/>
            <w:tcBorders>
              <w:bottom w:val="single" w:sz="8" w:color="A3A3A3"/>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180" w:type="dxa"/>
            <w:vAlign w:val="bottom"/>
            <w:tcBorders>
              <w:bottom w:val="single" w:sz="8" w:color="004483"/>
            </w:tcBorders>
          </w:tcPr>
          <w:p>
            <w:pPr>
              <w:jc w:val="right"/>
              <w:ind w:right="87"/>
              <w:spacing w:after="0"/>
              <w:rPr>
                <w:sz w:val="20"/>
                <w:szCs w:val="20"/>
                <w:color w:val="auto"/>
              </w:rPr>
            </w:pPr>
            <w:r>
              <w:rPr>
                <w:rFonts w:ascii="Arial" w:cs="Arial" w:eastAsia="Arial" w:hAnsi="Arial"/>
                <w:sz w:val="16"/>
                <w:szCs w:val="16"/>
                <w:color w:val="auto"/>
              </w:rPr>
              <w:t>182</w:t>
            </w:r>
          </w:p>
        </w:tc>
        <w:tc>
          <w:tcPr>
            <w:tcW w:w="160" w:type="dxa"/>
            <w:vAlign w:val="bottom"/>
            <w:tcBorders>
              <w:bottom w:val="single" w:sz="8" w:color="A3A3A3"/>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180" w:type="dxa"/>
            <w:vAlign w:val="bottom"/>
            <w:tcBorders>
              <w:bottom w:val="single" w:sz="8" w:color="004483"/>
            </w:tcBorders>
          </w:tcPr>
          <w:p>
            <w:pPr>
              <w:jc w:val="right"/>
              <w:ind w:right="87"/>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3A3A3"/>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3A3A3"/>
            </w:tcBorders>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ind w:right="87"/>
              <w:spacing w:after="0"/>
              <w:rPr>
                <w:sz w:val="20"/>
                <w:szCs w:val="20"/>
                <w:color w:val="auto"/>
              </w:rPr>
            </w:pPr>
            <w:r>
              <w:rPr>
                <w:rFonts w:ascii="Arial" w:cs="Arial" w:eastAsia="Arial" w:hAnsi="Arial"/>
                <w:sz w:val="16"/>
                <w:szCs w:val="16"/>
                <w:b w:val="1"/>
                <w:bCs w:val="1"/>
                <w:color w:val="auto"/>
              </w:rPr>
              <w:t>182</w:t>
            </w:r>
          </w:p>
        </w:tc>
        <w:tc>
          <w:tcPr>
            <w:tcW w:w="16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ind w:right="87"/>
              <w:spacing w:after="0"/>
              <w:rPr>
                <w:sz w:val="20"/>
                <w:szCs w:val="20"/>
                <w:color w:val="auto"/>
              </w:rPr>
            </w:pPr>
            <w:r>
              <w:rPr>
                <w:rFonts w:ascii="Arial" w:cs="Arial" w:eastAsia="Arial" w:hAnsi="Arial"/>
                <w:sz w:val="16"/>
                <w:szCs w:val="16"/>
                <w:b w:val="1"/>
                <w:bCs w:val="1"/>
                <w:color w:val="auto"/>
              </w:rPr>
              <w:t>36,131</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66"/>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ind w:right="62"/>
              <w:spacing w:after="0"/>
              <w:rPr>
                <w:sz w:val="20"/>
                <w:szCs w:val="20"/>
                <w:color w:val="auto"/>
              </w:rPr>
            </w:pPr>
            <w:r>
              <w:rPr>
                <w:rFonts w:ascii="Arial" w:cs="Arial" w:eastAsia="Arial" w:hAnsi="Arial"/>
                <w:sz w:val="16"/>
                <w:szCs w:val="16"/>
                <w:b w:val="1"/>
                <w:bCs w:val="1"/>
                <w:color w:val="auto"/>
              </w:rPr>
              <w:t>36,313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u w:val="single" w:color="auto"/>
          <w:color w:val="004483"/>
        </w:rPr>
        <w:t>Profit Sharing Plans</w:t>
      </w:r>
    </w:p>
    <w:p>
      <w:pPr>
        <w:spacing w:after="0" w:line="10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also provide profit sharing plans, which cover substantially all salaried and certain hourly employees. The profit 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 period. Costs relating to the employer discretionary contributions for our plan totaled $9.1 million, $8.5 million, and $8.3 million in fiscal years 2023, 2022, and 2021, respectively.</w:t>
      </w:r>
    </w:p>
    <w:p>
      <w:pPr>
        <w:spacing w:after="0" w:line="8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We also made matching contributions to the hourly profit sharing plan for certain of our entities totaling $1.4 million, $1.3 million, and $1.1 million for these employees during fiscal years 2023, 2022, and 2021, respectively.</w:t>
      </w:r>
    </w:p>
    <w:p>
      <w:pPr>
        <w:spacing w:after="0" w:line="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Approximately 50 of our employees belong to two different multi-employer plans. The collective bargaining agreements for the employees who participate in the multi-employer plans expire in February 2024 and March 2025. Our expense related to these plans was approximately $1.8 million, $1.7 million, and $ 1.8 million during fiscal years 2023, 2022, and 2021, respectively. We anticipate the total expense in fiscal 2024 related to these plans will be approximately $2.0 million.</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97" w:name="page98"/>
    <w:bookmarkEnd w:id="97"/>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25" w:lineRule="exact"/>
        <w:rPr>
          <w:sz w:val="20"/>
          <w:szCs w:val="20"/>
          <w:color w:val="auto"/>
        </w:rPr>
      </w:pPr>
    </w:p>
    <w:p>
      <w:pPr>
        <w:ind w:right="4280"/>
        <w:spacing w:after="0" w:line="360" w:lineRule="auto"/>
        <w:rPr>
          <w:sz w:val="20"/>
          <w:szCs w:val="20"/>
          <w:color w:val="auto"/>
        </w:rPr>
      </w:pPr>
      <w:r>
        <w:rPr>
          <w:rFonts w:ascii="Arial" w:cs="Arial" w:eastAsia="Arial" w:hAnsi="Arial"/>
          <w:sz w:val="18"/>
          <w:szCs w:val="18"/>
          <w:color w:val="auto"/>
        </w:rPr>
        <w:t xml:space="preserve">To the Stockholders and the Board of Directors of Eagle Materials Inc. and Subsidiaries </w:t>
      </w:r>
      <w:r>
        <w:rPr>
          <w:rFonts w:ascii="Arial" w:cs="Arial" w:eastAsia="Arial" w:hAnsi="Arial"/>
          <w:sz w:val="18"/>
          <w:szCs w:val="18"/>
          <w:b w:val="1"/>
          <w:bCs w:val="1"/>
          <w:color w:val="auto"/>
        </w:rPr>
        <w:t>Opinion on the Financial Statements</w:t>
      </w:r>
    </w:p>
    <w:p>
      <w:pPr>
        <w:spacing w:after="0" w:line="239" w:lineRule="auto"/>
        <w:rPr>
          <w:sz w:val="20"/>
          <w:szCs w:val="20"/>
          <w:color w:val="auto"/>
        </w:rPr>
      </w:pPr>
      <w:r>
        <w:rPr>
          <w:rFonts w:ascii="Arial" w:cs="Arial" w:eastAsia="Arial" w:hAnsi="Arial"/>
          <w:sz w:val="18"/>
          <w:szCs w:val="18"/>
          <w:color w:val="auto"/>
        </w:rPr>
        <w:t>We have audited the accompanying consolidated balance sheets of Eagle Materials Inc. and Subsidiaries (the Company) as of March 31, 2023 and 2022, the related consolidated statements of earnings, comprehensive earnings, stockholders' equity and cash flows for each of the three years in the period ended March 31, 2023, and the related notes (collectively referred to as the “consolidated financial statements”). In our opinion, the consolidated financial statements present fairly, in all material respects, the financial position of the Company at March 31, 2023 and 2022, and the results of its operations and its cash flows for each of the three years in the period ended March 31, 2023, in conformity with U.S. generally accepted accounting principles.</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2023, based on criteria established in Internal Control-Integrated Framework issued by the Committee of Sponsoring Organizations of the Treadway Commission (2013 framework), and our report dated May 19, 2023 expressed an unqualified opinion thereon.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Critical Audit Matter</w:t>
      </w:r>
    </w:p>
    <w:p>
      <w:pPr>
        <w:spacing w:after="0" w:line="154" w:lineRule="exact"/>
        <w:rPr>
          <w:sz w:val="20"/>
          <w:szCs w:val="20"/>
          <w:color w:val="auto"/>
        </w:rPr>
      </w:pPr>
    </w:p>
    <w:p>
      <w:pPr>
        <w:ind w:left="2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Raw Materials and Materials-in-Progress inventory existence</w:t>
      </w:r>
    </w:p>
    <w:p>
      <w:pPr>
        <w:spacing w:after="0" w:line="137" w:lineRule="exact"/>
        <w:rPr>
          <w:sz w:val="20"/>
          <w:szCs w:val="20"/>
          <w:color w:val="auto"/>
        </w:rPr>
      </w:pPr>
    </w:p>
    <w:p>
      <w:pPr>
        <w:ind w:left="2240" w:right="300" w:hanging="2226"/>
        <w:spacing w:after="0" w:line="257" w:lineRule="auto"/>
        <w:tabs>
          <w:tab w:leader="none" w:pos="2220" w:val="left"/>
        </w:tabs>
        <w:rPr>
          <w:sz w:val="20"/>
          <w:szCs w:val="20"/>
          <w:color w:val="auto"/>
        </w:rPr>
      </w:pPr>
      <w:r>
        <w:rPr>
          <w:rFonts w:ascii="Arial" w:cs="Arial" w:eastAsia="Arial" w:hAnsi="Arial"/>
          <w:sz w:val="19"/>
          <w:szCs w:val="19"/>
          <w:i w:val="1"/>
          <w:iCs w:val="1"/>
          <w:color w:val="auto"/>
        </w:rPr>
        <w:t>Description of the Matter</w:t>
      </w:r>
      <w:r>
        <w:rPr>
          <w:sz w:val="20"/>
          <w:szCs w:val="20"/>
          <w:color w:val="auto"/>
        </w:rPr>
        <w:tab/>
      </w:r>
      <w:r>
        <w:rPr>
          <w:rFonts w:ascii="Arial" w:cs="Arial" w:eastAsia="Arial" w:hAnsi="Arial"/>
          <w:sz w:val="17"/>
          <w:szCs w:val="17"/>
          <w:color w:val="auto"/>
        </w:rPr>
        <w:t>As described in Note A, the Company’s raw materials and materials-in-progress inventory balance was $96.9 million at March 31, 2023. Components of this balance include raw materials that are purchased from third</w:t>
      </w:r>
    </w:p>
    <w:p>
      <w:pPr>
        <w:spacing w:after="0" w:line="1" w:lineRule="exact"/>
        <w:rPr>
          <w:sz w:val="20"/>
          <w:szCs w:val="20"/>
          <w:color w:val="auto"/>
        </w:rPr>
      </w:pPr>
    </w:p>
    <w:p>
      <w:pPr>
        <w:ind w:left="2240" w:right="100"/>
        <w:spacing w:after="0" w:line="243" w:lineRule="auto"/>
        <w:rPr>
          <w:sz w:val="20"/>
          <w:szCs w:val="20"/>
          <w:color w:val="auto"/>
        </w:rPr>
      </w:pPr>
      <w:r>
        <w:rPr>
          <w:rFonts w:ascii="Arial" w:cs="Arial" w:eastAsia="Arial" w:hAnsi="Arial"/>
          <w:sz w:val="18"/>
          <w:szCs w:val="18"/>
          <w:color w:val="auto"/>
        </w:rPr>
        <w:t>parties, as well as clinker, which is internally manufactured and represents an intermediary product before it is ground into cement powder. Due to the nature of raw materials and materials-in-progress inventory, the Company utilizes technology to measure certain volumes of the inventory stockpiles and applies density factors to convert the measurements to tons of inventory, which is then compared to the Company’s recorded balance.</w:t>
      </w:r>
    </w:p>
    <w:p>
      <w:pPr>
        <w:spacing w:after="0" w:line="81" w:lineRule="exact"/>
        <w:rPr>
          <w:sz w:val="20"/>
          <w:szCs w:val="20"/>
          <w:color w:val="auto"/>
        </w:rPr>
      </w:pPr>
    </w:p>
    <w:p>
      <w:pPr>
        <w:ind w:left="2240" w:right="180"/>
        <w:spacing w:after="0" w:line="255" w:lineRule="auto"/>
        <w:rPr>
          <w:sz w:val="20"/>
          <w:szCs w:val="20"/>
          <w:color w:val="auto"/>
        </w:rPr>
      </w:pPr>
      <w:r>
        <w:rPr>
          <w:rFonts w:ascii="Arial" w:cs="Arial" w:eastAsia="Arial" w:hAnsi="Arial"/>
          <w:sz w:val="18"/>
          <w:szCs w:val="18"/>
          <w:color w:val="auto"/>
        </w:rPr>
        <w:t>Auditing management’s process for measuring certain raw materials and materials-in-progress inventory was complex as auditor judgement was necessary to evaluate the Company’s process for measuring the inventory, given the technology utilized, and converting the measurements to tonnage.</w:t>
      </w:r>
    </w:p>
    <w:p>
      <w:pPr>
        <w:spacing w:after="0" w:line="94"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9"/>
          <w:szCs w:val="19"/>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12"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9"/>
          <w:szCs w:val="19"/>
          <w:i w:val="1"/>
          <w:iCs w:val="1"/>
          <w:color w:val="auto"/>
        </w:rPr>
        <w:t>Matter in Our Audit</w:t>
      </w:r>
      <w:r>
        <w:rPr>
          <w:sz w:val="20"/>
          <w:szCs w:val="20"/>
          <w:color w:val="auto"/>
        </w:rPr>
        <w:tab/>
      </w:r>
      <w:r>
        <w:rPr>
          <w:rFonts w:ascii="Arial" w:cs="Arial" w:eastAsia="Arial" w:hAnsi="Arial"/>
          <w:sz w:val="17"/>
          <w:szCs w:val="17"/>
          <w:color w:val="auto"/>
        </w:rPr>
        <w:t>Company’s process of determining the existence of certain raw materials and materials-in-progress inventory.</w:t>
      </w:r>
    </w:p>
    <w:p>
      <w:pPr>
        <w:spacing w:after="0" w:line="80" w:lineRule="exact"/>
        <w:rPr>
          <w:sz w:val="20"/>
          <w:szCs w:val="20"/>
          <w:color w:val="auto"/>
        </w:rPr>
      </w:pPr>
    </w:p>
    <w:p>
      <w:pPr>
        <w:ind w:left="2240"/>
        <w:spacing w:after="0" w:line="243" w:lineRule="auto"/>
        <w:rPr>
          <w:sz w:val="20"/>
          <w:szCs w:val="20"/>
          <w:color w:val="auto"/>
        </w:rPr>
      </w:pPr>
      <w:r>
        <w:rPr>
          <w:rFonts w:ascii="Arial" w:cs="Arial" w:eastAsia="Arial" w:hAnsi="Arial"/>
          <w:sz w:val="18"/>
          <w:szCs w:val="18"/>
          <w:color w:val="auto"/>
        </w:rPr>
        <w:t>To test the existence of certain raw materials and materials-in-progress inventory, we performed audit procedures, assisted by specialists, that included, among others, obtaining inventory measurements performed by third parties, observing management’s inspection and measurement of inventory, testing the measurement techniques of the inventory stockpiles, testing the underlying calculations of the measurements in the conversion calculations utilizing density factors, and evaluating the appropriateness of the density factors utilized in the calculations as compared to industry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May 19, 2023</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99" w:name="page100"/>
    <w:bookmarkEnd w:id="99"/>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EVALUATION OF DISCLOSURE CONTROLS AND PROCEDURES</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established a system of disclosure controls and other procedures that are designed to ensure that information required to be disclosed by us in the reports that we file or submit under the Securities Exchange Act of 1934 (Exchange Act) is recorded, processed, summarized, and reported within the time periods specified by the SEC. Such information is also accumulated and communicated to management, including our Chief Executive Officer and Chief Financial Officer,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There were no changes that occurred during our last fiscal quarter that have materially affected, or are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MANAGEMENT REPORT ON INTERNAL CONTROL OVER FINANCIAL REPORTING</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Based on our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March 31, 2023. The effectiveness of our internal control over financial reporting as of March 31, 2023, has been audited by Ernst &amp; Young LLP, an independent registered public accounting firm, as stated in their report which is included herein.</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9" w:right="3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43" w:lineRule="exact"/>
        <w:rPr>
          <w:sz w:val="20"/>
          <w:szCs w:val="20"/>
          <w:color w:val="auto"/>
        </w:rPr>
      </w:pPr>
    </w:p>
    <w:p>
      <w:pPr>
        <w:ind w:right="4280"/>
        <w:spacing w:after="0" w:line="360" w:lineRule="auto"/>
        <w:rPr>
          <w:sz w:val="20"/>
          <w:szCs w:val="20"/>
          <w:color w:val="auto"/>
        </w:rPr>
      </w:pPr>
      <w:r>
        <w:rPr>
          <w:rFonts w:ascii="Arial" w:cs="Arial" w:eastAsia="Arial" w:hAnsi="Arial"/>
          <w:sz w:val="18"/>
          <w:szCs w:val="18"/>
          <w:color w:val="auto"/>
        </w:rPr>
        <w:t xml:space="preserve">To the Stockholders and the Board of Directors of Eagle Materials Inc. and Subsidiaries </w:t>
      </w:r>
      <w:r>
        <w:rPr>
          <w:rFonts w:ascii="Arial" w:cs="Arial" w:eastAsia="Arial" w:hAnsi="Arial"/>
          <w:sz w:val="18"/>
          <w:szCs w:val="18"/>
          <w:b w:val="1"/>
          <w:bCs w:val="1"/>
          <w:color w:val="auto"/>
        </w:rPr>
        <w:t>Opinion on Internal Control Over Financial Reporting</w:t>
      </w:r>
    </w:p>
    <w:p>
      <w:pPr>
        <w:ind w:right="180"/>
        <w:spacing w:after="0" w:line="243" w:lineRule="auto"/>
        <w:rPr>
          <w:sz w:val="20"/>
          <w:szCs w:val="20"/>
          <w:color w:val="auto"/>
        </w:rPr>
      </w:pPr>
      <w:r>
        <w:rPr>
          <w:rFonts w:ascii="Arial" w:cs="Arial" w:eastAsia="Arial" w:hAnsi="Arial"/>
          <w:sz w:val="18"/>
          <w:szCs w:val="18"/>
          <w:color w:val="auto"/>
        </w:rPr>
        <w:t>We have audited Eagle Materials Inc. and Subsidiaries’ internal control over financial reporting as of March 31, 2023,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2023, based on the COSO criteria.</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2023 and 2022, the related consolidated statements of earnings, comprehensive earnings, stockholders’ equity and cash flows for each of the three years in the period ended March 31, 2023, and the related notes, and our report dated May 19, 2023 expressed an unqualified opinion thereon.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w:t>
      </w:r>
      <w:r>
        <w:rPr>
          <w:rFonts w:ascii="Arial" w:cs="Arial" w:eastAsia="Arial" w:hAnsi="Arial"/>
          <w:sz w:val="17"/>
          <w:szCs w:val="17"/>
          <w:color w:val="auto"/>
        </w:rPr>
        <w:t>opinion.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1" w:name="page102"/>
    <w:bookmarkEnd w:id="101"/>
    <w:p>
      <w:pPr>
        <w:jc w:val="both"/>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2" w:name="page103"/>
    <w:bookmarkEnd w:id="102"/>
    <w:p>
      <w:pPr>
        <w:spacing w:after="0"/>
        <w:rPr>
          <w:sz w:val="20"/>
          <w:szCs w:val="20"/>
          <w:color w:val="auto"/>
        </w:rPr>
      </w:pPr>
      <w:r>
        <w:rPr>
          <w:rFonts w:ascii="Arial" w:cs="Arial" w:eastAsia="Arial" w:hAnsi="Arial"/>
          <w:sz w:val="23"/>
          <w:szCs w:val="23"/>
          <w:b w:val="1"/>
          <w:bCs w:val="1"/>
          <w:color w:val="004483"/>
        </w:rPr>
        <w:t>PART III</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August 3, 2023 Annual Meeting of Stockholders (the 2023 EXP Proxy Statement):</w:t>
      </w:r>
    </w:p>
    <w:p>
      <w:pPr>
        <w:spacing w:after="0" w:line="220"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b w:val="1"/>
          <w:bCs w:val="1"/>
          <w:color w:val="auto"/>
        </w:rPr>
        <w:t>Items</w:t>
      </w:r>
      <w:r>
        <w:rPr>
          <w:sz w:val="20"/>
          <w:szCs w:val="20"/>
          <w:color w:val="auto"/>
        </w:rPr>
        <w:tab/>
      </w:r>
      <w:r>
        <w:rPr>
          <w:rFonts w:ascii="Arial" w:cs="Arial" w:eastAsia="Arial" w:hAnsi="Arial"/>
          <w:sz w:val="16"/>
          <w:szCs w:val="16"/>
          <w:b w:val="1"/>
          <w:bCs w:val="1"/>
          <w:color w:val="auto"/>
        </w:rPr>
        <w:t>Caption in the 2023 EXP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ind w:left="820" w:hanging="799"/>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004483"/>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820" w:hanging="799"/>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004483"/>
        </w:rPr>
        <w:t>Election of Directors and Related Matters Stock Ownership-Section 16(a) Beneficial Ownership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820" w:hanging="799"/>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004483"/>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820" w:hanging="799"/>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004483"/>
        </w:rPr>
        <w:t>Stock Ownership – Code of Conduct</w:t>
      </w:r>
    </w:p>
    <w:p>
      <w:pPr>
        <w:spacing w:after="0" w:line="86" w:lineRule="exact"/>
        <w:rPr>
          <w:rFonts w:ascii="Arial" w:cs="Arial" w:eastAsia="Arial" w:hAnsi="Arial"/>
          <w:sz w:val="16"/>
          <w:szCs w:val="16"/>
          <w:color w:val="auto"/>
        </w:rPr>
      </w:pPr>
    </w:p>
    <w:p>
      <w:pPr>
        <w:ind w:left="820" w:hanging="799"/>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00448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820" w:hanging="799"/>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0044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820" w:hanging="799"/>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004483"/>
        </w:rPr>
        <w:t>Potential Payments Upon Termination or Change in Control</w:t>
      </w:r>
    </w:p>
    <w:p>
      <w:pPr>
        <w:spacing w:after="0" w:line="86" w:lineRule="exact"/>
        <w:rPr>
          <w:rFonts w:ascii="Arial" w:cs="Arial" w:eastAsia="Arial" w:hAnsi="Arial"/>
          <w:sz w:val="16"/>
          <w:szCs w:val="16"/>
          <w:color w:val="auto"/>
        </w:rPr>
      </w:pPr>
    </w:p>
    <w:p>
      <w:pPr>
        <w:ind w:left="820" w:hanging="799"/>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004483"/>
        </w:rPr>
        <w:t>Stock Ownership</w:t>
      </w:r>
    </w:p>
    <w:p>
      <w:pPr>
        <w:spacing w:after="0" w:line="86" w:lineRule="exact"/>
        <w:rPr>
          <w:rFonts w:ascii="Arial" w:cs="Arial" w:eastAsia="Arial" w:hAnsi="Arial"/>
          <w:sz w:val="16"/>
          <w:szCs w:val="16"/>
          <w:color w:val="auto"/>
        </w:rPr>
      </w:pPr>
    </w:p>
    <w:p>
      <w:pPr>
        <w:ind w:left="820" w:hanging="799"/>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004483"/>
        </w:rPr>
        <w:t>Stock Ownership –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820" w:hanging="799"/>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004483"/>
        </w:rPr>
        <w:t>Election of Directors and Related Matters</w:t>
      </w:r>
    </w:p>
    <w:p>
      <w:pPr>
        <w:spacing w:after="0" w:line="86" w:lineRule="exact"/>
        <w:rPr>
          <w:rFonts w:ascii="Arial" w:cs="Arial" w:eastAsia="Arial" w:hAnsi="Arial"/>
          <w:sz w:val="16"/>
          <w:szCs w:val="16"/>
          <w:color w:val="auto"/>
        </w:rPr>
      </w:pPr>
    </w:p>
    <w:p>
      <w:pPr>
        <w:ind w:left="820" w:hanging="799"/>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004483"/>
        </w:rPr>
        <w:t>Relationship with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CODE OF ETHICS</w:t>
      </w:r>
    </w:p>
    <w:p>
      <w:pPr>
        <w:spacing w:after="0" w:line="10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 xml:space="preserve">The policies comprising the Company’s code of ethics are detailed in </w:t>
      </w:r>
      <w:r>
        <w:rPr>
          <w:rFonts w:ascii="Arial" w:cs="Arial" w:eastAsia="Arial" w:hAnsi="Arial"/>
          <w:sz w:val="18"/>
          <w:szCs w:val="18"/>
          <w:i w:val="1"/>
          <w:iCs w:val="1"/>
          <w:color w:val="auto"/>
        </w:rPr>
        <w:t>The Eagle Way – A Guide to Decision-Making on Business Conduct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Issues. </w:t>
      </w:r>
      <w:r>
        <w:rPr>
          <w:rFonts w:ascii="Arial" w:cs="Arial" w:eastAsia="Arial" w:hAnsi="Arial"/>
          <w:sz w:val="18"/>
          <w:szCs w:val="18"/>
          <w:color w:val="auto"/>
        </w:rPr>
        <w:t>This represents the code of ethics for the principal executive officer, principal financial officer, and principal accounting officer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79"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03" w:name="page104"/>
    <w:bookmarkEnd w:id="103"/>
    <w:p>
      <w:pPr>
        <w:ind w:right="1220"/>
        <w:spacing w:after="0" w:line="312"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28" w:lineRule="exact"/>
        <w:rPr>
          <w:sz w:val="20"/>
          <w:szCs w:val="20"/>
          <w:color w:val="auto"/>
        </w:rPr>
      </w:pPr>
    </w:p>
    <w:p>
      <w:pPr>
        <w:spacing w:after="0"/>
        <w:rPr>
          <w:sz w:val="20"/>
          <w:szCs w:val="20"/>
          <w:color w:val="auto"/>
        </w:rPr>
      </w:pPr>
      <w:r>
        <w:rPr>
          <w:rFonts w:ascii="Arial" w:cs="Arial" w:eastAsia="Arial" w:hAnsi="Arial"/>
          <w:sz w:val="23"/>
          <w:szCs w:val="23"/>
          <w:b w:val="1"/>
          <w:bCs w:val="1"/>
          <w:color w:val="004483"/>
        </w:rPr>
        <w:t>PART IV</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3" w:lineRule="exact"/>
        <w:rPr>
          <w:rFonts w:ascii="Arial" w:cs="Arial" w:eastAsia="Arial" w:hAnsi="Arial"/>
          <w:sz w:val="18"/>
          <w:szCs w:val="18"/>
          <w:color w:val="auto"/>
        </w:rPr>
      </w:pPr>
    </w:p>
    <w:p>
      <w:pPr>
        <w:ind w:left="480" w:hanging="248"/>
        <w:spacing w:after="0"/>
        <w:tabs>
          <w:tab w:leader="none" w:pos="48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Reference is made to the Index to Financial Statements under Item 8 in Part II hereof, where these documents are listed.</w:t>
      </w:r>
    </w:p>
    <w:p>
      <w:pPr>
        <w:spacing w:after="0" w:line="81" w:lineRule="exact"/>
        <w:rPr>
          <w:rFonts w:ascii="Arial" w:cs="Arial" w:eastAsia="Arial" w:hAnsi="Arial"/>
          <w:sz w:val="18"/>
          <w:szCs w:val="18"/>
          <w:color w:val="auto"/>
        </w:rPr>
      </w:pPr>
    </w:p>
    <w:p>
      <w:pPr>
        <w:ind w:left="480" w:hanging="248"/>
        <w:spacing w:after="0"/>
        <w:tabs>
          <w:tab w:leader="none" w:pos="48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Schedules</w:t>
      </w:r>
    </w:p>
    <w:p>
      <w:pPr>
        <w:spacing w:after="0" w:line="17" w:lineRule="exact"/>
        <w:rPr>
          <w:rFonts w:ascii="Arial" w:cs="Arial" w:eastAsia="Arial" w:hAnsi="Arial"/>
          <w:sz w:val="18"/>
          <w:szCs w:val="18"/>
          <w:color w:val="auto"/>
        </w:rPr>
      </w:pPr>
    </w:p>
    <w:p>
      <w:pPr>
        <w:ind w:left="480"/>
        <w:spacing w:after="0" w:line="246" w:lineRule="auto"/>
        <w:rPr>
          <w:rFonts w:ascii="Arial" w:cs="Arial" w:eastAsia="Arial" w:hAnsi="Arial"/>
          <w:sz w:val="18"/>
          <w:szCs w:val="18"/>
          <w:color w:val="auto"/>
        </w:rPr>
      </w:pPr>
      <w:r>
        <w:rPr>
          <w:rFonts w:ascii="Arial" w:cs="Arial" w:eastAsia="Arial" w:hAnsi="Arial"/>
          <w:sz w:val="18"/>
          <w:szCs w:val="18"/>
          <w:color w:val="auto"/>
        </w:rPr>
        <w:t>Schedules are omitted because they are not applicable or not required, or the information required to be set forth therein is included in the consolidated financial statements referenced above in section (a) (1) of this Item 15.</w:t>
      </w:r>
    </w:p>
    <w:p>
      <w:pPr>
        <w:spacing w:after="0" w:line="66" w:lineRule="exact"/>
        <w:rPr>
          <w:rFonts w:ascii="Arial" w:cs="Arial" w:eastAsia="Arial" w:hAnsi="Arial"/>
          <w:sz w:val="18"/>
          <w:szCs w:val="18"/>
          <w:color w:val="auto"/>
        </w:rPr>
      </w:pPr>
    </w:p>
    <w:p>
      <w:pPr>
        <w:ind w:left="480" w:hanging="248"/>
        <w:spacing w:after="0"/>
        <w:tabs>
          <w:tab w:leader="none" w:pos="48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17" w:lineRule="exact"/>
        <w:rPr>
          <w:rFonts w:ascii="Arial" w:cs="Arial" w:eastAsia="Arial" w:hAnsi="Arial"/>
          <w:sz w:val="18"/>
          <w:szCs w:val="18"/>
          <w:color w:val="auto"/>
        </w:rPr>
      </w:pPr>
    </w:p>
    <w:p>
      <w:pPr>
        <w:ind w:left="480" w:right="140"/>
        <w:spacing w:after="0" w:line="246" w:lineRule="auto"/>
        <w:rPr>
          <w:rFonts w:ascii="Arial" w:cs="Arial" w:eastAsia="Arial" w:hAnsi="Arial"/>
          <w:sz w:val="18"/>
          <w:szCs w:val="18"/>
          <w:color w:val="auto"/>
        </w:rPr>
      </w:pPr>
      <w:r>
        <w:rPr>
          <w:rFonts w:ascii="Arial" w:cs="Arial" w:eastAsia="Arial" w:hAnsi="Arial"/>
          <w:sz w:val="18"/>
          <w:szCs w:val="18"/>
          <w:color w:val="auto"/>
        </w:rPr>
        <w:t>The information on exhibits required by this Item 15 is set forth in the Eagle Materials Inc. Index to Exhibits appearing on pages 103-108 of this Report.</w:t>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58" w:right="45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auto"/>
        <w:rPr>
          <w:sz w:val="20"/>
          <w:szCs w:val="20"/>
          <w:color w:val="auto"/>
        </w:rPr>
      </w:pPr>
      <w:r>
        <w:rPr>
          <w:rFonts w:ascii="Arial" w:cs="Arial" w:eastAsia="Arial" w:hAnsi="Arial"/>
          <w:sz w:val="20"/>
          <w:szCs w:val="20"/>
          <w:b w:val="1"/>
          <w:bCs w:val="1"/>
          <w:color w:val="auto"/>
        </w:rPr>
        <w:t>EAGLE MATERIALS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SUBSIDIARIES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1000" w:type="dxa"/>
            <w:vAlign w:val="bottom"/>
          </w:tcPr>
          <w:p>
            <w:pPr>
              <w:spacing w:after="0"/>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5"/>
                <w:szCs w:val="15"/>
                <w:color w:val="auto"/>
              </w:rPr>
            </w:pPr>
          </w:p>
        </w:tc>
        <w:tc>
          <w:tcPr>
            <w:tcW w:w="9960" w:type="dxa"/>
            <w:vAlign w:val="bottom"/>
            <w:gridSpan w:val="24"/>
          </w:tcPr>
          <w:p>
            <w:pPr>
              <w:spacing w:after="0"/>
              <w:rPr>
                <w:sz w:val="20"/>
                <w:szCs w:val="20"/>
                <w:color w:val="auto"/>
              </w:rPr>
            </w:pPr>
            <w:r>
              <w:rPr>
                <w:rFonts w:ascii="Arial" w:cs="Arial" w:eastAsia="Arial" w:hAnsi="Arial"/>
                <w:sz w:val="14"/>
                <w:szCs w:val="14"/>
                <w:color w:val="auto"/>
              </w:rPr>
              <w:t>DESCRIPTION OF EXHIBITS</w:t>
            </w:r>
          </w:p>
        </w:tc>
        <w:tc>
          <w:tcPr>
            <w:tcW w:w="40" w:type="dxa"/>
            <w:vAlign w:val="bottom"/>
          </w:tcPr>
          <w:p>
            <w:pPr>
              <w:spacing w:after="0"/>
              <w:rPr>
                <w:sz w:val="15"/>
                <w:szCs w:val="15"/>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6"/>
                <w:szCs w:val="16"/>
                <w:color w:val="auto"/>
              </w:rPr>
            </w:pPr>
            <w:hyperlink r:id="rId202">
              <w:r>
                <w:rPr>
                  <w:rFonts w:ascii="Arial" w:cs="Arial" w:eastAsia="Arial" w:hAnsi="Arial"/>
                  <w:sz w:val="16"/>
                  <w:szCs w:val="16"/>
                  <w:color w:val="auto"/>
                </w:rPr>
                <w:t>Amended and Restated Agreement and Plan of Merger, dated as of November 4, 2003, among Centex Corporation, Centex Construction</w:t>
              </w:r>
            </w:hyperlink>
          </w:p>
        </w:tc>
        <w:tc>
          <w:tcPr>
            <w:tcW w:w="1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80" w:type="dxa"/>
            <w:vAlign w:val="bottom"/>
            <w:tcBorders>
              <w:bottom w:val="single" w:sz="8" w:color="0000EE"/>
            </w:tcBorders>
            <w:gridSpan w:val="23"/>
          </w:tcPr>
          <w:p>
            <w:pPr>
              <w:spacing w:after="0" w:line="169" w:lineRule="exact"/>
              <w:rPr>
                <w:rFonts w:ascii="Arial" w:cs="Arial" w:eastAsia="Arial" w:hAnsi="Arial"/>
                <w:sz w:val="16"/>
                <w:szCs w:val="16"/>
                <w:color w:val="auto"/>
              </w:rPr>
            </w:pPr>
            <w:hyperlink r:id="rId202">
              <w:r>
                <w:rPr>
                  <w:rFonts w:ascii="Arial" w:cs="Arial" w:eastAsia="Arial" w:hAnsi="Arial"/>
                  <w:sz w:val="16"/>
                  <w:szCs w:val="16"/>
                  <w:color w:val="auto"/>
                </w:rPr>
                <w:t>Products, Inc. (now known as Eagle Materials Inc.), and ARG Merger Corporation filed as Exhibit 2.1 to the Company’s Current Report on</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20" w:type="dxa"/>
            <w:vAlign w:val="bottom"/>
            <w:tcBorders>
              <w:bottom w:val="single" w:sz="8" w:color="0000EE"/>
            </w:tcBorders>
            <w:gridSpan w:val="11"/>
          </w:tcPr>
          <w:p>
            <w:pPr>
              <w:spacing w:after="0" w:line="169" w:lineRule="exact"/>
              <w:rPr>
                <w:rFonts w:ascii="Arial" w:cs="Arial" w:eastAsia="Arial" w:hAnsi="Arial"/>
                <w:sz w:val="16"/>
                <w:szCs w:val="16"/>
                <w:color w:val="auto"/>
              </w:rPr>
            </w:pPr>
            <w:hyperlink r:id="rId202">
              <w:r>
                <w:rPr>
                  <w:rFonts w:ascii="Arial" w:cs="Arial" w:eastAsia="Arial" w:hAnsi="Arial"/>
                  <w:sz w:val="16"/>
                  <w:szCs w:val="16"/>
                  <w:color w:val="auto"/>
                </w:rPr>
                <w:t>Form 8-K/A filed with the Securities and Exchange Commission (the Commission) on November 12, 2003 (File No. 001-12984) and</w:t>
              </w:r>
            </w:hyperlink>
          </w:p>
        </w:tc>
        <w:tc>
          <w:tcPr>
            <w:tcW w:w="540" w:type="dxa"/>
            <w:vAlign w:val="bottom"/>
            <w:gridSpan w:val="13"/>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3"/>
          </w:tcPr>
          <w:p>
            <w:pPr>
              <w:spacing w:after="0" w:line="169" w:lineRule="exact"/>
              <w:rPr>
                <w:rFonts w:ascii="Arial" w:cs="Arial" w:eastAsia="Arial" w:hAnsi="Arial"/>
                <w:sz w:val="16"/>
                <w:szCs w:val="16"/>
                <w:color w:val="auto"/>
              </w:rPr>
            </w:pPr>
            <w:hyperlink r:id="rId202">
              <w:r>
                <w:rPr>
                  <w:rFonts w:ascii="Arial" w:cs="Arial" w:eastAsia="Arial" w:hAnsi="Arial"/>
                  <w:sz w:val="16"/>
                  <w:szCs w:val="16"/>
                  <w:color w:val="auto"/>
                </w:rPr>
                <w:t>incorporated herein by reference.</w:t>
              </w:r>
            </w:hyperlink>
          </w:p>
        </w:tc>
        <w:tc>
          <w:tcPr>
            <w:tcW w:w="7580" w:type="dxa"/>
            <w:vAlign w:val="bottom"/>
            <w:gridSpan w:val="21"/>
          </w:tcPr>
          <w:p>
            <w:pPr>
              <w:spacing w:after="0"/>
              <w:rPr>
                <w:sz w:val="14"/>
                <w:szCs w:val="14"/>
                <w:color w:val="auto"/>
              </w:rPr>
            </w:pPr>
          </w:p>
        </w:tc>
        <w:tc>
          <w:tcPr>
            <w:tcW w:w="40" w:type="dxa"/>
            <w:vAlign w:val="bottom"/>
          </w:tcPr>
          <w:p>
            <w:pPr>
              <w:spacing w:after="0"/>
              <w:rPr>
                <w:sz w:val="14"/>
                <w:szCs w:val="14"/>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4"/>
                <w:szCs w:val="24"/>
                <w:color w:val="auto"/>
              </w:rPr>
            </w:pPr>
          </w:p>
        </w:tc>
        <w:tc>
          <w:tcPr>
            <w:tcW w:w="9580" w:type="dxa"/>
            <w:vAlign w:val="bottom"/>
            <w:tcBorders>
              <w:bottom w:val="single" w:sz="8" w:color="0000EE"/>
            </w:tcBorders>
            <w:gridSpan w:val="15"/>
          </w:tcPr>
          <w:p>
            <w:pPr>
              <w:spacing w:after="0"/>
              <w:rPr>
                <w:rFonts w:ascii="Arial" w:cs="Arial" w:eastAsia="Arial" w:hAnsi="Arial"/>
                <w:sz w:val="16"/>
                <w:szCs w:val="16"/>
                <w:color w:val="auto"/>
              </w:rPr>
            </w:pPr>
            <w:hyperlink r:id="rId203">
              <w:r>
                <w:rPr>
                  <w:rFonts w:ascii="Arial" w:cs="Arial" w:eastAsia="Arial" w:hAnsi="Arial"/>
                  <w:sz w:val="16"/>
                  <w:szCs w:val="16"/>
                  <w:color w:val="auto"/>
                </w:rPr>
                <w:t>Amended and Restated Distribution Agreement dated as of November 4, 2003 between Centex Corporation and Centex Construction</w:t>
              </w:r>
            </w:hyperlink>
          </w:p>
        </w:tc>
        <w:tc>
          <w:tcPr>
            <w:tcW w:w="38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00" w:type="dxa"/>
            <w:vAlign w:val="bottom"/>
            <w:tcBorders>
              <w:bottom w:val="single" w:sz="8" w:color="0000EE"/>
            </w:tcBorders>
            <w:gridSpan w:val="13"/>
          </w:tcPr>
          <w:p>
            <w:pPr>
              <w:spacing w:after="0" w:line="169" w:lineRule="exact"/>
              <w:rPr>
                <w:rFonts w:ascii="Arial" w:cs="Arial" w:eastAsia="Arial" w:hAnsi="Arial"/>
                <w:sz w:val="16"/>
                <w:szCs w:val="16"/>
                <w:color w:val="auto"/>
              </w:rPr>
            </w:pPr>
            <w:hyperlink r:id="rId203">
              <w:r>
                <w:rPr>
                  <w:rFonts w:ascii="Arial" w:cs="Arial" w:eastAsia="Arial" w:hAnsi="Arial"/>
                  <w:sz w:val="16"/>
                  <w:szCs w:val="16"/>
                  <w:color w:val="auto"/>
                </w:rPr>
                <w:t>Products, Inc. (now known as Eagle Materials Inc.) filed as Exhibit 2.2 to the Company’s Current Report on Form 8-K/A filed with the</w:t>
              </w:r>
            </w:hyperlink>
          </w:p>
        </w:tc>
        <w:tc>
          <w:tcPr>
            <w:tcW w:w="460" w:type="dxa"/>
            <w:vAlign w:val="bottom"/>
            <w:gridSpan w:val="11"/>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gridSpan w:val="24"/>
          </w:tcPr>
          <w:p>
            <w:pPr>
              <w:spacing w:after="0" w:line="169" w:lineRule="exact"/>
              <w:rPr>
                <w:rFonts w:ascii="Arial" w:cs="Arial" w:eastAsia="Arial" w:hAnsi="Arial"/>
                <w:sz w:val="16"/>
                <w:szCs w:val="16"/>
                <w:color w:val="auto"/>
              </w:rPr>
            </w:pPr>
            <w:hyperlink r:id="rId203">
              <w:r>
                <w:rPr>
                  <w:rFonts w:ascii="Arial" w:cs="Arial" w:eastAsia="Arial" w:hAnsi="Arial"/>
                  <w:sz w:val="16"/>
                  <w:szCs w:val="16"/>
                  <w:color w:val="auto"/>
                </w:rPr>
                <w:t>Commission on November 12, 2003 (File No. 001-12984) and incorporated herein by reference.</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4"/>
                <w:szCs w:val="24"/>
                <w:color w:val="auto"/>
              </w:rPr>
            </w:pPr>
          </w:p>
        </w:tc>
        <w:tc>
          <w:tcPr>
            <w:tcW w:w="9820" w:type="dxa"/>
            <w:vAlign w:val="bottom"/>
            <w:tcBorders>
              <w:bottom w:val="single" w:sz="8" w:color="0000EE"/>
            </w:tcBorders>
            <w:gridSpan w:val="20"/>
          </w:tcPr>
          <w:p>
            <w:pPr>
              <w:spacing w:after="0"/>
              <w:rPr>
                <w:rFonts w:ascii="Arial" w:cs="Arial" w:eastAsia="Arial" w:hAnsi="Arial"/>
                <w:sz w:val="16"/>
                <w:szCs w:val="16"/>
                <w:color w:val="auto"/>
              </w:rPr>
            </w:pPr>
            <w:hyperlink r:id="rId204">
              <w:r>
                <w:rPr>
                  <w:rFonts w:ascii="Arial" w:cs="Arial" w:eastAsia="Arial" w:hAnsi="Arial"/>
                  <w:sz w:val="16"/>
                  <w:szCs w:val="16"/>
                  <w:color w:val="auto"/>
                </w:rPr>
                <w:t>Restated Certificate of Incorporation filed as Exhibit 3.1 to the Company’s Current Report on Form 8-K filed with the Commission on April</w:t>
              </w:r>
            </w:hyperlink>
          </w:p>
        </w:tc>
        <w:tc>
          <w:tcPr>
            <w:tcW w:w="14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gridSpan w:val="24"/>
          </w:tcPr>
          <w:p>
            <w:pPr>
              <w:spacing w:after="0" w:line="169" w:lineRule="exact"/>
              <w:rPr>
                <w:rFonts w:ascii="Arial" w:cs="Arial" w:eastAsia="Arial" w:hAnsi="Arial"/>
                <w:sz w:val="16"/>
                <w:szCs w:val="16"/>
                <w:color w:val="auto"/>
              </w:rPr>
            </w:pPr>
            <w:hyperlink r:id="rId204">
              <w:r>
                <w:rPr>
                  <w:rFonts w:ascii="Arial" w:cs="Arial" w:eastAsia="Arial" w:hAnsi="Arial"/>
                  <w:sz w:val="16"/>
                  <w:szCs w:val="16"/>
                  <w:color w:val="auto"/>
                </w:rPr>
                <w:t>11, 2006 (File No. 001-12984) and incorporated herein by reference.</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6"/>
                <w:szCs w:val="16"/>
                <w:color w:val="auto"/>
              </w:rPr>
            </w:pPr>
            <w:hyperlink r:id="rId205">
              <w:r>
                <w:rPr>
                  <w:rFonts w:ascii="Arial" w:cs="Arial" w:eastAsia="Arial" w:hAnsi="Arial"/>
                  <w:sz w:val="16"/>
                  <w:szCs w:val="16"/>
                  <w:color w:val="auto"/>
                </w:rPr>
                <w:t>Restated Certificate of Designation, Preferences and Rights of Series A Preferred Stock filed as Exhibit 3.2 to the Company’s Current</w:t>
              </w:r>
            </w:hyperlink>
          </w:p>
        </w:tc>
        <w:tc>
          <w:tcPr>
            <w:tcW w:w="40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gridSpan w:val="24"/>
          </w:tcPr>
          <w:p>
            <w:pPr>
              <w:spacing w:after="0" w:line="169" w:lineRule="exact"/>
              <w:rPr>
                <w:rFonts w:ascii="Arial" w:cs="Arial" w:eastAsia="Arial" w:hAnsi="Arial"/>
                <w:sz w:val="16"/>
                <w:szCs w:val="16"/>
                <w:color w:val="auto"/>
              </w:rPr>
            </w:pPr>
            <w:hyperlink r:id="rId205">
              <w:r>
                <w:rPr>
                  <w:rFonts w:ascii="Arial" w:cs="Arial" w:eastAsia="Arial" w:hAnsi="Arial"/>
                  <w:sz w:val="16"/>
                  <w:szCs w:val="16"/>
                  <w:color w:val="auto"/>
                </w:rPr>
                <w:t>Report on Form 8-K filed with the Commission on April 11, 2006 (File No. 001-12984) and incorporated herein by reference.</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4"/>
                <w:szCs w:val="24"/>
                <w:color w:val="auto"/>
              </w:rPr>
            </w:pPr>
          </w:p>
        </w:tc>
        <w:tc>
          <w:tcPr>
            <w:tcW w:w="9760" w:type="dxa"/>
            <w:vAlign w:val="bottom"/>
            <w:tcBorders>
              <w:bottom w:val="single" w:sz="8" w:color="0000EE"/>
            </w:tcBorders>
            <w:gridSpan w:val="18"/>
          </w:tcPr>
          <w:p>
            <w:pPr>
              <w:spacing w:after="0"/>
              <w:rPr>
                <w:rFonts w:ascii="Arial" w:cs="Arial" w:eastAsia="Arial" w:hAnsi="Arial"/>
                <w:sz w:val="16"/>
                <w:szCs w:val="16"/>
                <w:color w:val="auto"/>
              </w:rPr>
            </w:pPr>
            <w:hyperlink r:id="rId206">
              <w:r>
                <w:rPr>
                  <w:rFonts w:ascii="Arial" w:cs="Arial" w:eastAsia="Arial" w:hAnsi="Arial"/>
                  <w:sz w:val="16"/>
                  <w:szCs w:val="16"/>
                  <w:color w:val="auto"/>
                </w:rPr>
                <w:t>Second Amended and Restated Bylaws filed as Exhibit 3.1 to the Company’s Current Report on Form 8-K, filed with the Commission on</w:t>
              </w:r>
            </w:hyperlink>
          </w:p>
        </w:tc>
        <w:tc>
          <w:tcPr>
            <w:tcW w:w="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0" w:type="dxa"/>
            <w:vAlign w:val="bottom"/>
            <w:tcBorders>
              <w:bottom w:val="single" w:sz="8" w:color="0000EE"/>
            </w:tcBorders>
            <w:gridSpan w:val="6"/>
          </w:tcPr>
          <w:p>
            <w:pPr>
              <w:spacing w:after="0" w:line="169" w:lineRule="exact"/>
              <w:rPr>
                <w:rFonts w:ascii="Arial" w:cs="Arial" w:eastAsia="Arial" w:hAnsi="Arial"/>
                <w:sz w:val="16"/>
                <w:szCs w:val="16"/>
                <w:color w:val="auto"/>
              </w:rPr>
            </w:pPr>
            <w:hyperlink r:id="rId206">
              <w:r>
                <w:rPr>
                  <w:rFonts w:ascii="Arial" w:cs="Arial" w:eastAsia="Arial" w:hAnsi="Arial"/>
                  <w:sz w:val="16"/>
                  <w:szCs w:val="16"/>
                  <w:color w:val="auto"/>
                </w:rPr>
                <w:t>November 7, 2022 (File No. 001-12984) and incorporated herein by reference.</w:t>
              </w:r>
            </w:hyperlink>
          </w:p>
        </w:tc>
        <w:tc>
          <w:tcPr>
            <w:tcW w:w="4360" w:type="dxa"/>
            <w:vAlign w:val="bottom"/>
            <w:gridSpan w:val="18"/>
          </w:tcPr>
          <w:p>
            <w:pPr>
              <w:spacing w:after="0"/>
              <w:rPr>
                <w:sz w:val="14"/>
                <w:szCs w:val="14"/>
                <w:color w:val="auto"/>
              </w:rPr>
            </w:pPr>
          </w:p>
        </w:tc>
        <w:tc>
          <w:tcPr>
            <w:tcW w:w="40" w:type="dxa"/>
            <w:vAlign w:val="bottom"/>
          </w:tcPr>
          <w:p>
            <w:pPr>
              <w:spacing w:after="0"/>
              <w:rPr>
                <w:sz w:val="14"/>
                <w:szCs w:val="14"/>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6"/>
                <w:szCs w:val="16"/>
                <w:color w:val="auto"/>
              </w:rPr>
            </w:pPr>
            <w:hyperlink r:id="rId207">
              <w:r>
                <w:rPr>
                  <w:rFonts w:ascii="Arial" w:cs="Arial" w:eastAsia="Arial" w:hAnsi="Arial"/>
                  <w:sz w:val="16"/>
                  <w:szCs w:val="16"/>
                  <w:color w:val="auto"/>
                </w:rPr>
                <w:t>Description of Securities filed as Exhibit 4.1 to the Company's Annual Report on Form 10-K for the fiscal year ended March 31, 2022, filed</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20" w:type="dxa"/>
            <w:vAlign w:val="bottom"/>
            <w:tcBorders>
              <w:bottom w:val="single" w:sz="8" w:color="0000EE"/>
            </w:tcBorders>
            <w:gridSpan w:val="8"/>
          </w:tcPr>
          <w:p>
            <w:pPr>
              <w:spacing w:after="0" w:line="169" w:lineRule="exact"/>
              <w:rPr>
                <w:rFonts w:ascii="Arial" w:cs="Arial" w:eastAsia="Arial" w:hAnsi="Arial"/>
                <w:sz w:val="16"/>
                <w:szCs w:val="16"/>
                <w:color w:val="auto"/>
              </w:rPr>
            </w:pPr>
            <w:hyperlink r:id="rId207">
              <w:r>
                <w:rPr>
                  <w:rFonts w:ascii="Arial" w:cs="Arial" w:eastAsia="Arial" w:hAnsi="Arial"/>
                  <w:sz w:val="16"/>
                  <w:szCs w:val="16"/>
                  <w:color w:val="auto"/>
                </w:rPr>
                <w:t>with the Commission on May 20, 2022 (File No. 001-12984) and incorporated herein by reference.</w:t>
              </w:r>
            </w:hyperlink>
          </w:p>
        </w:tc>
        <w:tc>
          <w:tcPr>
            <w:tcW w:w="2940" w:type="dxa"/>
            <w:vAlign w:val="bottom"/>
            <w:gridSpan w:val="16"/>
          </w:tcPr>
          <w:p>
            <w:pPr>
              <w:spacing w:after="0"/>
              <w:rPr>
                <w:sz w:val="14"/>
                <w:szCs w:val="14"/>
                <w:color w:val="auto"/>
              </w:rPr>
            </w:pPr>
          </w:p>
        </w:tc>
        <w:tc>
          <w:tcPr>
            <w:tcW w:w="40" w:type="dxa"/>
            <w:vAlign w:val="bottom"/>
          </w:tcPr>
          <w:p>
            <w:pPr>
              <w:spacing w:after="0"/>
              <w:rPr>
                <w:sz w:val="14"/>
                <w:szCs w:val="14"/>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24"/>
                <w:szCs w:val="24"/>
                <w:color w:val="auto"/>
              </w:rPr>
            </w:pPr>
          </w:p>
        </w:tc>
        <w:tc>
          <w:tcPr>
            <w:tcW w:w="9780" w:type="dxa"/>
            <w:vAlign w:val="bottom"/>
            <w:tcBorders>
              <w:bottom w:val="single" w:sz="8" w:color="0000EE"/>
            </w:tcBorders>
            <w:gridSpan w:val="19"/>
          </w:tcPr>
          <w:p>
            <w:pPr>
              <w:spacing w:after="0"/>
              <w:rPr>
                <w:rFonts w:ascii="Arial" w:cs="Arial" w:eastAsia="Arial" w:hAnsi="Arial"/>
                <w:sz w:val="16"/>
                <w:szCs w:val="16"/>
                <w:color w:val="auto"/>
              </w:rPr>
            </w:pPr>
            <w:hyperlink r:id="rId208">
              <w:r>
                <w:rPr>
                  <w:rFonts w:ascii="Arial" w:cs="Arial" w:eastAsia="Arial" w:hAnsi="Arial"/>
                  <w:sz w:val="16"/>
                  <w:szCs w:val="16"/>
                  <w:color w:val="auto"/>
                </w:rPr>
                <w:t>Credit Agreement, dated as of July 1, 2021, among the Company, the lenders identified therein and JPMorgan Chase Bank, N.A., as the</w:t>
              </w:r>
            </w:hyperlink>
          </w:p>
        </w:tc>
        <w:tc>
          <w:tcPr>
            <w:tcW w:w="1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tcBorders>
              <w:bottom w:val="single" w:sz="8" w:color="0000EE"/>
            </w:tcBorders>
            <w:gridSpan w:val="16"/>
          </w:tcPr>
          <w:p>
            <w:pPr>
              <w:spacing w:after="0" w:line="169" w:lineRule="exact"/>
              <w:rPr>
                <w:rFonts w:ascii="Arial" w:cs="Arial" w:eastAsia="Arial" w:hAnsi="Arial"/>
                <w:sz w:val="16"/>
                <w:szCs w:val="16"/>
                <w:color w:val="auto"/>
              </w:rPr>
            </w:pPr>
            <w:hyperlink r:id="rId208">
              <w:r>
                <w:rPr>
                  <w:rFonts w:ascii="Arial" w:cs="Arial" w:eastAsia="Arial" w:hAnsi="Arial"/>
                  <w:sz w:val="16"/>
                  <w:szCs w:val="16"/>
                  <w:color w:val="auto"/>
                </w:rPr>
                <w:t>administrative agent, issuing bank and swingline lender thereunder, filed as Exhibit 10.1 to the Company’s Current Report on Form 8-K</w:t>
              </w:r>
            </w:hyperlink>
          </w:p>
        </w:tc>
        <w:tc>
          <w:tcPr>
            <w:tcW w:w="28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gridSpan w:val="24"/>
          </w:tcPr>
          <w:p>
            <w:pPr>
              <w:spacing w:after="0" w:line="169" w:lineRule="exact"/>
              <w:rPr>
                <w:rFonts w:ascii="Arial" w:cs="Arial" w:eastAsia="Arial" w:hAnsi="Arial"/>
                <w:sz w:val="16"/>
                <w:szCs w:val="16"/>
                <w:color w:val="auto"/>
              </w:rPr>
            </w:pPr>
            <w:hyperlink r:id="rId208">
              <w:r>
                <w:rPr>
                  <w:rFonts w:ascii="Arial" w:cs="Arial" w:eastAsia="Arial" w:hAnsi="Arial"/>
                  <w:sz w:val="16"/>
                  <w:szCs w:val="16"/>
                  <w:color w:val="auto"/>
                </w:rPr>
                <w:t>filed with the Commission on July 1, 2021 (File No. 001-12984) and incorporated herein by reference.</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4.2(a)</w:t>
            </w:r>
          </w:p>
        </w:tc>
        <w:tc>
          <w:tcPr>
            <w:tcW w:w="24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Arial" w:cs="Arial" w:eastAsia="Arial" w:hAnsi="Arial"/>
                <w:sz w:val="16"/>
                <w:szCs w:val="16"/>
                <w:color w:val="auto"/>
              </w:rPr>
            </w:pPr>
            <w:hyperlink r:id="rId209">
              <w:r>
                <w:rPr>
                  <w:rFonts w:ascii="Arial" w:cs="Arial" w:eastAsia="Arial" w:hAnsi="Arial"/>
                  <w:sz w:val="16"/>
                  <w:szCs w:val="16"/>
                  <w:color w:val="auto"/>
                </w:rPr>
                <w:t>Amendment No. 1, dated as of May 5, 2022, to that certain Credit Agreement, dated as of July 1, 2021, among the lenders identified</w:t>
              </w:r>
            </w:hyperlink>
          </w:p>
        </w:tc>
        <w:tc>
          <w:tcPr>
            <w:tcW w:w="48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tcBorders>
              <w:bottom w:val="single" w:sz="8" w:color="0000EE"/>
            </w:tcBorders>
            <w:gridSpan w:val="24"/>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therein and JPMorgan Chase Bank, N.A., as the administrative agent, issuing bank and swingline lender thereunder, filed as Exhibit 10.1 to</w:t>
              </w:r>
            </w:hyperlink>
          </w:p>
        </w:tc>
        <w:tc>
          <w:tcPr>
            <w:tcW w:w="40" w:type="dxa"/>
            <w:vAlign w:val="bottom"/>
            <w:tcBorders>
              <w:bottom w:val="single" w:sz="8" w:color="0000EE"/>
            </w:tcBorders>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20" w:type="dxa"/>
            <w:vAlign w:val="bottom"/>
            <w:tcBorders>
              <w:bottom w:val="single" w:sz="8" w:color="0000EE"/>
            </w:tcBorders>
            <w:gridSpan w:val="17"/>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the Company’s Current Report on Form 8-K filed with the Commission on May 6, 2022 (File No. 001-12984) and incorporated herein by</w:t>
              </w:r>
            </w:hyperlink>
          </w:p>
        </w:tc>
        <w:tc>
          <w:tcPr>
            <w:tcW w:w="24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0000EE"/>
            </w:tcBorders>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reference.</w:t>
              </w:r>
            </w:hyperlink>
          </w:p>
        </w:tc>
        <w:tc>
          <w:tcPr>
            <w:tcW w:w="9200" w:type="dxa"/>
            <w:vAlign w:val="bottom"/>
            <w:gridSpan w:val="23"/>
          </w:tcPr>
          <w:p>
            <w:pPr>
              <w:spacing w:after="0"/>
              <w:rPr>
                <w:sz w:val="14"/>
                <w:szCs w:val="14"/>
                <w:color w:val="auto"/>
              </w:rPr>
            </w:pPr>
          </w:p>
        </w:tc>
        <w:tc>
          <w:tcPr>
            <w:tcW w:w="40" w:type="dxa"/>
            <w:vAlign w:val="bottom"/>
          </w:tcPr>
          <w:p>
            <w:pPr>
              <w:spacing w:after="0"/>
              <w:rPr>
                <w:sz w:val="14"/>
                <w:szCs w:val="14"/>
                <w:color w:val="auto"/>
              </w:rPr>
            </w:pPr>
          </w:p>
        </w:tc>
      </w:tr>
      <w:tr>
        <w:trPr>
          <w:trHeight w:val="425"/>
        </w:trPr>
        <w:tc>
          <w:tcPr>
            <w:tcW w:w="1000" w:type="dxa"/>
            <w:vAlign w:val="bottom"/>
          </w:tcPr>
          <w:p>
            <w:pPr>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4"/>
                <w:szCs w:val="24"/>
                <w:color w:val="auto"/>
              </w:rPr>
            </w:pPr>
          </w:p>
        </w:tc>
        <w:tc>
          <w:tcPr>
            <w:tcW w:w="9860" w:type="dxa"/>
            <w:vAlign w:val="bottom"/>
            <w:tcBorders>
              <w:bottom w:val="single" w:sz="8" w:color="0000EE"/>
            </w:tcBorders>
            <w:gridSpan w:val="22"/>
          </w:tcPr>
          <w:p>
            <w:pPr>
              <w:spacing w:after="0"/>
              <w:rPr>
                <w:rFonts w:ascii="Arial" w:cs="Arial" w:eastAsia="Arial" w:hAnsi="Arial"/>
                <w:sz w:val="16"/>
                <w:szCs w:val="16"/>
                <w:color w:val="auto"/>
              </w:rPr>
            </w:pPr>
            <w:hyperlink r:id="rId210">
              <w:r>
                <w:rPr>
                  <w:rFonts w:ascii="Arial" w:cs="Arial" w:eastAsia="Arial" w:hAnsi="Arial"/>
                  <w:sz w:val="16"/>
                  <w:szCs w:val="16"/>
                  <w:color w:val="auto"/>
                </w:rPr>
                <w:t>Indenture, dated as of May 8, 2009, between the Company and The Bank of New York Mellon Trust Company, N.A., filed as Exhibit 4.1 to</w:t>
              </w:r>
            </w:hyperlink>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80" w:type="dxa"/>
            <w:vAlign w:val="bottom"/>
            <w:tcBorders>
              <w:bottom w:val="single" w:sz="8" w:color="0000EE"/>
            </w:tcBorders>
            <w:gridSpan w:val="15"/>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the Company’s Registration Statement on Form S-3 filed with the Commission on May 8, 2009 (File No. 001-12984) and incorporated</w:t>
              </w:r>
            </w:hyperlink>
          </w:p>
        </w:tc>
        <w:tc>
          <w:tcPr>
            <w:tcW w:w="38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gridSpan w:val="24"/>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herein by reference.</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Arial" w:cs="Arial" w:eastAsia="Arial" w:hAnsi="Arial"/>
                <w:sz w:val="16"/>
                <w:szCs w:val="16"/>
                <w:color w:val="auto"/>
              </w:rPr>
            </w:pPr>
            <w:hyperlink r:id="rId211">
              <w:r>
                <w:rPr>
                  <w:rFonts w:ascii="Arial" w:cs="Arial" w:eastAsia="Arial" w:hAnsi="Arial"/>
                  <w:sz w:val="16"/>
                  <w:szCs w:val="16"/>
                  <w:color w:val="auto"/>
                </w:rPr>
                <w:t>Second Supplemental Indenture, dated as of July 1, 2021, between the Company and The Bank of New York Mellon Trust Company, N.A.,</w:t>
              </w:r>
            </w:hyperlink>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80" w:type="dxa"/>
            <w:vAlign w:val="bottom"/>
            <w:tcBorders>
              <w:bottom w:val="single" w:sz="8" w:color="0000EE"/>
            </w:tcBorders>
            <w:gridSpan w:val="15"/>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filed as Exhibit 4.2 to the Company’s Current Report on Form 8-K filed with the Commission on July 1, 2021 (File No. 001-12984) and</w:t>
              </w:r>
            </w:hyperlink>
          </w:p>
        </w:tc>
        <w:tc>
          <w:tcPr>
            <w:tcW w:w="38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3"/>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incorporated herein by reference.</w:t>
              </w:r>
            </w:hyperlink>
          </w:p>
        </w:tc>
        <w:tc>
          <w:tcPr>
            <w:tcW w:w="7580" w:type="dxa"/>
            <w:vAlign w:val="bottom"/>
            <w:gridSpan w:val="21"/>
          </w:tcPr>
          <w:p>
            <w:pPr>
              <w:spacing w:after="0"/>
              <w:rPr>
                <w:sz w:val="14"/>
                <w:szCs w:val="14"/>
                <w:color w:val="auto"/>
              </w:rPr>
            </w:pPr>
          </w:p>
        </w:tc>
        <w:tc>
          <w:tcPr>
            <w:tcW w:w="40" w:type="dxa"/>
            <w:vAlign w:val="bottom"/>
          </w:tcPr>
          <w:p>
            <w:pPr>
              <w:spacing w:after="0"/>
              <w:rPr>
                <w:sz w:val="14"/>
                <w:szCs w:val="14"/>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24"/>
                <w:szCs w:val="24"/>
                <w:color w:val="auto"/>
              </w:rPr>
            </w:pPr>
          </w:p>
        </w:tc>
        <w:tc>
          <w:tcPr>
            <w:tcW w:w="9680" w:type="dxa"/>
            <w:vAlign w:val="bottom"/>
            <w:tcBorders>
              <w:bottom w:val="single" w:sz="8" w:color="0000EE"/>
            </w:tcBorders>
            <w:gridSpan w:val="16"/>
          </w:tcPr>
          <w:p>
            <w:pPr>
              <w:spacing w:after="0"/>
              <w:rPr>
                <w:rFonts w:ascii="Arial" w:cs="Arial" w:eastAsia="Arial" w:hAnsi="Arial"/>
                <w:sz w:val="16"/>
                <w:szCs w:val="16"/>
                <w:color w:val="auto"/>
              </w:rPr>
            </w:pPr>
            <w:hyperlink r:id="rId211">
              <w:r>
                <w:rPr>
                  <w:rFonts w:ascii="Arial" w:cs="Arial" w:eastAsia="Arial" w:hAnsi="Arial"/>
                  <w:sz w:val="16"/>
                  <w:szCs w:val="16"/>
                  <w:color w:val="auto"/>
                </w:rPr>
                <w:t>Form of 2.500% Senior Note due 2031, filed as Exhibit 4.3 to the Company’s Current Report on Form 8-K filed with the Commission on</w:t>
              </w:r>
            </w:hyperlink>
          </w:p>
        </w:tc>
        <w:tc>
          <w:tcPr>
            <w:tcW w:w="2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gridSpan w:val="24"/>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July 1, 2021 (File No. 001-12984) and incorporated herein by reference.</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10.1</w:t>
            </w:r>
          </w:p>
        </w:tc>
        <w:tc>
          <w:tcPr>
            <w:tcW w:w="10000" w:type="dxa"/>
            <w:vAlign w:val="bottom"/>
            <w:gridSpan w:val="22"/>
          </w:tcPr>
          <w:p>
            <w:pPr>
              <w:spacing w:after="0"/>
              <w:rPr>
                <w:rFonts w:ascii="Arial" w:cs="Arial" w:eastAsia="Arial" w:hAnsi="Arial"/>
                <w:sz w:val="16"/>
                <w:szCs w:val="16"/>
                <w:color w:val="auto"/>
              </w:rPr>
            </w:pPr>
            <w:hyperlink r:id="rId213">
              <w:r>
                <w:rPr>
                  <w:rFonts w:ascii="Arial" w:cs="Arial" w:eastAsia="Arial" w:hAnsi="Arial"/>
                  <w:sz w:val="16"/>
                  <w:szCs w:val="16"/>
                  <w:color w:val="auto"/>
                </w:rPr>
                <w:t>Limited Partnership Agreement of Texas Lehigh Cement Company LP by and between Texas Cement Company and Lehigh Portland</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13">
              <w:r>
                <w:rPr>
                  <w:rFonts w:ascii="Arial" w:cs="Arial" w:eastAsia="Arial" w:hAnsi="Arial"/>
                  <w:sz w:val="16"/>
                  <w:szCs w:val="16"/>
                  <w:color w:val="auto"/>
                </w:rPr>
                <w:t>Cement Company effective as of October 1, 2000, filed as Exhibit 10.2 to the Company’s Annual Report on Form 10-K for the fiscal year</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140" w:type="dxa"/>
            <w:vAlign w:val="bottom"/>
            <w:tcBorders>
              <w:bottom w:val="single" w:sz="8" w:color="0000EE"/>
            </w:tcBorders>
            <w:gridSpan w:val="9"/>
          </w:tcPr>
          <w:p>
            <w:pPr>
              <w:spacing w:after="0" w:line="169" w:lineRule="exact"/>
              <w:rPr>
                <w:rFonts w:ascii="Arial" w:cs="Arial" w:eastAsia="Arial" w:hAnsi="Arial"/>
                <w:sz w:val="16"/>
                <w:szCs w:val="16"/>
                <w:color w:val="auto"/>
              </w:rPr>
            </w:pPr>
            <w:hyperlink r:id="rId213">
              <w:r>
                <w:rPr>
                  <w:rFonts w:ascii="Arial" w:cs="Arial" w:eastAsia="Arial" w:hAnsi="Arial"/>
                  <w:sz w:val="16"/>
                  <w:szCs w:val="16"/>
                  <w:color w:val="auto"/>
                </w:rPr>
                <w:t>ended March 31, 2001, filed with the Commission on June 27, 2001 (File No. 001-12984) and incorporated herein by reference.</w:t>
              </w:r>
            </w:hyperlink>
          </w:p>
        </w:tc>
        <w:tc>
          <w:tcPr>
            <w:tcW w:w="860" w:type="dxa"/>
            <w:vAlign w:val="bottom"/>
            <w:gridSpan w:val="13"/>
          </w:tcPr>
          <w:p>
            <w:pPr>
              <w:spacing w:after="0"/>
              <w:rPr>
                <w:sz w:val="14"/>
                <w:szCs w:val="14"/>
                <w:color w:val="auto"/>
              </w:rPr>
            </w:pPr>
          </w:p>
        </w:tc>
      </w:tr>
      <w:tr>
        <w:trPr>
          <w:trHeight w:val="439"/>
        </w:trPr>
        <w:tc>
          <w:tcPr>
            <w:tcW w:w="1220" w:type="dxa"/>
            <w:vAlign w:val="bottom"/>
          </w:tcPr>
          <w:p>
            <w:pPr>
              <w:spacing w:after="0"/>
              <w:rPr>
                <w:sz w:val="20"/>
                <w:szCs w:val="20"/>
                <w:color w:val="auto"/>
              </w:rPr>
            </w:pPr>
            <w:r>
              <w:rPr>
                <w:rFonts w:ascii="Arial" w:cs="Arial" w:eastAsia="Arial" w:hAnsi="Arial"/>
                <w:sz w:val="16"/>
                <w:szCs w:val="16"/>
                <w:color w:val="auto"/>
              </w:rPr>
              <w:t>10.1(a)</w:t>
            </w:r>
          </w:p>
        </w:tc>
        <w:tc>
          <w:tcPr>
            <w:tcW w:w="10000" w:type="dxa"/>
            <w:vAlign w:val="bottom"/>
            <w:gridSpan w:val="22"/>
          </w:tcPr>
          <w:p>
            <w:pPr>
              <w:spacing w:after="0"/>
              <w:rPr>
                <w:rFonts w:ascii="Arial" w:cs="Arial" w:eastAsia="Arial" w:hAnsi="Arial"/>
                <w:sz w:val="16"/>
                <w:szCs w:val="16"/>
                <w:color w:val="auto"/>
              </w:rPr>
            </w:pPr>
            <w:hyperlink r:id="rId210">
              <w:r>
                <w:rPr>
                  <w:rFonts w:ascii="Arial" w:cs="Arial" w:eastAsia="Arial" w:hAnsi="Arial"/>
                  <w:sz w:val="16"/>
                  <w:szCs w:val="16"/>
                  <w:color w:val="auto"/>
                </w:rPr>
                <w:t>Amendment No. 1 to Agreement of Limited Partnership by and among Texas Cement Company; TLCC LP LLC; TLCC GP LLC; Lehigh</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Portland Cement Company; Lehigh Portland Investments, LLC; and Lehigh Portland Holdings, LLC effective as of October 2, 2000, filed as</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7000" w:type="dxa"/>
            <w:vAlign w:val="bottom"/>
            <w:tcBorders>
              <w:bottom w:val="single" w:sz="8" w:color="0000EE"/>
            </w:tcBorders>
            <w:gridSpan w:val="6"/>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Exhibit 10.2(a) to the 2001 Form 10-K (File No. 001-12984) and incorporated herein by reference.</w:t>
              </w:r>
            </w:hyperlink>
          </w:p>
        </w:tc>
        <w:tc>
          <w:tcPr>
            <w:tcW w:w="3000" w:type="dxa"/>
            <w:vAlign w:val="bottom"/>
            <w:gridSpan w:val="16"/>
          </w:tcPr>
          <w:p>
            <w:pPr>
              <w:spacing w:after="0"/>
              <w:rPr>
                <w:sz w:val="14"/>
                <w:szCs w:val="14"/>
                <w:color w:val="auto"/>
              </w:rPr>
            </w:pPr>
          </w:p>
        </w:tc>
      </w:tr>
      <w:tr>
        <w:trPr>
          <w:trHeight w:val="439"/>
        </w:trPr>
        <w:tc>
          <w:tcPr>
            <w:tcW w:w="1220" w:type="dxa"/>
            <w:vAlign w:val="bottom"/>
          </w:tcPr>
          <w:p>
            <w:pPr>
              <w:spacing w:after="0"/>
              <w:rPr>
                <w:sz w:val="20"/>
                <w:szCs w:val="20"/>
                <w:color w:val="auto"/>
              </w:rPr>
            </w:pPr>
            <w:r>
              <w:rPr>
                <w:rFonts w:ascii="Arial" w:cs="Arial" w:eastAsia="Arial" w:hAnsi="Arial"/>
                <w:sz w:val="16"/>
                <w:szCs w:val="16"/>
                <w:color w:val="auto"/>
              </w:rPr>
              <w:t>10.2</w:t>
            </w:r>
          </w:p>
        </w:tc>
        <w:tc>
          <w:tcPr>
            <w:tcW w:w="10000" w:type="dxa"/>
            <w:vAlign w:val="bottom"/>
            <w:gridSpan w:val="22"/>
          </w:tcPr>
          <w:p>
            <w:pPr>
              <w:spacing w:after="0"/>
              <w:rPr>
                <w:rFonts w:ascii="Arial" w:cs="Arial" w:eastAsia="Arial" w:hAnsi="Arial"/>
                <w:sz w:val="16"/>
                <w:szCs w:val="16"/>
                <w:color w:val="auto"/>
              </w:rPr>
            </w:pPr>
            <w:hyperlink r:id="rId214">
              <w:r>
                <w:rPr>
                  <w:rFonts w:ascii="Arial" w:cs="Arial" w:eastAsia="Arial" w:hAnsi="Arial"/>
                  <w:sz w:val="16"/>
                  <w:szCs w:val="16"/>
                  <w:color w:val="auto"/>
                </w:rPr>
                <w:t>The Eagle Materials Inc. Amended and Restated Incentive Plan, filed as Exhibit A to the Company’s Schedule 14A filed with the</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62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14">
              <w:r>
                <w:rPr>
                  <w:rFonts w:ascii="Arial" w:cs="Arial" w:eastAsia="Arial" w:hAnsi="Arial"/>
                  <w:sz w:val="15"/>
                  <w:szCs w:val="15"/>
                  <w:color w:val="auto"/>
                </w:rPr>
                <w:t xml:space="preserve">Commission on June 21, 2013 (File No. 001-12984) and incorporated herein by reference. </w:t>
              </w:r>
              <w:r>
                <w:rPr>
                  <w:rFonts w:ascii="Arial" w:cs="Arial" w:eastAsia="Arial" w:hAnsi="Arial"/>
                  <w:sz w:val="19"/>
                  <w:szCs w:val="19"/>
                  <w:color w:val="auto"/>
                  <w:vertAlign w:val="superscript"/>
                </w:rPr>
                <w:t>(1)</w:t>
              </w:r>
            </w:hyperlink>
          </w:p>
        </w:tc>
        <w:tc>
          <w:tcPr>
            <w:tcW w:w="2520" w:type="dxa"/>
            <w:vAlign w:val="bottom"/>
            <w:tcBorders>
              <w:top w:val="single" w:sz="8" w:color="0000EE"/>
            </w:tcBorders>
            <w:gridSpan w:val="5"/>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33"/>
        </w:trPr>
        <w:tc>
          <w:tcPr>
            <w:tcW w:w="1220" w:type="dxa"/>
            <w:vAlign w:val="bottom"/>
          </w:tcPr>
          <w:p>
            <w:pPr>
              <w:spacing w:after="0"/>
              <w:rPr>
                <w:sz w:val="20"/>
                <w:szCs w:val="20"/>
                <w:color w:val="auto"/>
              </w:rPr>
            </w:pPr>
            <w:r>
              <w:rPr>
                <w:rFonts w:ascii="Arial" w:cs="Arial" w:eastAsia="Arial" w:hAnsi="Arial"/>
                <w:sz w:val="16"/>
                <w:szCs w:val="16"/>
                <w:color w:val="auto"/>
              </w:rPr>
              <w:t>10.2(a)</w:t>
            </w:r>
          </w:p>
        </w:tc>
        <w:tc>
          <w:tcPr>
            <w:tcW w:w="10000" w:type="dxa"/>
            <w:vAlign w:val="bottom"/>
            <w:gridSpan w:val="22"/>
          </w:tcPr>
          <w:p>
            <w:pPr>
              <w:spacing w:after="0"/>
              <w:rPr>
                <w:rFonts w:ascii="Arial" w:cs="Arial" w:eastAsia="Arial" w:hAnsi="Arial"/>
                <w:sz w:val="16"/>
                <w:szCs w:val="16"/>
                <w:color w:val="auto"/>
              </w:rPr>
            </w:pPr>
            <w:hyperlink r:id="rId215">
              <w:r>
                <w:rPr>
                  <w:rFonts w:ascii="Arial" w:cs="Arial" w:eastAsia="Arial" w:hAnsi="Arial"/>
                  <w:sz w:val="16"/>
                  <w:szCs w:val="16"/>
                  <w:color w:val="auto"/>
                </w:rPr>
                <w:t>Amendment to Amended and Restated Incentive Plan, filed as Exhibit 10.4 to the Company’s Quarterly Report on Form 10-Q for the</w:t>
              </w:r>
            </w:hyperlink>
          </w:p>
        </w:tc>
      </w:tr>
      <w:tr>
        <w:trPr>
          <w:trHeight w:val="176"/>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EE"/>
            </w:tcBorders>
            <w:gridSpan w:val="12"/>
          </w:tcPr>
          <w:p>
            <w:pPr>
              <w:spacing w:after="0" w:line="175" w:lineRule="exact"/>
              <w:rPr>
                <w:rFonts w:ascii="Arial" w:cs="Arial" w:eastAsia="Arial" w:hAnsi="Arial"/>
                <w:sz w:val="16"/>
                <w:szCs w:val="16"/>
                <w:color w:val="auto"/>
              </w:rPr>
            </w:pPr>
            <w:hyperlink r:id="rId215">
              <w:r>
                <w:rPr>
                  <w:rFonts w:ascii="Arial" w:cs="Arial" w:eastAsia="Arial" w:hAnsi="Arial"/>
                  <w:sz w:val="16"/>
                  <w:szCs w:val="16"/>
                  <w:color w:val="auto"/>
                </w:rPr>
                <w:t>quarter ended June 30, 2017, filed with the Commission on July 28, 2017 (File No. 001-12984) and incorporated herein by reference.</w:t>
              </w:r>
            </w:hyperlink>
          </w:p>
        </w:tc>
        <w:tc>
          <w:tcPr>
            <w:tcW w:w="140" w:type="dxa"/>
            <w:vAlign w:val="bottom"/>
            <w:gridSpan w:val="3"/>
          </w:tcPr>
          <w:p>
            <w:pPr>
              <w:jc w:val="right"/>
              <w:spacing w:after="0" w:line="113" w:lineRule="exact"/>
              <w:rPr>
                <w:rFonts w:ascii="Arial" w:cs="Arial" w:eastAsia="Arial" w:hAnsi="Arial"/>
                <w:sz w:val="11"/>
                <w:szCs w:val="11"/>
                <w:color w:val="auto"/>
                <w:w w:val="88"/>
              </w:rPr>
            </w:pPr>
            <w:hyperlink r:id="rId215">
              <w:r>
                <w:rPr>
                  <w:rFonts w:ascii="Arial" w:cs="Arial" w:eastAsia="Arial" w:hAnsi="Arial"/>
                  <w:sz w:val="11"/>
                  <w:szCs w:val="11"/>
                  <w:color w:val="auto"/>
                  <w:w w:val="88"/>
                </w:rPr>
                <w:t>(1)</w:t>
              </w:r>
            </w:hyperlink>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439"/>
        </w:trPr>
        <w:tc>
          <w:tcPr>
            <w:tcW w:w="1220" w:type="dxa"/>
            <w:vAlign w:val="bottom"/>
          </w:tcPr>
          <w:p>
            <w:pPr>
              <w:spacing w:after="0"/>
              <w:rPr>
                <w:sz w:val="20"/>
                <w:szCs w:val="20"/>
                <w:color w:val="auto"/>
              </w:rPr>
            </w:pPr>
            <w:r>
              <w:rPr>
                <w:rFonts w:ascii="Arial" w:cs="Arial" w:eastAsia="Arial" w:hAnsi="Arial"/>
                <w:sz w:val="16"/>
                <w:szCs w:val="16"/>
                <w:color w:val="auto"/>
              </w:rPr>
              <w:t>10.3</w:t>
            </w:r>
          </w:p>
        </w:tc>
        <w:tc>
          <w:tcPr>
            <w:tcW w:w="10000" w:type="dxa"/>
            <w:vAlign w:val="bottom"/>
            <w:gridSpan w:val="22"/>
          </w:tcPr>
          <w:p>
            <w:pPr>
              <w:spacing w:after="0"/>
              <w:rPr>
                <w:rFonts w:ascii="Arial" w:cs="Arial" w:eastAsia="Arial" w:hAnsi="Arial"/>
                <w:sz w:val="16"/>
                <w:szCs w:val="16"/>
                <w:color w:val="auto"/>
              </w:rPr>
            </w:pPr>
            <w:hyperlink r:id="rId216">
              <w:r>
                <w:rPr>
                  <w:rFonts w:ascii="Arial" w:cs="Arial" w:eastAsia="Arial" w:hAnsi="Arial"/>
                  <w:sz w:val="16"/>
                  <w:szCs w:val="16"/>
                  <w:color w:val="auto"/>
                </w:rPr>
                <w:t>Form of Restricted Stock Unit Agreement for Non-Employee Directors filed as Exhibit 10.1 to the Company’s Current Report on Form 8-K</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20" w:type="dxa"/>
            <w:vAlign w:val="bottom"/>
            <w:tcBorders>
              <w:top w:val="single" w:sz="8" w:color="0000EE"/>
              <w:bottom w:val="single" w:sz="8" w:color="0000EE"/>
            </w:tcBorders>
            <w:gridSpan w:val="6"/>
          </w:tcPr>
          <w:p>
            <w:pPr>
              <w:spacing w:after="0" w:line="169" w:lineRule="exact"/>
              <w:rPr>
                <w:rFonts w:ascii="Arial" w:cs="Arial" w:eastAsia="Arial" w:hAnsi="Arial"/>
                <w:sz w:val="15"/>
                <w:szCs w:val="15"/>
                <w:color w:val="auto"/>
              </w:rPr>
            </w:pPr>
            <w:hyperlink r:id="rId216">
              <w:r>
                <w:rPr>
                  <w:rFonts w:ascii="Arial" w:cs="Arial" w:eastAsia="Arial" w:hAnsi="Arial"/>
                  <w:sz w:val="15"/>
                  <w:szCs w:val="15"/>
                  <w:color w:val="auto"/>
                </w:rPr>
                <w:t xml:space="preserve">filed with the Commission on August 1, 2006 (File No. 001-12984) and incorporated herein by reference. </w:t>
              </w:r>
              <w:r>
                <w:rPr>
                  <w:rFonts w:ascii="Arial" w:cs="Arial" w:eastAsia="Arial" w:hAnsi="Arial"/>
                  <w:sz w:val="19"/>
                  <w:szCs w:val="19"/>
                  <w:color w:val="auto"/>
                  <w:vertAlign w:val="superscript"/>
                </w:rPr>
                <w:t>(1)</w:t>
              </w:r>
            </w:hyperlink>
          </w:p>
        </w:tc>
        <w:tc>
          <w:tcPr>
            <w:tcW w:w="222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Arial" w:cs="Arial" w:eastAsia="Arial" w:hAnsi="Arial"/>
                <w:sz w:val="16"/>
                <w:szCs w:val="16"/>
                <w:color w:val="auto"/>
              </w:rPr>
              <w:t>10.4</w:t>
            </w:r>
          </w:p>
        </w:tc>
        <w:tc>
          <w:tcPr>
            <w:tcW w:w="10000" w:type="dxa"/>
            <w:vAlign w:val="bottom"/>
            <w:gridSpan w:val="22"/>
          </w:tcPr>
          <w:p>
            <w:pPr>
              <w:spacing w:after="0"/>
              <w:rPr>
                <w:rFonts w:ascii="Arial" w:cs="Arial" w:eastAsia="Arial" w:hAnsi="Arial"/>
                <w:sz w:val="16"/>
                <w:szCs w:val="16"/>
                <w:color w:val="auto"/>
              </w:rPr>
            </w:pPr>
            <w:hyperlink r:id="rId217">
              <w:r>
                <w:rPr>
                  <w:rFonts w:ascii="Arial" w:cs="Arial" w:eastAsia="Arial" w:hAnsi="Arial"/>
                  <w:sz w:val="16"/>
                  <w:szCs w:val="16"/>
                  <w:color w:val="auto"/>
                </w:rPr>
                <w:t>Form of Restricted Stock Agreement filed as Exhibit 10.8 to the Company’s Quarterly Report on Form 10-Q for the quarter ended June 30,</w:t>
              </w:r>
            </w:hyperlink>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EE"/>
            </w:tcBorders>
            <w:gridSpan w:val="20"/>
          </w:tcPr>
          <w:p>
            <w:pPr>
              <w:spacing w:after="0" w:line="169" w:lineRule="exact"/>
              <w:rPr>
                <w:rFonts w:ascii="Arial" w:cs="Arial" w:eastAsia="Arial" w:hAnsi="Arial"/>
                <w:sz w:val="15"/>
                <w:szCs w:val="15"/>
                <w:color w:val="auto"/>
              </w:rPr>
            </w:pPr>
            <w:hyperlink r:id="rId217">
              <w:r>
                <w:rPr>
                  <w:rFonts w:ascii="Arial" w:cs="Arial" w:eastAsia="Arial" w:hAnsi="Arial"/>
                  <w:sz w:val="15"/>
                  <w:szCs w:val="15"/>
                  <w:color w:val="auto"/>
                </w:rPr>
                <w:t xml:space="preserve">2010, filed with the Commission on August 6, 2010 (File No. 001-12984) and incorporated herein by reference. </w:t>
              </w:r>
              <w:r>
                <w:rPr>
                  <w:rFonts w:ascii="Arial" w:cs="Arial" w:eastAsia="Arial" w:hAnsi="Arial"/>
                  <w:sz w:val="19"/>
                  <w:szCs w:val="19"/>
                  <w:color w:val="auto"/>
                  <w:vertAlign w:val="superscript"/>
                </w:rPr>
                <w:t>(1)</w:t>
              </w:r>
            </w:hyperlink>
          </w:p>
        </w:tc>
        <w:tc>
          <w:tcPr>
            <w:tcW w:w="6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10.5</w:t>
            </w:r>
          </w:p>
        </w:tc>
        <w:tc>
          <w:tcPr>
            <w:tcW w:w="10000" w:type="dxa"/>
            <w:vAlign w:val="bottom"/>
            <w:gridSpan w:val="22"/>
          </w:tcPr>
          <w:p>
            <w:pPr>
              <w:spacing w:after="0"/>
              <w:rPr>
                <w:rFonts w:ascii="Arial" w:cs="Arial" w:eastAsia="Arial" w:hAnsi="Arial"/>
                <w:sz w:val="16"/>
                <w:szCs w:val="16"/>
                <w:color w:val="auto"/>
              </w:rPr>
            </w:pPr>
            <w:hyperlink r:id="rId218">
              <w:r>
                <w:rPr>
                  <w:rFonts w:ascii="Arial" w:cs="Arial" w:eastAsia="Arial" w:hAnsi="Arial"/>
                  <w:sz w:val="16"/>
                  <w:szCs w:val="16"/>
                  <w:color w:val="auto"/>
                </w:rPr>
                <w:t>Form of Non-Qualified Stock Option Agreement for Senior Executives filed as Exhibit 10.2 to the Company’s Quarterly Report on Form 10-</w:t>
              </w:r>
            </w:hyperlink>
          </w:p>
        </w:tc>
      </w:tr>
      <w:tr>
        <w:trPr>
          <w:trHeight w:val="169"/>
        </w:trPr>
        <w:tc>
          <w:tcPr>
            <w:tcW w:w="1220" w:type="dxa"/>
            <w:vAlign w:val="bottom"/>
          </w:tcPr>
          <w:p>
            <w:pPr>
              <w:spacing w:after="0"/>
              <w:rPr>
                <w:sz w:val="14"/>
                <w:szCs w:val="14"/>
                <w:color w:val="auto"/>
              </w:rPr>
            </w:pPr>
          </w:p>
        </w:tc>
        <w:tc>
          <w:tcPr>
            <w:tcW w:w="990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18">
              <w:r>
                <w:rPr>
                  <w:rFonts w:ascii="Arial" w:cs="Arial" w:eastAsia="Arial" w:hAnsi="Arial"/>
                  <w:sz w:val="16"/>
                  <w:szCs w:val="16"/>
                  <w:color w:val="auto"/>
                </w:rPr>
                <w:t>Q for the quarter ended September 30, 2013, filed with the Commission on November 7, 2013 (File No. 001-12984) and incorporated</w:t>
              </w:r>
            </w:hyperlink>
          </w:p>
        </w:tc>
        <w:tc>
          <w:tcPr>
            <w:tcW w:w="100" w:type="dxa"/>
            <w:vAlign w:val="bottom"/>
            <w:gridSpan w:val="2"/>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00" w:type="dxa"/>
            <w:vAlign w:val="bottom"/>
            <w:tcBorders>
              <w:top w:val="single" w:sz="8" w:color="0000EE"/>
              <w:bottom w:val="single" w:sz="8" w:color="0000EE"/>
            </w:tcBorders>
            <w:gridSpan w:val="2"/>
          </w:tcPr>
          <w:p>
            <w:pPr>
              <w:spacing w:after="0" w:line="169" w:lineRule="exact"/>
              <w:rPr>
                <w:rFonts w:ascii="Arial" w:cs="Arial" w:eastAsia="Arial" w:hAnsi="Arial"/>
                <w:sz w:val="15"/>
                <w:szCs w:val="15"/>
                <w:color w:val="auto"/>
              </w:rPr>
            </w:pPr>
            <w:hyperlink r:id="rId218">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79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10.6</w:t>
            </w:r>
          </w:p>
        </w:tc>
        <w:tc>
          <w:tcPr>
            <w:tcW w:w="10000" w:type="dxa"/>
            <w:vAlign w:val="bottom"/>
            <w:gridSpan w:val="22"/>
          </w:tcPr>
          <w:p>
            <w:pPr>
              <w:spacing w:after="0"/>
              <w:rPr>
                <w:rFonts w:ascii="Arial" w:cs="Arial" w:eastAsia="Arial" w:hAnsi="Arial"/>
                <w:sz w:val="16"/>
                <w:szCs w:val="16"/>
                <w:color w:val="auto"/>
              </w:rPr>
            </w:pPr>
            <w:hyperlink r:id="rId219">
              <w:r>
                <w:rPr>
                  <w:rFonts w:ascii="Arial" w:cs="Arial" w:eastAsia="Arial" w:hAnsi="Arial"/>
                  <w:sz w:val="16"/>
                  <w:szCs w:val="16"/>
                  <w:color w:val="auto"/>
                </w:rPr>
                <w:t>Form of Restricted Stock Agreement for Non-Employee Directors filed as Exhibit 10.5 to the Company’s Quarterly Report on Form 10-Q for</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19">
              <w:r>
                <w:rPr>
                  <w:rFonts w:ascii="Arial" w:cs="Arial" w:eastAsia="Arial" w:hAnsi="Arial"/>
                  <w:sz w:val="16"/>
                  <w:szCs w:val="16"/>
                  <w:color w:val="auto"/>
                </w:rPr>
                <w:t>the quarter ended September 30, 2013, filed with the Commission on November 7, 2013 (File No. 001-12984) and incorporated herein by</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0" w:type="dxa"/>
            <w:vAlign w:val="bottom"/>
            <w:tcBorders>
              <w:top w:val="single" w:sz="8" w:color="0000EE"/>
              <w:bottom w:val="single" w:sz="8" w:color="0000EE"/>
            </w:tcBorders>
          </w:tcPr>
          <w:p>
            <w:pPr>
              <w:spacing w:after="0" w:line="169" w:lineRule="exact"/>
              <w:rPr>
                <w:rFonts w:ascii="Arial" w:cs="Arial" w:eastAsia="Arial" w:hAnsi="Arial"/>
                <w:sz w:val="15"/>
                <w:szCs w:val="15"/>
                <w:color w:val="auto"/>
                <w:w w:val="98"/>
              </w:rPr>
            </w:pPr>
            <w:hyperlink r:id="rId219">
              <w:r>
                <w:rPr>
                  <w:rFonts w:ascii="Arial" w:cs="Arial" w:eastAsia="Arial" w:hAnsi="Arial"/>
                  <w:sz w:val="15"/>
                  <w:szCs w:val="15"/>
                  <w:color w:val="auto"/>
                  <w:w w:val="98"/>
                </w:rPr>
                <w:t xml:space="preserve">reference. </w:t>
              </w:r>
              <w:r>
                <w:rPr>
                  <w:rFonts w:ascii="Arial" w:cs="Arial" w:eastAsia="Arial" w:hAnsi="Arial"/>
                  <w:sz w:val="19"/>
                  <w:szCs w:val="19"/>
                  <w:color w:val="auto"/>
                  <w:w w:val="98"/>
                  <w:vertAlign w:val="superscript"/>
                </w:rPr>
                <w:t>(1)</w:t>
              </w:r>
            </w:hyperlink>
          </w:p>
        </w:tc>
        <w:tc>
          <w:tcPr>
            <w:tcW w:w="8980" w:type="dxa"/>
            <w:vAlign w:val="bottom"/>
            <w:tcBorders>
              <w:top w:val="single" w:sz="8" w:color="0000EE"/>
            </w:tcBorders>
            <w:gridSpan w:val="17"/>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10.7</w:t>
            </w:r>
          </w:p>
        </w:tc>
        <w:tc>
          <w:tcPr>
            <w:tcW w:w="10000" w:type="dxa"/>
            <w:vAlign w:val="bottom"/>
            <w:gridSpan w:val="22"/>
          </w:tcPr>
          <w:p>
            <w:pPr>
              <w:spacing w:after="0"/>
              <w:rPr>
                <w:rFonts w:ascii="Arial" w:cs="Arial" w:eastAsia="Arial" w:hAnsi="Arial"/>
                <w:sz w:val="16"/>
                <w:szCs w:val="16"/>
                <w:color w:val="auto"/>
              </w:rPr>
            </w:pPr>
            <w:hyperlink r:id="rId220">
              <w:r>
                <w:rPr>
                  <w:rFonts w:ascii="Arial" w:cs="Arial" w:eastAsia="Arial" w:hAnsi="Arial"/>
                  <w:sz w:val="16"/>
                  <w:szCs w:val="16"/>
                  <w:color w:val="auto"/>
                </w:rPr>
                <w:t>Form of Non-Qualified Stock Option Agreement for Senior Executives filed as Exhibit 10.2 to the Company’s Quarterly Report on Form 10-</w:t>
              </w:r>
            </w:hyperlink>
          </w:p>
        </w:tc>
      </w:tr>
      <w:tr>
        <w:trPr>
          <w:trHeight w:val="169"/>
        </w:trPr>
        <w:tc>
          <w:tcPr>
            <w:tcW w:w="1220" w:type="dxa"/>
            <w:vAlign w:val="bottom"/>
          </w:tcPr>
          <w:p>
            <w:pPr>
              <w:spacing w:after="0"/>
              <w:rPr>
                <w:sz w:val="14"/>
                <w:szCs w:val="14"/>
                <w:color w:val="auto"/>
              </w:rPr>
            </w:pPr>
          </w:p>
        </w:tc>
        <w:tc>
          <w:tcPr>
            <w:tcW w:w="990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20">
              <w:r>
                <w:rPr>
                  <w:rFonts w:ascii="Arial" w:cs="Arial" w:eastAsia="Arial" w:hAnsi="Arial"/>
                  <w:sz w:val="16"/>
                  <w:szCs w:val="16"/>
                  <w:color w:val="auto"/>
                </w:rPr>
                <w:t>Q for the quarter ended September 30, 2014, filed with the Commission on November 5, 2014 (File No. 001-12984) and incorporated</w:t>
              </w:r>
            </w:hyperlink>
          </w:p>
        </w:tc>
        <w:tc>
          <w:tcPr>
            <w:tcW w:w="100" w:type="dxa"/>
            <w:vAlign w:val="bottom"/>
            <w:gridSpan w:val="2"/>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00" w:type="dxa"/>
            <w:vAlign w:val="bottom"/>
            <w:tcBorders>
              <w:top w:val="single" w:sz="8" w:color="0000EE"/>
              <w:bottom w:val="single" w:sz="8" w:color="0000EE"/>
            </w:tcBorders>
            <w:gridSpan w:val="2"/>
          </w:tcPr>
          <w:p>
            <w:pPr>
              <w:spacing w:after="0" w:line="169" w:lineRule="exact"/>
              <w:rPr>
                <w:rFonts w:ascii="Arial" w:cs="Arial" w:eastAsia="Arial" w:hAnsi="Arial"/>
                <w:sz w:val="15"/>
                <w:szCs w:val="15"/>
                <w:color w:val="auto"/>
              </w:rPr>
            </w:pPr>
            <w:hyperlink r:id="rId220">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79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10.7(a)</w:t>
            </w:r>
          </w:p>
        </w:tc>
        <w:tc>
          <w:tcPr>
            <w:tcW w:w="10000" w:type="dxa"/>
            <w:vAlign w:val="bottom"/>
            <w:gridSpan w:val="22"/>
          </w:tcPr>
          <w:p>
            <w:pPr>
              <w:spacing w:after="0"/>
              <w:rPr>
                <w:rFonts w:ascii="Arial" w:cs="Arial" w:eastAsia="Arial" w:hAnsi="Arial"/>
                <w:sz w:val="16"/>
                <w:szCs w:val="16"/>
                <w:color w:val="auto"/>
              </w:rPr>
            </w:pPr>
            <w:hyperlink r:id="rId221">
              <w:r>
                <w:rPr>
                  <w:rFonts w:ascii="Arial" w:cs="Arial" w:eastAsia="Arial" w:hAnsi="Arial"/>
                  <w:sz w:val="16"/>
                  <w:szCs w:val="16"/>
                  <w:color w:val="auto"/>
                </w:rPr>
                <w:t>Form of Non-Qualified Stock Option Agreement for Non-Employee Directors filed as Exhibit 10.4 to the Company’s Quarterly Report on</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21">
              <w:r>
                <w:rPr>
                  <w:rFonts w:ascii="Arial" w:cs="Arial" w:eastAsia="Arial" w:hAnsi="Arial"/>
                  <w:sz w:val="16"/>
                  <w:szCs w:val="16"/>
                  <w:color w:val="auto"/>
                </w:rPr>
                <w:t>Form 10-Q for the quarter ended September 30, 2014, filed with the Commission on November 5, 2014 (File No. 001-12984) and</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21">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720" w:type="dxa"/>
            <w:vAlign w:val="bottom"/>
            <w:tcBorders>
              <w:top w:val="single" w:sz="8" w:color="0000EE"/>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10.7(b)</w:t>
            </w:r>
          </w:p>
        </w:tc>
        <w:tc>
          <w:tcPr>
            <w:tcW w:w="10000" w:type="dxa"/>
            <w:vAlign w:val="bottom"/>
            <w:gridSpan w:val="22"/>
          </w:tcPr>
          <w:p>
            <w:pPr>
              <w:spacing w:after="0"/>
              <w:rPr>
                <w:rFonts w:ascii="Arial" w:cs="Arial" w:eastAsia="Arial" w:hAnsi="Arial"/>
                <w:sz w:val="16"/>
                <w:szCs w:val="16"/>
                <w:color w:val="auto"/>
              </w:rPr>
            </w:pPr>
            <w:hyperlink r:id="rId222">
              <w:r>
                <w:rPr>
                  <w:rFonts w:ascii="Arial" w:cs="Arial" w:eastAsia="Arial" w:hAnsi="Arial"/>
                  <w:sz w:val="16"/>
                  <w:szCs w:val="16"/>
                  <w:color w:val="auto"/>
                </w:rPr>
                <w:t>Form of Restricted Stock Agreement for Non-Employee Directors filed as Exhibit 10.5 to the Company’s Quarterly Report on Form 10-Q for</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22">
              <w:r>
                <w:rPr>
                  <w:rFonts w:ascii="Arial" w:cs="Arial" w:eastAsia="Arial" w:hAnsi="Arial"/>
                  <w:sz w:val="16"/>
                  <w:szCs w:val="16"/>
                  <w:color w:val="auto"/>
                </w:rPr>
                <w:t>the quarter ended September 30, 2014, filed with the Commission on November 5, 2014 (File No. 001-12984) and incorporated herein by</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0" w:type="dxa"/>
            <w:vAlign w:val="bottom"/>
            <w:tcBorders>
              <w:top w:val="single" w:sz="8" w:color="0000EE"/>
              <w:bottom w:val="single" w:sz="8" w:color="0000EE"/>
            </w:tcBorders>
          </w:tcPr>
          <w:p>
            <w:pPr>
              <w:spacing w:after="0" w:line="169" w:lineRule="exact"/>
              <w:rPr>
                <w:rFonts w:ascii="Arial" w:cs="Arial" w:eastAsia="Arial" w:hAnsi="Arial"/>
                <w:sz w:val="15"/>
                <w:szCs w:val="15"/>
                <w:color w:val="auto"/>
                <w:w w:val="98"/>
              </w:rPr>
            </w:pPr>
            <w:hyperlink r:id="rId222">
              <w:r>
                <w:rPr>
                  <w:rFonts w:ascii="Arial" w:cs="Arial" w:eastAsia="Arial" w:hAnsi="Arial"/>
                  <w:sz w:val="15"/>
                  <w:szCs w:val="15"/>
                  <w:color w:val="auto"/>
                  <w:w w:val="98"/>
                </w:rPr>
                <w:t xml:space="preserve">reference. </w:t>
              </w:r>
              <w:r>
                <w:rPr>
                  <w:rFonts w:ascii="Arial" w:cs="Arial" w:eastAsia="Arial" w:hAnsi="Arial"/>
                  <w:sz w:val="19"/>
                  <w:szCs w:val="19"/>
                  <w:color w:val="auto"/>
                  <w:w w:val="98"/>
                  <w:vertAlign w:val="superscript"/>
                </w:rPr>
                <w:t>(1)</w:t>
              </w:r>
            </w:hyperlink>
          </w:p>
        </w:tc>
        <w:tc>
          <w:tcPr>
            <w:tcW w:w="8980" w:type="dxa"/>
            <w:vAlign w:val="bottom"/>
            <w:tcBorders>
              <w:top w:val="single" w:sz="8" w:color="0000EE"/>
            </w:tcBorders>
            <w:gridSpan w:val="17"/>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10.8</w:t>
            </w:r>
          </w:p>
        </w:tc>
        <w:tc>
          <w:tcPr>
            <w:tcW w:w="10000" w:type="dxa"/>
            <w:vAlign w:val="bottom"/>
            <w:gridSpan w:val="22"/>
          </w:tcPr>
          <w:p>
            <w:pPr>
              <w:spacing w:after="0"/>
              <w:rPr>
                <w:rFonts w:ascii="Arial" w:cs="Arial" w:eastAsia="Arial" w:hAnsi="Arial"/>
                <w:sz w:val="16"/>
                <w:szCs w:val="16"/>
                <w:color w:val="auto"/>
              </w:rPr>
            </w:pPr>
            <w:hyperlink r:id="rId223">
              <w:r>
                <w:rPr>
                  <w:rFonts w:ascii="Arial" w:cs="Arial" w:eastAsia="Arial" w:hAnsi="Arial"/>
                  <w:sz w:val="16"/>
                  <w:szCs w:val="16"/>
                  <w:color w:val="auto"/>
                </w:rPr>
                <w:t>Form of Non-Qualified Stock Option Agreement for Senior Executives filed as Exhibit 10.6 to the Company’s Quarterly Report on Form 10-</w:t>
              </w:r>
            </w:hyperlink>
          </w:p>
        </w:tc>
      </w:tr>
      <w:tr>
        <w:trPr>
          <w:trHeight w:val="169"/>
        </w:trPr>
        <w:tc>
          <w:tcPr>
            <w:tcW w:w="1220" w:type="dxa"/>
            <w:vAlign w:val="bottom"/>
          </w:tcPr>
          <w:p>
            <w:pPr>
              <w:spacing w:after="0"/>
              <w:rPr>
                <w:sz w:val="14"/>
                <w:szCs w:val="14"/>
                <w:color w:val="auto"/>
              </w:rPr>
            </w:pPr>
          </w:p>
        </w:tc>
        <w:tc>
          <w:tcPr>
            <w:tcW w:w="990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23">
              <w:r>
                <w:rPr>
                  <w:rFonts w:ascii="Arial" w:cs="Arial" w:eastAsia="Arial" w:hAnsi="Arial"/>
                  <w:sz w:val="16"/>
                  <w:szCs w:val="16"/>
                  <w:color w:val="auto"/>
                </w:rPr>
                <w:t>Q for the quarter ended June 30, 2015, filed with the Commission on August 4, 2015 (File No. 001-12984) and incorporated herein by</w:t>
              </w:r>
            </w:hyperlink>
          </w:p>
        </w:tc>
        <w:tc>
          <w:tcPr>
            <w:tcW w:w="100" w:type="dxa"/>
            <w:vAlign w:val="bottom"/>
            <w:gridSpan w:val="2"/>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0" w:type="dxa"/>
            <w:vAlign w:val="bottom"/>
            <w:tcBorders>
              <w:top w:val="single" w:sz="8" w:color="0000EE"/>
              <w:bottom w:val="single" w:sz="8" w:color="0000EE"/>
            </w:tcBorders>
          </w:tcPr>
          <w:p>
            <w:pPr>
              <w:spacing w:after="0" w:line="169" w:lineRule="exact"/>
              <w:rPr>
                <w:rFonts w:ascii="Arial" w:cs="Arial" w:eastAsia="Arial" w:hAnsi="Arial"/>
                <w:sz w:val="15"/>
                <w:szCs w:val="15"/>
                <w:color w:val="auto"/>
                <w:w w:val="98"/>
              </w:rPr>
            </w:pPr>
            <w:hyperlink r:id="rId223">
              <w:r>
                <w:rPr>
                  <w:rFonts w:ascii="Arial" w:cs="Arial" w:eastAsia="Arial" w:hAnsi="Arial"/>
                  <w:sz w:val="15"/>
                  <w:szCs w:val="15"/>
                  <w:color w:val="auto"/>
                  <w:w w:val="98"/>
                </w:rPr>
                <w:t xml:space="preserve">reference. </w:t>
              </w:r>
              <w:r>
                <w:rPr>
                  <w:rFonts w:ascii="Arial" w:cs="Arial" w:eastAsia="Arial" w:hAnsi="Arial"/>
                  <w:sz w:val="19"/>
                  <w:szCs w:val="19"/>
                  <w:color w:val="auto"/>
                  <w:w w:val="98"/>
                  <w:vertAlign w:val="superscript"/>
                </w:rPr>
                <w:t>(1)</w:t>
              </w:r>
            </w:hyperlink>
          </w:p>
        </w:tc>
        <w:tc>
          <w:tcPr>
            <w:tcW w:w="8700" w:type="dxa"/>
            <w:vAlign w:val="bottom"/>
            <w:tcBorders>
              <w:top w:val="single" w:sz="8" w:color="0000EE"/>
            </w:tcBorders>
            <w:gridSpan w:val="13"/>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10.8(a)</w:t>
            </w:r>
          </w:p>
        </w:tc>
        <w:tc>
          <w:tcPr>
            <w:tcW w:w="10000" w:type="dxa"/>
            <w:vAlign w:val="bottom"/>
            <w:gridSpan w:val="22"/>
          </w:tcPr>
          <w:p>
            <w:pPr>
              <w:spacing w:after="0"/>
              <w:rPr>
                <w:rFonts w:ascii="Arial" w:cs="Arial" w:eastAsia="Arial" w:hAnsi="Arial"/>
                <w:sz w:val="16"/>
                <w:szCs w:val="16"/>
                <w:color w:val="auto"/>
              </w:rPr>
            </w:pPr>
            <w:hyperlink r:id="rId224">
              <w:r>
                <w:rPr>
                  <w:rFonts w:ascii="Arial" w:cs="Arial" w:eastAsia="Arial" w:hAnsi="Arial"/>
                  <w:sz w:val="16"/>
                  <w:szCs w:val="16"/>
                  <w:color w:val="auto"/>
                </w:rPr>
                <w:t>Form of Non-Qualified Stock Option Agreement for Non-Employee Directors filed as Exhibit 10.2 to the Company’s Quarterly Report on</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24">
              <w:r>
                <w:rPr>
                  <w:rFonts w:ascii="Arial" w:cs="Arial" w:eastAsia="Arial" w:hAnsi="Arial"/>
                  <w:sz w:val="16"/>
                  <w:szCs w:val="16"/>
                  <w:color w:val="auto"/>
                </w:rPr>
                <w:t>Form 10-Q for the quarter ended September 30, 2015, filed with the Commission on October 27, 2015 (File No. 001-12984) and</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24">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640" w:type="dxa"/>
            <w:vAlign w:val="bottom"/>
            <w:tcBorders>
              <w:top w:val="single" w:sz="8" w:color="0000EE"/>
            </w:tcBorders>
            <w:gridSpan w:val="7"/>
          </w:tcPr>
          <w:p>
            <w:pPr>
              <w:spacing w:after="0"/>
              <w:rPr>
                <w:sz w:val="14"/>
                <w:szCs w:val="14"/>
                <w:color w:val="auto"/>
              </w:rPr>
            </w:pPr>
          </w:p>
        </w:tc>
        <w:tc>
          <w:tcPr>
            <w:tcW w:w="48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10.8(b)</w:t>
            </w:r>
          </w:p>
        </w:tc>
        <w:tc>
          <w:tcPr>
            <w:tcW w:w="10000" w:type="dxa"/>
            <w:vAlign w:val="bottom"/>
            <w:gridSpan w:val="22"/>
          </w:tcPr>
          <w:p>
            <w:pPr>
              <w:spacing w:after="0"/>
              <w:rPr>
                <w:rFonts w:ascii="Arial" w:cs="Arial" w:eastAsia="Arial" w:hAnsi="Arial"/>
                <w:sz w:val="16"/>
                <w:szCs w:val="16"/>
                <w:color w:val="auto"/>
              </w:rPr>
            </w:pPr>
            <w:hyperlink r:id="rId225">
              <w:r>
                <w:rPr>
                  <w:rFonts w:ascii="Arial" w:cs="Arial" w:eastAsia="Arial" w:hAnsi="Arial"/>
                  <w:sz w:val="16"/>
                  <w:szCs w:val="16"/>
                  <w:color w:val="auto"/>
                </w:rPr>
                <w:t>Form of Restricted Stock Agreement for Non-Employee Directors filed as Exhibit 10.3 to the Company’s Quarterly Report on Form 10-Q for</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25">
              <w:r>
                <w:rPr>
                  <w:rFonts w:ascii="Arial" w:cs="Arial" w:eastAsia="Arial" w:hAnsi="Arial"/>
                  <w:sz w:val="16"/>
                  <w:szCs w:val="16"/>
                  <w:color w:val="auto"/>
                </w:rPr>
                <w:t>the quarter ended September 30, 2015, filed with the Commission on October 27, 2015 (File No. 001-12984) and incorporated herein by</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0" w:type="dxa"/>
            <w:vAlign w:val="bottom"/>
            <w:tcBorders>
              <w:top w:val="single" w:sz="8" w:color="0000EE"/>
              <w:bottom w:val="single" w:sz="8" w:color="0000EE"/>
            </w:tcBorders>
          </w:tcPr>
          <w:p>
            <w:pPr>
              <w:spacing w:after="0" w:line="169" w:lineRule="exact"/>
              <w:rPr>
                <w:rFonts w:ascii="Arial" w:cs="Arial" w:eastAsia="Arial" w:hAnsi="Arial"/>
                <w:sz w:val="15"/>
                <w:szCs w:val="15"/>
                <w:color w:val="auto"/>
                <w:w w:val="98"/>
              </w:rPr>
            </w:pPr>
            <w:hyperlink r:id="rId225">
              <w:r>
                <w:rPr>
                  <w:rFonts w:ascii="Arial" w:cs="Arial" w:eastAsia="Arial" w:hAnsi="Arial"/>
                  <w:sz w:val="15"/>
                  <w:szCs w:val="15"/>
                  <w:color w:val="auto"/>
                  <w:w w:val="98"/>
                </w:rPr>
                <w:t xml:space="preserve">reference. </w:t>
              </w:r>
              <w:r>
                <w:rPr>
                  <w:rFonts w:ascii="Arial" w:cs="Arial" w:eastAsia="Arial" w:hAnsi="Arial"/>
                  <w:sz w:val="19"/>
                  <w:szCs w:val="19"/>
                  <w:color w:val="auto"/>
                  <w:w w:val="98"/>
                  <w:vertAlign w:val="superscript"/>
                </w:rPr>
                <w:t>(1)</w:t>
              </w:r>
            </w:hyperlink>
          </w:p>
        </w:tc>
        <w:tc>
          <w:tcPr>
            <w:tcW w:w="8900" w:type="dxa"/>
            <w:vAlign w:val="bottom"/>
            <w:tcBorders>
              <w:top w:val="single" w:sz="8" w:color="0000EE"/>
            </w:tcBorders>
            <w:gridSpan w:val="15"/>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10.9</w:t>
            </w:r>
          </w:p>
        </w:tc>
        <w:tc>
          <w:tcPr>
            <w:tcW w:w="10000" w:type="dxa"/>
            <w:vAlign w:val="bottom"/>
            <w:gridSpan w:val="22"/>
          </w:tcPr>
          <w:p>
            <w:pPr>
              <w:spacing w:after="0"/>
              <w:rPr>
                <w:rFonts w:ascii="Arial" w:cs="Arial" w:eastAsia="Arial" w:hAnsi="Arial"/>
                <w:sz w:val="16"/>
                <w:szCs w:val="16"/>
                <w:color w:val="auto"/>
              </w:rPr>
            </w:pPr>
            <w:hyperlink r:id="rId226">
              <w:r>
                <w:rPr>
                  <w:rFonts w:ascii="Arial" w:cs="Arial" w:eastAsia="Arial" w:hAnsi="Arial"/>
                  <w:sz w:val="16"/>
                  <w:szCs w:val="16"/>
                  <w:color w:val="auto"/>
                </w:rPr>
                <w:t>Form of Non-Qualified Stock Option Agreement for Non-Employee Directors filed as Exhibit 10.2 to the Company’s Quarterly Report on</w:t>
              </w:r>
            </w:hyperlink>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320" w:type="dxa"/>
            <w:vAlign w:val="bottom"/>
            <w:tcBorders>
              <w:left w:val="single" w:sz="8" w:color="0000EE"/>
            </w:tcBorders>
            <w:gridSpan w:val="6"/>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2"/>
          </w:tcPr>
          <w:p>
            <w:pPr>
              <w:spacing w:after="0" w:line="169" w:lineRule="exact"/>
              <w:rPr>
                <w:rFonts w:ascii="Arial" w:cs="Arial" w:eastAsia="Arial" w:hAnsi="Arial"/>
                <w:sz w:val="16"/>
                <w:szCs w:val="16"/>
                <w:color w:val="auto"/>
              </w:rPr>
            </w:pPr>
            <w:hyperlink r:id="rId226">
              <w:r>
                <w:rPr>
                  <w:rFonts w:ascii="Arial" w:cs="Arial" w:eastAsia="Arial" w:hAnsi="Arial"/>
                  <w:sz w:val="16"/>
                  <w:szCs w:val="16"/>
                  <w:color w:val="auto"/>
                </w:rPr>
                <w:t>Form 10-Q for the quarter ended September 30, 2016, filed with the Commission on October 24, 2016 (File No. 001-12984) and</w:t>
              </w:r>
            </w:hyperlink>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26">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640" w:type="dxa"/>
            <w:vAlign w:val="bottom"/>
            <w:tcBorders>
              <w:top w:val="single" w:sz="8" w:color="0000EE"/>
            </w:tcBorders>
            <w:gridSpan w:val="7"/>
          </w:tcPr>
          <w:p>
            <w:pPr>
              <w:spacing w:after="0"/>
              <w:rPr>
                <w:sz w:val="14"/>
                <w:szCs w:val="14"/>
                <w:color w:val="auto"/>
              </w:rPr>
            </w:pPr>
          </w:p>
        </w:tc>
        <w:tc>
          <w:tcPr>
            <w:tcW w:w="480" w:type="dxa"/>
            <w:vAlign w:val="bottom"/>
            <w:gridSpan w:val="5"/>
          </w:tcPr>
          <w:p>
            <w:pPr>
              <w:spacing w:after="0"/>
              <w:rPr>
                <w:sz w:val="14"/>
                <w:szCs w:val="14"/>
                <w:color w:val="auto"/>
              </w:rPr>
            </w:pPr>
          </w:p>
        </w:tc>
        <w:tc>
          <w:tcPr>
            <w:tcW w:w="320" w:type="dxa"/>
            <w:vAlign w:val="bottom"/>
            <w:gridSpan w:val="6"/>
          </w:tcPr>
          <w:p>
            <w:pPr>
              <w:spacing w:after="0"/>
              <w:rPr>
                <w:sz w:val="14"/>
                <w:szCs w:val="14"/>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10.9(a)</w:t>
            </w:r>
          </w:p>
        </w:tc>
        <w:tc>
          <w:tcPr>
            <w:tcW w:w="9980" w:type="dxa"/>
            <w:vAlign w:val="bottom"/>
            <w:gridSpan w:val="22"/>
          </w:tcPr>
          <w:p>
            <w:pPr>
              <w:spacing w:after="0"/>
              <w:rPr>
                <w:rFonts w:ascii="Arial" w:cs="Arial" w:eastAsia="Arial" w:hAnsi="Arial"/>
                <w:sz w:val="16"/>
                <w:szCs w:val="16"/>
                <w:color w:val="auto"/>
              </w:rPr>
            </w:pPr>
            <w:hyperlink r:id="rId228">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4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28">
              <w:r>
                <w:rPr>
                  <w:rFonts w:ascii="Arial" w:cs="Arial" w:eastAsia="Arial" w:hAnsi="Arial"/>
                  <w:sz w:val="16"/>
                  <w:szCs w:val="16"/>
                  <w:color w:val="auto"/>
                </w:rPr>
                <w:t>the quarter ended September 30, 2016, filed with the Commission on October 24, 2016 (File No. 001-12984) and incorporated herein by</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0" w:type="dxa"/>
            <w:vAlign w:val="bottom"/>
            <w:tcBorders>
              <w:top w:val="single" w:sz="8" w:color="0000EE"/>
              <w:bottom w:val="single" w:sz="8" w:color="0000EE"/>
            </w:tcBorders>
          </w:tcPr>
          <w:p>
            <w:pPr>
              <w:spacing w:after="0" w:line="169" w:lineRule="exact"/>
              <w:rPr>
                <w:rFonts w:ascii="Arial" w:cs="Arial" w:eastAsia="Arial" w:hAnsi="Arial"/>
                <w:sz w:val="15"/>
                <w:szCs w:val="15"/>
                <w:color w:val="auto"/>
                <w:w w:val="98"/>
              </w:rPr>
            </w:pPr>
            <w:hyperlink r:id="rId228">
              <w:r>
                <w:rPr>
                  <w:rFonts w:ascii="Arial" w:cs="Arial" w:eastAsia="Arial" w:hAnsi="Arial"/>
                  <w:sz w:val="15"/>
                  <w:szCs w:val="15"/>
                  <w:color w:val="auto"/>
                  <w:w w:val="98"/>
                </w:rPr>
                <w:t xml:space="preserve">reference. </w:t>
              </w:r>
              <w:r>
                <w:rPr>
                  <w:rFonts w:ascii="Arial" w:cs="Arial" w:eastAsia="Arial" w:hAnsi="Arial"/>
                  <w:sz w:val="19"/>
                  <w:szCs w:val="19"/>
                  <w:color w:val="auto"/>
                  <w:w w:val="98"/>
                  <w:vertAlign w:val="superscript"/>
                </w:rPr>
                <w:t>(1)</w:t>
              </w:r>
            </w:hyperlink>
          </w:p>
        </w:tc>
        <w:tc>
          <w:tcPr>
            <w:tcW w:w="890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10.9(b)</w:t>
            </w:r>
          </w:p>
        </w:tc>
        <w:tc>
          <w:tcPr>
            <w:tcW w:w="9980" w:type="dxa"/>
            <w:vAlign w:val="bottom"/>
            <w:gridSpan w:val="22"/>
          </w:tcPr>
          <w:p>
            <w:pPr>
              <w:spacing w:after="0"/>
              <w:rPr>
                <w:rFonts w:ascii="Arial" w:cs="Arial" w:eastAsia="Arial" w:hAnsi="Arial"/>
                <w:sz w:val="16"/>
                <w:szCs w:val="16"/>
                <w:color w:val="auto"/>
              </w:rPr>
            </w:pPr>
            <w:hyperlink r:id="rId229">
              <w:r>
                <w:rPr>
                  <w:rFonts w:ascii="Arial" w:cs="Arial" w:eastAsia="Arial" w:hAnsi="Arial"/>
                  <w:sz w:val="16"/>
                  <w:szCs w:val="16"/>
                  <w:color w:val="auto"/>
                </w:rPr>
                <w:t>Form of Performance Vesting Non-Qualified Stock Option Agreement for Senior Executives filed as Exhibit 10.4 to the Company’s</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29">
              <w:r>
                <w:rPr>
                  <w:rFonts w:ascii="Arial" w:cs="Arial" w:eastAsia="Arial" w:hAnsi="Arial"/>
                  <w:sz w:val="16"/>
                  <w:szCs w:val="16"/>
                  <w:color w:val="auto"/>
                </w:rPr>
                <w:t>Quarterly Report on Form 10-Q for the quarter ended September 30, 2016, filed with the Commission on October 24, 2016 (File No. 001-</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9820" w:type="dxa"/>
            <w:vAlign w:val="bottom"/>
            <w:tcBorders>
              <w:top w:val="single" w:sz="8" w:color="0000EE"/>
            </w:tcBorders>
            <w:gridSpan w:val="18"/>
          </w:tcPr>
          <w:p>
            <w:pPr>
              <w:spacing w:after="0" w:line="169" w:lineRule="exact"/>
              <w:rPr>
                <w:rFonts w:ascii="Arial" w:cs="Arial" w:eastAsia="Arial" w:hAnsi="Arial"/>
                <w:sz w:val="15"/>
                <w:szCs w:val="15"/>
                <w:color w:val="auto"/>
              </w:rPr>
            </w:pPr>
            <w:hyperlink r:id="rId229">
              <w:r>
                <w:rPr>
                  <w:rFonts w:ascii="Arial" w:cs="Arial" w:eastAsia="Arial" w:hAnsi="Arial"/>
                  <w:sz w:val="15"/>
                  <w:szCs w:val="15"/>
                  <w:color w:val="auto"/>
                </w:rPr>
                <w:t xml:space="preserve">12984) and incorporated herein by reference. </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10.9(c)</w:t>
            </w:r>
          </w:p>
        </w:tc>
        <w:tc>
          <w:tcPr>
            <w:tcW w:w="9980" w:type="dxa"/>
            <w:vAlign w:val="bottom"/>
            <w:gridSpan w:val="22"/>
          </w:tcPr>
          <w:p>
            <w:pPr>
              <w:spacing w:after="0"/>
              <w:rPr>
                <w:rFonts w:ascii="Arial" w:cs="Arial" w:eastAsia="Arial" w:hAnsi="Arial"/>
                <w:sz w:val="16"/>
                <w:szCs w:val="16"/>
                <w:color w:val="auto"/>
              </w:rPr>
            </w:pPr>
            <w:hyperlink r:id="rId230">
              <w:r>
                <w:rPr>
                  <w:rFonts w:ascii="Arial" w:cs="Arial" w:eastAsia="Arial" w:hAnsi="Arial"/>
                  <w:sz w:val="16"/>
                  <w:szCs w:val="16"/>
                  <w:color w:val="auto"/>
                </w:rPr>
                <w:t>Form of Time Vesting Non-Qualified Stock Option Agreement for Senior Executives filed as Exhibit 10.5 to the Company’s Quarterly Report</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0">
              <w:r>
                <w:rPr>
                  <w:rFonts w:ascii="Arial" w:cs="Arial" w:eastAsia="Arial" w:hAnsi="Arial"/>
                  <w:sz w:val="16"/>
                  <w:szCs w:val="16"/>
                  <w:color w:val="auto"/>
                </w:rPr>
                <w:t>on Form 10-Q for the quarter ended September 30, 2016, filed with the Commission on October 24, 2016 (File No. 001-12984) and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30">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860" w:type="dxa"/>
            <w:vAlign w:val="bottom"/>
            <w:tcBorders>
              <w:top w:val="single" w:sz="8" w:color="0000EE"/>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10.10</w:t>
            </w:r>
          </w:p>
        </w:tc>
        <w:tc>
          <w:tcPr>
            <w:tcW w:w="9980" w:type="dxa"/>
            <w:vAlign w:val="bottom"/>
            <w:gridSpan w:val="22"/>
          </w:tcPr>
          <w:p>
            <w:pPr>
              <w:spacing w:after="0"/>
              <w:rPr>
                <w:rFonts w:ascii="Arial" w:cs="Arial" w:eastAsia="Arial" w:hAnsi="Arial"/>
                <w:sz w:val="16"/>
                <w:szCs w:val="16"/>
                <w:color w:val="auto"/>
              </w:rPr>
            </w:pPr>
            <w:hyperlink r:id="rId231">
              <w:r>
                <w:rPr>
                  <w:rFonts w:ascii="Arial" w:cs="Arial" w:eastAsia="Arial" w:hAnsi="Arial"/>
                  <w:sz w:val="16"/>
                  <w:szCs w:val="16"/>
                  <w:color w:val="auto"/>
                </w:rPr>
                <w:t>Form of Non-Qualified Stock Option Agreement for Non-Employee Directors filed as Exhibit 10.2 to the Company’s Quarterly Report on</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1">
              <w:r>
                <w:rPr>
                  <w:rFonts w:ascii="Arial" w:cs="Arial" w:eastAsia="Arial" w:hAnsi="Arial"/>
                  <w:sz w:val="16"/>
                  <w:szCs w:val="16"/>
                  <w:color w:val="auto"/>
                </w:rPr>
                <w:t>Form 10-Q for the quarter ended September 30, 2017, filed with the Commission on October 25, 2017 (File No. 001-12984) and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31">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640" w:type="dxa"/>
            <w:vAlign w:val="bottom"/>
            <w:tcBorders>
              <w:top w:val="single" w:sz="8" w:color="0000EE"/>
            </w:tcBorders>
            <w:gridSpan w:val="6"/>
          </w:tcPr>
          <w:p>
            <w:pPr>
              <w:spacing w:after="0"/>
              <w:rPr>
                <w:sz w:val="14"/>
                <w:szCs w:val="14"/>
                <w:color w:val="auto"/>
              </w:rPr>
            </w:pPr>
          </w:p>
        </w:tc>
        <w:tc>
          <w:tcPr>
            <w:tcW w:w="3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10.10(a)</w:t>
            </w:r>
          </w:p>
        </w:tc>
        <w:tc>
          <w:tcPr>
            <w:tcW w:w="9980" w:type="dxa"/>
            <w:vAlign w:val="bottom"/>
            <w:gridSpan w:val="22"/>
          </w:tcPr>
          <w:p>
            <w:pPr>
              <w:spacing w:after="0"/>
              <w:rPr>
                <w:rFonts w:ascii="Arial" w:cs="Arial" w:eastAsia="Arial" w:hAnsi="Arial"/>
                <w:sz w:val="16"/>
                <w:szCs w:val="16"/>
                <w:color w:val="auto"/>
              </w:rPr>
            </w:pPr>
            <w:hyperlink r:id="rId232">
              <w:r>
                <w:rPr>
                  <w:rFonts w:ascii="Arial" w:cs="Arial" w:eastAsia="Arial" w:hAnsi="Arial"/>
                  <w:sz w:val="16"/>
                  <w:szCs w:val="16"/>
                  <w:color w:val="auto"/>
                </w:rPr>
                <w:t>Form of Performance Vesting Non-Qualified Stock Option Agreement for Senior Executives filed as Exhibit 10.5 to the Company’s</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2">
              <w:r>
                <w:rPr>
                  <w:rFonts w:ascii="Arial" w:cs="Arial" w:eastAsia="Arial" w:hAnsi="Arial"/>
                  <w:sz w:val="16"/>
                  <w:szCs w:val="16"/>
                  <w:color w:val="auto"/>
                </w:rPr>
                <w:t>Quarterly Report on Form 10-Q for the quarter ended June 30, 2017, filed with the Commission on July 28, 2017 (File No. 001-12984) and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32">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74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Arial" w:cs="Arial" w:eastAsia="Arial" w:hAnsi="Arial"/>
                <w:sz w:val="16"/>
                <w:szCs w:val="16"/>
                <w:color w:val="auto"/>
              </w:rPr>
              <w:t>10.10(b)</w:t>
            </w:r>
          </w:p>
        </w:tc>
        <w:tc>
          <w:tcPr>
            <w:tcW w:w="9980" w:type="dxa"/>
            <w:vAlign w:val="bottom"/>
            <w:gridSpan w:val="22"/>
          </w:tcPr>
          <w:p>
            <w:pPr>
              <w:spacing w:after="0"/>
              <w:rPr>
                <w:rFonts w:ascii="Arial" w:cs="Arial" w:eastAsia="Arial" w:hAnsi="Arial"/>
                <w:sz w:val="16"/>
                <w:szCs w:val="16"/>
                <w:color w:val="auto"/>
              </w:rPr>
            </w:pPr>
            <w:hyperlink r:id="rId233">
              <w:r>
                <w:rPr>
                  <w:rFonts w:ascii="Arial" w:cs="Arial" w:eastAsia="Arial" w:hAnsi="Arial"/>
                  <w:sz w:val="16"/>
                  <w:szCs w:val="16"/>
                  <w:color w:val="auto"/>
                </w:rPr>
                <w:t>Form of Time Vesting Non-Qualified Stock Option Agreement for Senior Executives filed as Exhibit 10.6 to the Company’s Quarterly Report</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3">
              <w:r>
                <w:rPr>
                  <w:rFonts w:ascii="Arial" w:cs="Arial" w:eastAsia="Arial" w:hAnsi="Arial"/>
                  <w:sz w:val="16"/>
                  <w:szCs w:val="16"/>
                  <w:color w:val="auto"/>
                </w:rPr>
                <w:t>on Form 10-Q for the quarter ended June 30, 2017, filed with the Commission on July 28, 2017 (File No. 001-12984) and incorporated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0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33">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8020" w:type="dxa"/>
            <w:vAlign w:val="bottom"/>
            <w:tcBorders>
              <w:top w:val="single" w:sz="8" w:color="0000EE"/>
            </w:tcBorders>
            <w:gridSpan w:val="11"/>
          </w:tcPr>
          <w:p>
            <w:pPr>
              <w:spacing w:after="0"/>
              <w:rPr>
                <w:sz w:val="14"/>
                <w:szCs w:val="14"/>
                <w:color w:val="auto"/>
              </w:rPr>
            </w:pPr>
          </w:p>
        </w:tc>
        <w:tc>
          <w:tcPr>
            <w:tcW w:w="22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10.11</w:t>
            </w:r>
          </w:p>
        </w:tc>
        <w:tc>
          <w:tcPr>
            <w:tcW w:w="9980" w:type="dxa"/>
            <w:vAlign w:val="bottom"/>
            <w:gridSpan w:val="22"/>
          </w:tcPr>
          <w:p>
            <w:pPr>
              <w:spacing w:after="0"/>
              <w:rPr>
                <w:rFonts w:ascii="Arial" w:cs="Arial" w:eastAsia="Arial" w:hAnsi="Arial"/>
                <w:sz w:val="16"/>
                <w:szCs w:val="16"/>
                <w:color w:val="auto"/>
              </w:rPr>
            </w:pPr>
            <w:hyperlink r:id="rId234">
              <w:r>
                <w:rPr>
                  <w:rFonts w:ascii="Arial" w:cs="Arial" w:eastAsia="Arial" w:hAnsi="Arial"/>
                  <w:sz w:val="16"/>
                  <w:szCs w:val="16"/>
                  <w:color w:val="auto"/>
                </w:rPr>
                <w:t>Form of Performance Vesting Non-Qualified Stock Option Agreement for Senior Executives filed as Exhibit 10.3 to the Company’s</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4">
              <w:r>
                <w:rPr>
                  <w:rFonts w:ascii="Arial" w:cs="Arial" w:eastAsia="Arial" w:hAnsi="Arial"/>
                  <w:sz w:val="16"/>
                  <w:szCs w:val="16"/>
                  <w:color w:val="auto"/>
                </w:rPr>
                <w:t>Quarterly Report on Form 10-Q for the quarter ended June 30, 2018, filed with the Commission on July 30, 2018 (File No. 001-12984) and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34">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74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10.11(a)</w:t>
            </w:r>
          </w:p>
        </w:tc>
        <w:tc>
          <w:tcPr>
            <w:tcW w:w="9980" w:type="dxa"/>
            <w:vAlign w:val="bottom"/>
            <w:gridSpan w:val="22"/>
          </w:tcPr>
          <w:p>
            <w:pPr>
              <w:spacing w:after="0"/>
              <w:rPr>
                <w:rFonts w:ascii="Arial" w:cs="Arial" w:eastAsia="Arial" w:hAnsi="Arial"/>
                <w:sz w:val="16"/>
                <w:szCs w:val="16"/>
                <w:color w:val="auto"/>
              </w:rPr>
            </w:pPr>
            <w:hyperlink r:id="rId235">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5">
              <w:r>
                <w:rPr>
                  <w:rFonts w:ascii="Arial" w:cs="Arial" w:eastAsia="Arial" w:hAnsi="Arial"/>
                  <w:sz w:val="16"/>
                  <w:szCs w:val="16"/>
                  <w:color w:val="auto"/>
                </w:rPr>
                <w:t>on Form 10-Q for the quarter ended June 30, 2018, filed with the Commission on July 30, 2018 (File No. 001-12984) and incorporated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0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35">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8020" w:type="dxa"/>
            <w:vAlign w:val="bottom"/>
            <w:tcBorders>
              <w:top w:val="single" w:sz="8" w:color="0000EE"/>
            </w:tcBorders>
            <w:gridSpan w:val="11"/>
          </w:tcPr>
          <w:p>
            <w:pPr>
              <w:spacing w:after="0"/>
              <w:rPr>
                <w:sz w:val="14"/>
                <w:szCs w:val="14"/>
                <w:color w:val="auto"/>
              </w:rPr>
            </w:pPr>
          </w:p>
        </w:tc>
        <w:tc>
          <w:tcPr>
            <w:tcW w:w="22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10.11(b)</w:t>
            </w:r>
          </w:p>
        </w:tc>
        <w:tc>
          <w:tcPr>
            <w:tcW w:w="9980" w:type="dxa"/>
            <w:vAlign w:val="bottom"/>
            <w:gridSpan w:val="22"/>
          </w:tcPr>
          <w:p>
            <w:pPr>
              <w:spacing w:after="0"/>
              <w:rPr>
                <w:rFonts w:ascii="Arial" w:cs="Arial" w:eastAsia="Arial" w:hAnsi="Arial"/>
                <w:sz w:val="16"/>
                <w:szCs w:val="16"/>
                <w:color w:val="auto"/>
              </w:rPr>
            </w:pPr>
            <w:hyperlink r:id="rId236">
              <w:r>
                <w:rPr>
                  <w:rFonts w:ascii="Arial" w:cs="Arial" w:eastAsia="Arial" w:hAnsi="Arial"/>
                  <w:sz w:val="16"/>
                  <w:szCs w:val="16"/>
                  <w:color w:val="auto"/>
                </w:rPr>
                <w:t>Form of Non-Qualified Stock Option Agreement for Non-Employee Directors filed as Exhibit 10.2 to the Company’s Quarterly Report on</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6">
              <w:r>
                <w:rPr>
                  <w:rFonts w:ascii="Arial" w:cs="Arial" w:eastAsia="Arial" w:hAnsi="Arial"/>
                  <w:sz w:val="16"/>
                  <w:szCs w:val="16"/>
                  <w:color w:val="auto"/>
                </w:rPr>
                <w:t>Form 10-Q for the quarter ended September 30, 2018, filed with the Commission on October 30, 2018 (File No. 001-12984) and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36">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640" w:type="dxa"/>
            <w:vAlign w:val="bottom"/>
            <w:tcBorders>
              <w:top w:val="single" w:sz="8" w:color="0000EE"/>
            </w:tcBorders>
            <w:gridSpan w:val="6"/>
          </w:tcPr>
          <w:p>
            <w:pPr>
              <w:spacing w:after="0"/>
              <w:rPr>
                <w:sz w:val="14"/>
                <w:szCs w:val="14"/>
                <w:color w:val="auto"/>
              </w:rPr>
            </w:pPr>
          </w:p>
        </w:tc>
        <w:tc>
          <w:tcPr>
            <w:tcW w:w="380" w:type="dxa"/>
            <w:vAlign w:val="bottom"/>
            <w:gridSpan w:val="3"/>
          </w:tcPr>
          <w:p>
            <w:pPr>
              <w:spacing w:after="0"/>
              <w:rPr>
                <w:sz w:val="14"/>
                <w:szCs w:val="14"/>
                <w:color w:val="auto"/>
              </w:rPr>
            </w:pPr>
          </w:p>
        </w:tc>
        <w:tc>
          <w:tcPr>
            <w:tcW w:w="2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10.12</w:t>
            </w:r>
          </w:p>
        </w:tc>
        <w:tc>
          <w:tcPr>
            <w:tcW w:w="9980" w:type="dxa"/>
            <w:vAlign w:val="bottom"/>
            <w:gridSpan w:val="22"/>
          </w:tcPr>
          <w:p>
            <w:pPr>
              <w:spacing w:after="0"/>
              <w:rPr>
                <w:rFonts w:ascii="Arial" w:cs="Arial" w:eastAsia="Arial" w:hAnsi="Arial"/>
                <w:sz w:val="16"/>
                <w:szCs w:val="16"/>
                <w:color w:val="auto"/>
              </w:rPr>
            </w:pPr>
            <w:hyperlink r:id="rId237">
              <w:r>
                <w:rPr>
                  <w:rFonts w:ascii="Arial" w:cs="Arial" w:eastAsia="Arial" w:hAnsi="Arial"/>
                  <w:sz w:val="16"/>
                  <w:szCs w:val="16"/>
                  <w:color w:val="auto"/>
                </w:rPr>
                <w:t>The Eagle Materials Inc. Retirement Plan filed as Exhibit 4.6 to the Company’s Form S-8 POS, filed with the Commission on January 31,</w:t>
              </w:r>
            </w:hyperlink>
          </w:p>
        </w:tc>
        <w:tc>
          <w:tcPr>
            <w:tcW w:w="4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EE"/>
            </w:tcBorders>
            <w:gridSpan w:val="18"/>
          </w:tcPr>
          <w:p>
            <w:pPr>
              <w:spacing w:after="0" w:line="169" w:lineRule="exact"/>
              <w:rPr>
                <w:rFonts w:ascii="Arial" w:cs="Arial" w:eastAsia="Arial" w:hAnsi="Arial"/>
                <w:sz w:val="15"/>
                <w:szCs w:val="15"/>
                <w:color w:val="auto"/>
              </w:rPr>
            </w:pPr>
            <w:hyperlink r:id="rId237">
              <w:r>
                <w:rPr>
                  <w:rFonts w:ascii="Arial" w:cs="Arial" w:eastAsia="Arial" w:hAnsi="Arial"/>
                  <w:sz w:val="15"/>
                  <w:szCs w:val="15"/>
                  <w:color w:val="auto"/>
                </w:rPr>
                <w:t xml:space="preserve">2019 (File No. 001-12984) and incorporated herein by reference. </w:t>
              </w:r>
              <w:r>
                <w:rPr>
                  <w:rFonts w:ascii="Arial" w:cs="Arial" w:eastAsia="Arial" w:hAnsi="Arial"/>
                  <w:sz w:val="19"/>
                  <w:szCs w:val="19"/>
                  <w:color w:val="auto"/>
                  <w:vertAlign w:val="superscript"/>
                </w:rPr>
                <w:t>(1)</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4800" w:type="dxa"/>
            <w:vAlign w:val="bottom"/>
            <w:gridSpan w:val="8"/>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10.13</w:t>
            </w:r>
          </w:p>
        </w:tc>
        <w:tc>
          <w:tcPr>
            <w:tcW w:w="9980" w:type="dxa"/>
            <w:vAlign w:val="bottom"/>
            <w:gridSpan w:val="22"/>
          </w:tcPr>
          <w:p>
            <w:pPr>
              <w:spacing w:after="0"/>
              <w:rPr>
                <w:rFonts w:ascii="Arial" w:cs="Arial" w:eastAsia="Arial" w:hAnsi="Arial"/>
                <w:sz w:val="16"/>
                <w:szCs w:val="16"/>
                <w:color w:val="auto"/>
              </w:rPr>
            </w:pPr>
            <w:hyperlink r:id="rId238">
              <w:r>
                <w:rPr>
                  <w:rFonts w:ascii="Arial" w:cs="Arial" w:eastAsia="Arial" w:hAnsi="Arial"/>
                  <w:sz w:val="16"/>
                  <w:szCs w:val="16"/>
                  <w:color w:val="auto"/>
                </w:rPr>
                <w:t>The Eagle Materials Inc. Amended and Restated Supplemental Executive Retirement Plan filed as Exhibit 10.4 to the Company’s Annual</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8">
              <w:r>
                <w:rPr>
                  <w:rFonts w:ascii="Arial" w:cs="Arial" w:eastAsia="Arial" w:hAnsi="Arial"/>
                  <w:sz w:val="16"/>
                  <w:szCs w:val="16"/>
                  <w:color w:val="auto"/>
                </w:rPr>
                <w:t>Report on Form 10-K for the fiscal year ended March 31, 2000, filed with the Commission on June 21, 2000 (File No. 001-12984) and</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4"/>
          </w:tcPr>
          <w:p>
            <w:pPr>
              <w:spacing w:after="0" w:line="169" w:lineRule="exact"/>
              <w:rPr>
                <w:rFonts w:ascii="Arial" w:cs="Arial" w:eastAsia="Arial" w:hAnsi="Arial"/>
                <w:sz w:val="15"/>
                <w:szCs w:val="15"/>
                <w:color w:val="auto"/>
              </w:rPr>
            </w:pPr>
            <w:hyperlink r:id="rId238">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7020" w:type="dxa"/>
            <w:vAlign w:val="bottom"/>
            <w:tcBorders>
              <w:top w:val="single" w:sz="8" w:color="0000EE"/>
            </w:tcBorders>
            <w:gridSpan w:val="9"/>
          </w:tcPr>
          <w:p>
            <w:pPr>
              <w:spacing w:after="0"/>
              <w:rPr>
                <w:sz w:val="14"/>
                <w:szCs w:val="14"/>
                <w:color w:val="auto"/>
              </w:rPr>
            </w:pPr>
          </w:p>
        </w:tc>
        <w:tc>
          <w:tcPr>
            <w:tcW w:w="2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6"/>
                <w:szCs w:val="16"/>
                <w:color w:val="auto"/>
              </w:rPr>
              <w:t>10.13(a)</w:t>
            </w:r>
          </w:p>
        </w:tc>
        <w:tc>
          <w:tcPr>
            <w:tcW w:w="9980" w:type="dxa"/>
            <w:vAlign w:val="bottom"/>
            <w:gridSpan w:val="22"/>
          </w:tcPr>
          <w:p>
            <w:pPr>
              <w:spacing w:after="0"/>
              <w:rPr>
                <w:rFonts w:ascii="Arial" w:cs="Arial" w:eastAsia="Arial" w:hAnsi="Arial"/>
                <w:sz w:val="16"/>
                <w:szCs w:val="16"/>
                <w:color w:val="auto"/>
              </w:rPr>
            </w:pPr>
            <w:hyperlink r:id="rId239">
              <w:r>
                <w:rPr>
                  <w:rFonts w:ascii="Arial" w:cs="Arial" w:eastAsia="Arial" w:hAnsi="Arial"/>
                  <w:sz w:val="16"/>
                  <w:szCs w:val="16"/>
                  <w:color w:val="auto"/>
                </w:rPr>
                <w:t>First Amendment to the Eagle Materials Inc. Amended and Restated Supplemental Executive Retirement Plan, dated as of May 11, 2004,</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32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39">
              <w:r>
                <w:rPr>
                  <w:rFonts w:ascii="Arial" w:cs="Arial" w:eastAsia="Arial" w:hAnsi="Arial"/>
                  <w:sz w:val="16"/>
                  <w:szCs w:val="16"/>
                  <w:color w:val="auto"/>
                </w:rPr>
                <w:t>filed as Exhibit 10.4(a) to the Company’s Annual Report on Form 10-K for the fiscal year ended March 31, 2006, filed with the Commission</w:t>
              </w:r>
            </w:hyperlink>
          </w:p>
        </w:tc>
        <w:tc>
          <w:tcPr>
            <w:tcW w:w="4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600" w:type="dxa"/>
            <w:vAlign w:val="bottom"/>
            <w:tcBorders>
              <w:top w:val="single" w:sz="8" w:color="0000EE"/>
              <w:bottom w:val="single" w:sz="8" w:color="0000EE"/>
            </w:tcBorders>
            <w:gridSpan w:val="8"/>
          </w:tcPr>
          <w:p>
            <w:pPr>
              <w:spacing w:after="0" w:line="169" w:lineRule="exact"/>
              <w:rPr>
                <w:rFonts w:ascii="Arial" w:cs="Arial" w:eastAsia="Arial" w:hAnsi="Arial"/>
                <w:sz w:val="15"/>
                <w:szCs w:val="15"/>
                <w:color w:val="auto"/>
              </w:rPr>
            </w:pPr>
            <w:hyperlink r:id="rId239">
              <w:r>
                <w:rPr>
                  <w:rFonts w:ascii="Arial" w:cs="Arial" w:eastAsia="Arial" w:hAnsi="Arial"/>
                  <w:sz w:val="15"/>
                  <w:szCs w:val="15"/>
                  <w:color w:val="auto"/>
                </w:rPr>
                <w:t xml:space="preserve">on June 2, 2006 (File No. 001-12984) and incorporated herein by reference. </w:t>
              </w:r>
              <w:r>
                <w:rPr>
                  <w:rFonts w:ascii="Arial" w:cs="Arial" w:eastAsia="Arial" w:hAnsi="Arial"/>
                  <w:sz w:val="19"/>
                  <w:szCs w:val="19"/>
                  <w:color w:val="auto"/>
                  <w:vertAlign w:val="superscript"/>
                </w:rPr>
                <w:t>(1)</w:t>
              </w:r>
            </w:hyperlink>
          </w:p>
        </w:tc>
        <w:tc>
          <w:tcPr>
            <w:tcW w:w="4320" w:type="dxa"/>
            <w:vAlign w:val="bottom"/>
            <w:tcBorders>
              <w:top w:val="single" w:sz="8" w:color="0000EE"/>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10.14</w:t>
            </w:r>
          </w:p>
        </w:tc>
        <w:tc>
          <w:tcPr>
            <w:tcW w:w="9980" w:type="dxa"/>
            <w:vAlign w:val="bottom"/>
            <w:gridSpan w:val="22"/>
          </w:tcPr>
          <w:p>
            <w:pPr>
              <w:spacing w:after="0"/>
              <w:rPr>
                <w:rFonts w:ascii="Arial" w:cs="Arial" w:eastAsia="Arial" w:hAnsi="Arial"/>
                <w:sz w:val="16"/>
                <w:szCs w:val="16"/>
                <w:color w:val="auto"/>
              </w:rPr>
            </w:pPr>
            <w:hyperlink r:id="rId240">
              <w:r>
                <w:rPr>
                  <w:rFonts w:ascii="Arial" w:cs="Arial" w:eastAsia="Arial" w:hAnsi="Arial"/>
                  <w:sz w:val="16"/>
                  <w:szCs w:val="16"/>
                  <w:color w:val="auto"/>
                </w:rPr>
                <w:t>Trademark License and Name Domain Agreement dated January 30, 2004, between the Company and Centex Corporation, filed as Exhibit</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32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40">
              <w:r>
                <w:rPr>
                  <w:rFonts w:ascii="Arial" w:cs="Arial" w:eastAsia="Arial" w:hAnsi="Arial"/>
                  <w:sz w:val="16"/>
                  <w:szCs w:val="16"/>
                  <w:color w:val="auto"/>
                </w:rPr>
                <w:t>10.5 to the Company’s Annual Report on Form 10-K for the fiscal year ended March 31, 2004, filed with the Commission on June 14, 2004</w:t>
              </w:r>
            </w:hyperlink>
          </w:p>
        </w:tc>
        <w:tc>
          <w:tcPr>
            <w:tcW w:w="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32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4240" w:type="dxa"/>
            <w:vAlign w:val="bottom"/>
            <w:tcBorders>
              <w:bottom w:val="single" w:sz="8" w:color="0000EE"/>
            </w:tcBorders>
            <w:gridSpan w:val="7"/>
          </w:tcPr>
          <w:p>
            <w:pPr>
              <w:spacing w:after="0" w:line="169" w:lineRule="exact"/>
              <w:rPr>
                <w:rFonts w:ascii="Arial" w:cs="Arial" w:eastAsia="Arial" w:hAnsi="Arial"/>
                <w:sz w:val="16"/>
                <w:szCs w:val="16"/>
                <w:color w:val="auto"/>
              </w:rPr>
            </w:pPr>
            <w:hyperlink r:id="rId240">
              <w:r>
                <w:rPr>
                  <w:rFonts w:ascii="Arial" w:cs="Arial" w:eastAsia="Arial" w:hAnsi="Arial"/>
                  <w:sz w:val="16"/>
                  <w:szCs w:val="16"/>
                  <w:color w:val="auto"/>
                </w:rPr>
                <w:t>(File No. 001-12984) and incorporated herein by reference.</w:t>
              </w:r>
            </w:hyperlink>
          </w:p>
        </w:tc>
        <w:tc>
          <w:tcPr>
            <w:tcW w:w="574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10.15</w:t>
            </w:r>
          </w:p>
        </w:tc>
        <w:tc>
          <w:tcPr>
            <w:tcW w:w="9980" w:type="dxa"/>
            <w:vAlign w:val="bottom"/>
            <w:gridSpan w:val="22"/>
          </w:tcPr>
          <w:p>
            <w:pPr>
              <w:spacing w:after="0"/>
              <w:rPr>
                <w:rFonts w:ascii="Arial" w:cs="Arial" w:eastAsia="Arial" w:hAnsi="Arial"/>
                <w:sz w:val="16"/>
                <w:szCs w:val="16"/>
                <w:color w:val="auto"/>
              </w:rPr>
            </w:pPr>
            <w:hyperlink r:id="rId241">
              <w:r>
                <w:rPr>
                  <w:rFonts w:ascii="Arial" w:cs="Arial" w:eastAsia="Arial" w:hAnsi="Arial"/>
                  <w:sz w:val="16"/>
                  <w:szCs w:val="16"/>
                  <w:color w:val="auto"/>
                </w:rPr>
                <w:t>Form of Indemnification Agreement between the Company and each of its directors filed as Exhibit 10.9 to the Company’s Annual Report</w:t>
              </w:r>
            </w:hyperlink>
          </w:p>
        </w:tc>
        <w:tc>
          <w:tcPr>
            <w:tcW w:w="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32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41">
              <w:r>
                <w:rPr>
                  <w:rFonts w:ascii="Arial" w:cs="Arial" w:eastAsia="Arial" w:hAnsi="Arial"/>
                  <w:sz w:val="16"/>
                  <w:szCs w:val="16"/>
                  <w:color w:val="auto"/>
                </w:rPr>
                <w:t>on Form 10-K for the fiscal year ended March 31, 2004, filed with the Commission on June 14, 2004 (File No. 001-12984) and incorporated</w:t>
              </w:r>
            </w:hyperlink>
          </w:p>
        </w:tc>
        <w:tc>
          <w:tcPr>
            <w:tcW w:w="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40" w:type="dxa"/>
            <w:vAlign w:val="bottom"/>
            <w:gridSpan w:val="1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9980" w:type="dxa"/>
            <w:vAlign w:val="bottom"/>
            <w:gridSpan w:val="22"/>
          </w:tcPr>
          <w:p>
            <w:pPr>
              <w:spacing w:after="0" w:line="169" w:lineRule="exact"/>
              <w:rPr>
                <w:rFonts w:ascii="Arial" w:cs="Arial" w:eastAsia="Arial" w:hAnsi="Arial"/>
                <w:sz w:val="16"/>
                <w:szCs w:val="16"/>
                <w:color w:val="auto"/>
              </w:rPr>
            </w:pPr>
            <w:hyperlink r:id="rId241">
              <w:r>
                <w:rPr>
                  <w:rFonts w:ascii="Arial" w:cs="Arial" w:eastAsia="Arial" w:hAnsi="Arial"/>
                  <w:sz w:val="16"/>
                  <w:szCs w:val="16"/>
                  <w:color w:val="auto"/>
                </w:rPr>
                <w:t>herein by reference.</w:t>
              </w:r>
            </w:hyperlink>
          </w:p>
        </w:tc>
        <w:tc>
          <w:tcPr>
            <w:tcW w:w="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10.16</w:t>
            </w:r>
          </w:p>
        </w:tc>
        <w:tc>
          <w:tcPr>
            <w:tcW w:w="9980" w:type="dxa"/>
            <w:vAlign w:val="bottom"/>
            <w:gridSpan w:val="22"/>
          </w:tcPr>
          <w:p>
            <w:pPr>
              <w:spacing w:after="0"/>
              <w:rPr>
                <w:rFonts w:ascii="Arial" w:cs="Arial" w:eastAsia="Arial" w:hAnsi="Arial"/>
                <w:sz w:val="16"/>
                <w:szCs w:val="16"/>
                <w:color w:val="auto"/>
              </w:rPr>
            </w:pPr>
            <w:hyperlink r:id="rId242">
              <w:r>
                <w:rPr>
                  <w:rFonts w:ascii="Arial" w:cs="Arial" w:eastAsia="Arial" w:hAnsi="Arial"/>
                  <w:sz w:val="16"/>
                  <w:szCs w:val="16"/>
                  <w:color w:val="auto"/>
                </w:rPr>
                <w:t>Eagle Materials Inc. Salaried Incentive Compensation Program for Fiscal Year 2023 filed as Exhibit 10.1 to the Current Report on Form 8-K</w:t>
              </w:r>
            </w:hyperlink>
          </w:p>
        </w:tc>
        <w:tc>
          <w:tcPr>
            <w:tcW w:w="4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20" w:type="dxa"/>
            <w:vAlign w:val="bottom"/>
            <w:tcBorders>
              <w:top w:val="single" w:sz="8" w:color="0000EE"/>
              <w:bottom w:val="single" w:sz="8" w:color="0000EE"/>
            </w:tcBorders>
            <w:gridSpan w:val="9"/>
          </w:tcPr>
          <w:p>
            <w:pPr>
              <w:spacing w:after="0" w:line="169" w:lineRule="exact"/>
              <w:rPr>
                <w:rFonts w:ascii="Arial" w:cs="Arial" w:eastAsia="Arial" w:hAnsi="Arial"/>
                <w:sz w:val="15"/>
                <w:szCs w:val="15"/>
                <w:color w:val="auto"/>
              </w:rPr>
            </w:pPr>
            <w:hyperlink r:id="rId242">
              <w:r>
                <w:rPr>
                  <w:rFonts w:ascii="Arial" w:cs="Arial" w:eastAsia="Arial" w:hAnsi="Arial"/>
                  <w:sz w:val="15"/>
                  <w:szCs w:val="15"/>
                  <w:color w:val="auto"/>
                </w:rPr>
                <w:t xml:space="preserve">filed with the Commission on May 23, 2022 (File No. 001-12984) and incorporated herein by reference. </w:t>
              </w:r>
              <w:r>
                <w:rPr>
                  <w:rFonts w:ascii="Arial" w:cs="Arial" w:eastAsia="Arial" w:hAnsi="Arial"/>
                  <w:sz w:val="19"/>
                  <w:szCs w:val="19"/>
                  <w:color w:val="auto"/>
                  <w:vertAlign w:val="superscript"/>
                </w:rPr>
                <w:t>(1)</w:t>
              </w:r>
            </w:hyperlink>
          </w:p>
        </w:tc>
        <w:tc>
          <w:tcPr>
            <w:tcW w:w="2440" w:type="dxa"/>
            <w:vAlign w:val="bottom"/>
            <w:tcBorders>
              <w:top w:val="single" w:sz="8" w:color="0000EE"/>
            </w:tcBorders>
            <w:gridSpan w:val="12"/>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401"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10.16(a)</w:t>
            </w:r>
          </w:p>
        </w:tc>
        <w:tc>
          <w:tcPr>
            <w:tcW w:w="10000" w:type="dxa"/>
            <w:vAlign w:val="bottom"/>
            <w:gridSpan w:val="24"/>
          </w:tcPr>
          <w:p>
            <w:pPr>
              <w:spacing w:after="0"/>
              <w:rPr>
                <w:rFonts w:ascii="Arial" w:cs="Arial" w:eastAsia="Arial" w:hAnsi="Arial"/>
                <w:sz w:val="16"/>
                <w:szCs w:val="16"/>
                <w:color w:val="auto"/>
              </w:rPr>
            </w:pPr>
            <w:hyperlink r:id="rId244">
              <w:r>
                <w:rPr>
                  <w:rFonts w:ascii="Arial" w:cs="Arial" w:eastAsia="Arial" w:hAnsi="Arial"/>
                  <w:sz w:val="16"/>
                  <w:szCs w:val="16"/>
                  <w:color w:val="auto"/>
                </w:rPr>
                <w:t>Eagle Materials Inc. Special Situation Program for Fiscal Year 2023 filed as Exhibit 10.3 to the Current Report on Form 8-K filed with the</w:t>
              </w:r>
            </w:hyperlink>
          </w:p>
        </w:tc>
        <w:tc>
          <w:tcPr>
            <w:tcW w:w="20" w:type="dxa"/>
            <w:vAlign w:val="bottom"/>
          </w:tcPr>
          <w:p>
            <w:pPr>
              <w:spacing w:after="0"/>
              <w:rPr>
                <w:sz w:val="16"/>
                <w:szCs w:val="16"/>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EE"/>
            </w:tcBorders>
            <w:gridSpan w:val="17"/>
          </w:tcPr>
          <w:p>
            <w:pPr>
              <w:spacing w:after="0" w:line="169" w:lineRule="exact"/>
              <w:rPr>
                <w:rFonts w:ascii="Arial" w:cs="Arial" w:eastAsia="Arial" w:hAnsi="Arial"/>
                <w:sz w:val="15"/>
                <w:szCs w:val="15"/>
                <w:color w:val="auto"/>
              </w:rPr>
            </w:pPr>
            <w:hyperlink r:id="rId244">
              <w:r>
                <w:rPr>
                  <w:rFonts w:ascii="Arial" w:cs="Arial" w:eastAsia="Arial" w:hAnsi="Arial"/>
                  <w:sz w:val="15"/>
                  <w:szCs w:val="15"/>
                  <w:color w:val="auto"/>
                </w:rPr>
                <w:t xml:space="preserve">Commission on May 23, 2022 (File No. 001-12984) and incorporated 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4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10.16(b)</w:t>
            </w:r>
          </w:p>
        </w:tc>
        <w:tc>
          <w:tcPr>
            <w:tcW w:w="10000" w:type="dxa"/>
            <w:vAlign w:val="bottom"/>
            <w:gridSpan w:val="24"/>
          </w:tcPr>
          <w:p>
            <w:pPr>
              <w:spacing w:after="0"/>
              <w:rPr>
                <w:rFonts w:ascii="Arial" w:cs="Arial" w:eastAsia="Arial" w:hAnsi="Arial"/>
                <w:sz w:val="16"/>
                <w:szCs w:val="16"/>
                <w:color w:val="auto"/>
              </w:rPr>
            </w:pPr>
            <w:hyperlink r:id="rId245">
              <w:r>
                <w:rPr>
                  <w:rFonts w:ascii="Arial" w:cs="Arial" w:eastAsia="Arial" w:hAnsi="Arial"/>
                  <w:sz w:val="16"/>
                  <w:szCs w:val="16"/>
                  <w:color w:val="auto"/>
                </w:rPr>
                <w:t>American Gypsum Company LLC Salaried Incentive Compensation Program for Fiscal Year 2023 filed as Exhibit 10.2 to the Company’s</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45">
              <w:r>
                <w:rPr>
                  <w:rFonts w:ascii="Arial" w:cs="Arial" w:eastAsia="Arial" w:hAnsi="Arial"/>
                  <w:sz w:val="16"/>
                  <w:szCs w:val="16"/>
                  <w:color w:val="auto"/>
                </w:rPr>
                <w:t>Current Report on Form 8-K for the quarter ended June 30, 2021, filed with the Commission on May 23, 2022 (File No. 001-12984) and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gridSpan w:val="7"/>
          </w:tcPr>
          <w:p>
            <w:pPr>
              <w:spacing w:after="0" w:line="169" w:lineRule="exact"/>
              <w:rPr>
                <w:rFonts w:ascii="Arial" w:cs="Arial" w:eastAsia="Arial" w:hAnsi="Arial"/>
                <w:sz w:val="15"/>
                <w:szCs w:val="15"/>
                <w:color w:val="auto"/>
              </w:rPr>
            </w:pPr>
            <w:hyperlink r:id="rId245">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7160" w:type="dxa"/>
            <w:vAlign w:val="bottom"/>
            <w:tcBorders>
              <w:top w:val="single" w:sz="8" w:color="0000EE"/>
            </w:tcBorders>
            <w:gridSpan w:val="9"/>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10.17</w:t>
            </w:r>
          </w:p>
        </w:tc>
        <w:tc>
          <w:tcPr>
            <w:tcW w:w="10000" w:type="dxa"/>
            <w:vAlign w:val="bottom"/>
            <w:gridSpan w:val="24"/>
          </w:tcPr>
          <w:p>
            <w:pPr>
              <w:spacing w:after="0"/>
              <w:rPr>
                <w:rFonts w:ascii="Arial" w:cs="Arial" w:eastAsia="Arial" w:hAnsi="Arial"/>
                <w:sz w:val="16"/>
                <w:szCs w:val="16"/>
                <w:color w:val="auto"/>
              </w:rPr>
            </w:pPr>
            <w:hyperlink r:id="rId246">
              <w:r>
                <w:rPr>
                  <w:rFonts w:ascii="Arial" w:cs="Arial" w:eastAsia="Arial" w:hAnsi="Arial"/>
                  <w:sz w:val="16"/>
                  <w:szCs w:val="16"/>
                  <w:color w:val="auto"/>
                </w:rPr>
                <w:t>Change in Control Continuity Agreement, dated as of June 20, 2019, by and between Eagle Materials Inc. and Michael R. Haack, filed as</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46">
              <w:r>
                <w:rPr>
                  <w:rFonts w:ascii="Arial" w:cs="Arial" w:eastAsia="Arial" w:hAnsi="Arial"/>
                  <w:sz w:val="16"/>
                  <w:szCs w:val="16"/>
                  <w:color w:val="auto"/>
                </w:rPr>
                <w:t>Exhibit 10.1 to the Current Report on Form 8-K filed with the Commission on June 25, 2019 (File No. 001-12984) and incorporated herein</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12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46">
              <w:r>
                <w:rPr>
                  <w:rFonts w:ascii="Arial" w:cs="Arial" w:eastAsia="Arial" w:hAnsi="Arial"/>
                  <w:sz w:val="15"/>
                  <w:szCs w:val="15"/>
                  <w:color w:val="auto"/>
                </w:rPr>
                <w:t xml:space="preserve">by reference. </w:t>
              </w:r>
              <w:r>
                <w:rPr>
                  <w:rFonts w:ascii="Arial" w:cs="Arial" w:eastAsia="Arial" w:hAnsi="Arial"/>
                  <w:sz w:val="19"/>
                  <w:szCs w:val="19"/>
                  <w:color w:val="auto"/>
                  <w:vertAlign w:val="superscript"/>
                </w:rPr>
                <w:t>(1)</w:t>
              </w:r>
            </w:hyperlink>
          </w:p>
        </w:tc>
        <w:tc>
          <w:tcPr>
            <w:tcW w:w="87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10.17(a)</w:t>
            </w:r>
          </w:p>
        </w:tc>
        <w:tc>
          <w:tcPr>
            <w:tcW w:w="10000" w:type="dxa"/>
            <w:vAlign w:val="bottom"/>
            <w:gridSpan w:val="24"/>
          </w:tcPr>
          <w:p>
            <w:pPr>
              <w:spacing w:after="0"/>
              <w:rPr>
                <w:rFonts w:ascii="Arial" w:cs="Arial" w:eastAsia="Arial" w:hAnsi="Arial"/>
                <w:sz w:val="16"/>
                <w:szCs w:val="16"/>
                <w:color w:val="auto"/>
              </w:rPr>
            </w:pPr>
            <w:hyperlink r:id="rId247">
              <w:r>
                <w:rPr>
                  <w:rFonts w:ascii="Arial" w:cs="Arial" w:eastAsia="Arial" w:hAnsi="Arial"/>
                  <w:sz w:val="16"/>
                  <w:szCs w:val="16"/>
                  <w:color w:val="auto"/>
                </w:rPr>
                <w:t>Change in Control Continuity Agreement, dated as of June 20, 2019, by and between Eagle Materials Inc. and D. Craig Kesler, filed as</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47">
              <w:r>
                <w:rPr>
                  <w:rFonts w:ascii="Arial" w:cs="Arial" w:eastAsia="Arial" w:hAnsi="Arial"/>
                  <w:sz w:val="16"/>
                  <w:szCs w:val="16"/>
                  <w:color w:val="auto"/>
                </w:rPr>
                <w:t>Exhibit 10.2 to the Current Report on Form 8-K filed with the Commission on June 25, 2019 (File No. 001-12984) and incorporated herein</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12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47">
              <w:r>
                <w:rPr>
                  <w:rFonts w:ascii="Arial" w:cs="Arial" w:eastAsia="Arial" w:hAnsi="Arial"/>
                  <w:sz w:val="15"/>
                  <w:szCs w:val="15"/>
                  <w:color w:val="auto"/>
                </w:rPr>
                <w:t xml:space="preserve">by reference. </w:t>
              </w:r>
              <w:r>
                <w:rPr>
                  <w:rFonts w:ascii="Arial" w:cs="Arial" w:eastAsia="Arial" w:hAnsi="Arial"/>
                  <w:sz w:val="19"/>
                  <w:szCs w:val="19"/>
                  <w:color w:val="auto"/>
                  <w:vertAlign w:val="superscript"/>
                </w:rPr>
                <w:t>(1)</w:t>
              </w:r>
            </w:hyperlink>
          </w:p>
        </w:tc>
        <w:tc>
          <w:tcPr>
            <w:tcW w:w="87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10.17(b)</w:t>
            </w:r>
          </w:p>
        </w:tc>
        <w:tc>
          <w:tcPr>
            <w:tcW w:w="10000" w:type="dxa"/>
            <w:vAlign w:val="bottom"/>
            <w:gridSpan w:val="24"/>
          </w:tcPr>
          <w:p>
            <w:pPr>
              <w:spacing w:after="0"/>
              <w:rPr>
                <w:rFonts w:ascii="Arial" w:cs="Arial" w:eastAsia="Arial" w:hAnsi="Arial"/>
                <w:sz w:val="16"/>
                <w:szCs w:val="16"/>
                <w:color w:val="auto"/>
              </w:rPr>
            </w:pPr>
            <w:hyperlink r:id="rId248">
              <w:r>
                <w:rPr>
                  <w:rFonts w:ascii="Arial" w:cs="Arial" w:eastAsia="Arial" w:hAnsi="Arial"/>
                  <w:sz w:val="16"/>
                  <w:szCs w:val="16"/>
                  <w:color w:val="auto"/>
                </w:rPr>
                <w:t>Change in Control Continuity Agreement, dated as of June 20, 2019, by and between Eagle Materials Inc. and Robert S. Stewart, filed as</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48">
              <w:r>
                <w:rPr>
                  <w:rFonts w:ascii="Arial" w:cs="Arial" w:eastAsia="Arial" w:hAnsi="Arial"/>
                  <w:sz w:val="16"/>
                  <w:szCs w:val="16"/>
                  <w:color w:val="auto"/>
                </w:rPr>
                <w:t>Exhibit 10.3 to the Current Report on Form 8-K filed with the Commission on June 25, 2019 (File No. 001-12984) and incorporated herein</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120" w:type="dxa"/>
            <w:vAlign w:val="bottom"/>
            <w:tcBorders>
              <w:top w:val="single" w:sz="8" w:color="0000EE"/>
              <w:bottom w:val="single" w:sz="8" w:color="0000EE"/>
            </w:tcBorders>
            <w:gridSpan w:val="3"/>
          </w:tcPr>
          <w:p>
            <w:pPr>
              <w:spacing w:after="0" w:line="169" w:lineRule="exact"/>
              <w:rPr>
                <w:rFonts w:ascii="Arial" w:cs="Arial" w:eastAsia="Arial" w:hAnsi="Arial"/>
                <w:sz w:val="15"/>
                <w:szCs w:val="15"/>
                <w:color w:val="auto"/>
              </w:rPr>
            </w:pPr>
            <w:hyperlink r:id="rId248">
              <w:r>
                <w:rPr>
                  <w:rFonts w:ascii="Arial" w:cs="Arial" w:eastAsia="Arial" w:hAnsi="Arial"/>
                  <w:sz w:val="15"/>
                  <w:szCs w:val="15"/>
                  <w:color w:val="auto"/>
                </w:rPr>
                <w:t xml:space="preserve">by reference. </w:t>
              </w:r>
              <w:r>
                <w:rPr>
                  <w:rFonts w:ascii="Arial" w:cs="Arial" w:eastAsia="Arial" w:hAnsi="Arial"/>
                  <w:sz w:val="19"/>
                  <w:szCs w:val="19"/>
                  <w:color w:val="auto"/>
                  <w:vertAlign w:val="superscript"/>
                </w:rPr>
                <w:t>(1)</w:t>
              </w:r>
            </w:hyperlink>
          </w:p>
        </w:tc>
        <w:tc>
          <w:tcPr>
            <w:tcW w:w="87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10.18</w:t>
            </w:r>
          </w:p>
        </w:tc>
        <w:tc>
          <w:tcPr>
            <w:tcW w:w="10000" w:type="dxa"/>
            <w:vAlign w:val="bottom"/>
            <w:gridSpan w:val="24"/>
          </w:tcPr>
          <w:p>
            <w:pPr>
              <w:spacing w:after="0"/>
              <w:rPr>
                <w:rFonts w:ascii="Arial" w:cs="Arial" w:eastAsia="Arial" w:hAnsi="Arial"/>
                <w:sz w:val="16"/>
                <w:szCs w:val="16"/>
                <w:color w:val="auto"/>
              </w:rPr>
            </w:pPr>
            <w:hyperlink r:id="rId249">
              <w:r>
                <w:rPr>
                  <w:rFonts w:ascii="Arial" w:cs="Arial" w:eastAsia="Arial" w:hAnsi="Arial"/>
                  <w:sz w:val="16"/>
                  <w:szCs w:val="16"/>
                  <w:color w:val="auto"/>
                </w:rPr>
                <w:t>Form of Performance Vesting Non-Qualified Stock Option Agreement for Senior Executives, filed as Exhibit 10.8 to the Company’s</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49">
              <w:r>
                <w:rPr>
                  <w:rFonts w:ascii="Arial" w:cs="Arial" w:eastAsia="Arial" w:hAnsi="Arial"/>
                  <w:sz w:val="16"/>
                  <w:szCs w:val="16"/>
                  <w:color w:val="auto"/>
                </w:rPr>
                <w:t>Quarterly Report on Form 10-Q for the quarter ended June 30, 2019, filed with the Commission on July 31, 2019 (File No. 001-12984) and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gridSpan w:val="7"/>
          </w:tcPr>
          <w:p>
            <w:pPr>
              <w:spacing w:after="0" w:line="169" w:lineRule="exact"/>
              <w:rPr>
                <w:rFonts w:ascii="Arial" w:cs="Arial" w:eastAsia="Arial" w:hAnsi="Arial"/>
                <w:sz w:val="15"/>
                <w:szCs w:val="15"/>
                <w:color w:val="auto"/>
              </w:rPr>
            </w:pPr>
            <w:hyperlink r:id="rId249">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7360" w:type="dxa"/>
            <w:vAlign w:val="bottom"/>
            <w:tcBorders>
              <w:top w:val="single" w:sz="8" w:color="0000EE"/>
            </w:tcBorders>
            <w:gridSpan w:val="1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10.18(a)</w:t>
            </w:r>
          </w:p>
        </w:tc>
        <w:tc>
          <w:tcPr>
            <w:tcW w:w="10000" w:type="dxa"/>
            <w:vAlign w:val="bottom"/>
            <w:gridSpan w:val="24"/>
          </w:tcPr>
          <w:p>
            <w:pPr>
              <w:spacing w:after="0"/>
              <w:rPr>
                <w:rFonts w:ascii="Arial" w:cs="Arial" w:eastAsia="Arial" w:hAnsi="Arial"/>
                <w:sz w:val="16"/>
                <w:szCs w:val="16"/>
                <w:color w:val="auto"/>
              </w:rPr>
            </w:pPr>
            <w:hyperlink r:id="rId250">
              <w:r>
                <w:rPr>
                  <w:rFonts w:ascii="Arial" w:cs="Arial" w:eastAsia="Arial" w:hAnsi="Arial"/>
                  <w:sz w:val="16"/>
                  <w:szCs w:val="16"/>
                  <w:color w:val="auto"/>
                </w:rPr>
                <w:t>Form of Time Vesting Non-Qualified Stock Option Agreement for Senior Executives, filed as Exhibit 10.9 to the Company’s Quarterly</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0">
              <w:r>
                <w:rPr>
                  <w:rFonts w:ascii="Arial" w:cs="Arial" w:eastAsia="Arial" w:hAnsi="Arial"/>
                  <w:sz w:val="16"/>
                  <w:szCs w:val="16"/>
                  <w:color w:val="auto"/>
                </w:rPr>
                <w:t>Report on Form 10-Q for the quarter ended June 30, 2019, filed with the Commission on July 31, 2019 (File No. 001-12984) and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gridSpan w:val="7"/>
          </w:tcPr>
          <w:p>
            <w:pPr>
              <w:spacing w:after="0" w:line="169" w:lineRule="exact"/>
              <w:rPr>
                <w:rFonts w:ascii="Arial" w:cs="Arial" w:eastAsia="Arial" w:hAnsi="Arial"/>
                <w:sz w:val="15"/>
                <w:szCs w:val="15"/>
                <w:color w:val="auto"/>
              </w:rPr>
            </w:pPr>
            <w:hyperlink r:id="rId250">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640" w:type="dxa"/>
            <w:vAlign w:val="bottom"/>
            <w:tcBorders>
              <w:top w:val="single" w:sz="8" w:color="0000EE"/>
            </w:tcBorders>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10.19</w:t>
            </w:r>
          </w:p>
        </w:tc>
        <w:tc>
          <w:tcPr>
            <w:tcW w:w="10000" w:type="dxa"/>
            <w:vAlign w:val="bottom"/>
            <w:gridSpan w:val="24"/>
          </w:tcPr>
          <w:p>
            <w:pPr>
              <w:spacing w:after="0"/>
              <w:rPr>
                <w:rFonts w:ascii="Arial" w:cs="Arial" w:eastAsia="Arial" w:hAnsi="Arial"/>
                <w:sz w:val="16"/>
                <w:szCs w:val="16"/>
                <w:color w:val="auto"/>
              </w:rPr>
            </w:pPr>
            <w:hyperlink r:id="rId251">
              <w:r>
                <w:rPr>
                  <w:rFonts w:ascii="Arial" w:cs="Arial" w:eastAsia="Arial" w:hAnsi="Arial"/>
                  <w:sz w:val="16"/>
                  <w:szCs w:val="16"/>
                  <w:color w:val="auto"/>
                </w:rPr>
                <w:t>Form of Performance Vesting Non-Qualified Stock Option Agreement for Senior Executives, filed as Exhibit 10.3 to the Company’s</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1">
              <w:r>
                <w:rPr>
                  <w:rFonts w:ascii="Arial" w:cs="Arial" w:eastAsia="Arial" w:hAnsi="Arial"/>
                  <w:sz w:val="16"/>
                  <w:szCs w:val="16"/>
                  <w:color w:val="auto"/>
                </w:rPr>
                <w:t>Quarterly Report on Form 10-Q for the quarter ended June 30, 2020, filed with the Commission on July 31, 2020 (File No. 001-12984) and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EE"/>
            </w:tcBorders>
            <w:gridSpan w:val="22"/>
          </w:tcPr>
          <w:p>
            <w:pPr>
              <w:spacing w:after="0" w:line="169" w:lineRule="exact"/>
              <w:rPr>
                <w:rFonts w:ascii="Arial" w:cs="Arial" w:eastAsia="Arial" w:hAnsi="Arial"/>
                <w:sz w:val="15"/>
                <w:szCs w:val="15"/>
                <w:color w:val="auto"/>
              </w:rPr>
            </w:pPr>
            <w:hyperlink r:id="rId251">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10.19(a)</w:t>
            </w:r>
          </w:p>
        </w:tc>
        <w:tc>
          <w:tcPr>
            <w:tcW w:w="10000" w:type="dxa"/>
            <w:vAlign w:val="bottom"/>
            <w:gridSpan w:val="24"/>
          </w:tcPr>
          <w:p>
            <w:pPr>
              <w:spacing w:after="0"/>
              <w:rPr>
                <w:rFonts w:ascii="Arial" w:cs="Arial" w:eastAsia="Arial" w:hAnsi="Arial"/>
                <w:sz w:val="16"/>
                <w:szCs w:val="16"/>
                <w:color w:val="auto"/>
              </w:rPr>
            </w:pPr>
            <w:hyperlink r:id="rId252">
              <w:r>
                <w:rPr>
                  <w:rFonts w:ascii="Arial" w:cs="Arial" w:eastAsia="Arial" w:hAnsi="Arial"/>
                  <w:sz w:val="16"/>
                  <w:szCs w:val="16"/>
                  <w:color w:val="auto"/>
                </w:rPr>
                <w:t>Form of Time Vesting Non-Qualified Stock Option Agreement for Senior Executives, filed as Exhibit 10.4 to the Company’s Quarterly</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2">
              <w:r>
                <w:rPr>
                  <w:rFonts w:ascii="Arial" w:cs="Arial" w:eastAsia="Arial" w:hAnsi="Arial"/>
                  <w:sz w:val="16"/>
                  <w:szCs w:val="16"/>
                  <w:color w:val="auto"/>
                </w:rPr>
                <w:t>Report on Form 10-Q for the quarter ended June 30, 2020, filed with the Commission on July 31, 2020 (File No. 001-12984) and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EE"/>
            </w:tcBorders>
            <w:gridSpan w:val="10"/>
          </w:tcPr>
          <w:p>
            <w:pPr>
              <w:spacing w:after="0" w:line="169" w:lineRule="exact"/>
              <w:rPr>
                <w:rFonts w:ascii="Arial" w:cs="Arial" w:eastAsia="Arial" w:hAnsi="Arial"/>
                <w:sz w:val="15"/>
                <w:szCs w:val="15"/>
                <w:color w:val="auto"/>
              </w:rPr>
            </w:pPr>
            <w:hyperlink r:id="rId252">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18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10.19(b)</w:t>
            </w:r>
          </w:p>
        </w:tc>
        <w:tc>
          <w:tcPr>
            <w:tcW w:w="10000" w:type="dxa"/>
            <w:vAlign w:val="bottom"/>
            <w:gridSpan w:val="24"/>
          </w:tcPr>
          <w:p>
            <w:pPr>
              <w:spacing w:after="0"/>
              <w:rPr>
                <w:rFonts w:ascii="Arial" w:cs="Arial" w:eastAsia="Arial" w:hAnsi="Arial"/>
                <w:sz w:val="16"/>
                <w:szCs w:val="16"/>
                <w:color w:val="auto"/>
              </w:rPr>
            </w:pPr>
            <w:hyperlink r:id="rId253">
              <w:r>
                <w:rPr>
                  <w:rFonts w:ascii="Arial" w:cs="Arial" w:eastAsia="Arial" w:hAnsi="Arial"/>
                  <w:sz w:val="16"/>
                  <w:szCs w:val="16"/>
                  <w:color w:val="auto"/>
                </w:rPr>
                <w:t>Form of Performance Vesting Restricted Stock Agreement for Senior Executives, filed as Exhibit 10.5 to the Company’s Quarterly Report</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3">
              <w:r>
                <w:rPr>
                  <w:rFonts w:ascii="Arial" w:cs="Arial" w:eastAsia="Arial" w:hAnsi="Arial"/>
                  <w:sz w:val="16"/>
                  <w:szCs w:val="16"/>
                  <w:color w:val="auto"/>
                </w:rPr>
                <w:t>on Form 10-Q for the quarter ended June 30, 2020, filed with the Commission on July 31, 2020 (File No. 001-12984) and incorporated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EE"/>
            </w:tcBorders>
            <w:gridSpan w:val="14"/>
          </w:tcPr>
          <w:p>
            <w:pPr>
              <w:spacing w:after="0" w:line="169" w:lineRule="exact"/>
              <w:rPr>
                <w:rFonts w:ascii="Arial" w:cs="Arial" w:eastAsia="Arial" w:hAnsi="Arial"/>
                <w:sz w:val="15"/>
                <w:szCs w:val="15"/>
                <w:color w:val="auto"/>
              </w:rPr>
            </w:pPr>
            <w:hyperlink r:id="rId253">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10.19(c)</w:t>
            </w:r>
          </w:p>
        </w:tc>
        <w:tc>
          <w:tcPr>
            <w:tcW w:w="10000" w:type="dxa"/>
            <w:vAlign w:val="bottom"/>
            <w:gridSpan w:val="24"/>
          </w:tcPr>
          <w:p>
            <w:pPr>
              <w:spacing w:after="0"/>
              <w:rPr>
                <w:rFonts w:ascii="Arial" w:cs="Arial" w:eastAsia="Arial" w:hAnsi="Arial"/>
                <w:sz w:val="16"/>
                <w:szCs w:val="16"/>
                <w:color w:val="auto"/>
              </w:rPr>
            </w:pPr>
            <w:hyperlink r:id="rId254">
              <w:r>
                <w:rPr>
                  <w:rFonts w:ascii="Arial" w:cs="Arial" w:eastAsia="Arial" w:hAnsi="Arial"/>
                  <w:sz w:val="16"/>
                  <w:szCs w:val="16"/>
                  <w:color w:val="auto"/>
                </w:rPr>
                <w:t>Form of Time Vesting Restricted Stock Agreement for Senior Executives, filed as Exhibit 10.6 to the Company’s Quarterly Report on Form</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4">
              <w:r>
                <w:rPr>
                  <w:rFonts w:ascii="Arial" w:cs="Arial" w:eastAsia="Arial" w:hAnsi="Arial"/>
                  <w:sz w:val="16"/>
                  <w:szCs w:val="16"/>
                  <w:color w:val="auto"/>
                </w:rPr>
                <w:t>10-Q for the quarter ended June 30, 2020, filed with the Commission on July 31, 2020 (File No. 001-12984) and incorporated herein by</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EE"/>
            </w:tcBorders>
            <w:gridSpan w:val="15"/>
          </w:tcPr>
          <w:p>
            <w:pPr>
              <w:spacing w:after="0" w:line="169" w:lineRule="exact"/>
              <w:rPr>
                <w:rFonts w:ascii="Arial" w:cs="Arial" w:eastAsia="Arial" w:hAnsi="Arial"/>
                <w:sz w:val="15"/>
                <w:szCs w:val="15"/>
                <w:color w:val="auto"/>
              </w:rPr>
            </w:pPr>
            <w:hyperlink r:id="rId254">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10.20</w:t>
            </w:r>
          </w:p>
        </w:tc>
        <w:tc>
          <w:tcPr>
            <w:tcW w:w="10000" w:type="dxa"/>
            <w:vAlign w:val="bottom"/>
            <w:gridSpan w:val="24"/>
          </w:tcPr>
          <w:p>
            <w:pPr>
              <w:spacing w:after="0"/>
              <w:rPr>
                <w:rFonts w:ascii="Arial" w:cs="Arial" w:eastAsia="Arial" w:hAnsi="Arial"/>
                <w:sz w:val="16"/>
                <w:szCs w:val="16"/>
                <w:color w:val="auto"/>
              </w:rPr>
            </w:pPr>
            <w:hyperlink r:id="rId255">
              <w:r>
                <w:rPr>
                  <w:rFonts w:ascii="Arial" w:cs="Arial" w:eastAsia="Arial" w:hAnsi="Arial"/>
                  <w:sz w:val="16"/>
                  <w:szCs w:val="16"/>
                  <w:color w:val="auto"/>
                </w:rPr>
                <w:t>Amended and Restated Eagle Materials Inc. Employee Severance Plan and Summary Plan Description, filed as Exhibit 10.2 to the</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5">
              <w:r>
                <w:rPr>
                  <w:rFonts w:ascii="Arial" w:cs="Arial" w:eastAsia="Arial" w:hAnsi="Arial"/>
                  <w:sz w:val="16"/>
                  <w:szCs w:val="16"/>
                  <w:color w:val="auto"/>
                </w:rPr>
                <w:t>Company’s Quarterly Report on Form 10-Q for the quarter ended December 31, 2020, filed with the Commission on January 28, 2021 (File</w:t>
              </w:r>
            </w:hyperlink>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5">
              <w:r>
                <w:rPr>
                  <w:rFonts w:ascii="Arial" w:cs="Arial" w:eastAsia="Arial" w:hAnsi="Arial"/>
                  <w:sz w:val="16"/>
                  <w:szCs w:val="16"/>
                  <w:color w:val="auto"/>
                </w:rPr>
                <w:t>No. 001-12984) and incorporated herein by reference. (1)</w:t>
              </w:r>
            </w:hyperlink>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6"/>
                <w:szCs w:val="16"/>
                <w:color w:val="auto"/>
              </w:rPr>
              <w:t>10.21</w:t>
            </w:r>
          </w:p>
        </w:tc>
        <w:tc>
          <w:tcPr>
            <w:tcW w:w="10000" w:type="dxa"/>
            <w:vAlign w:val="bottom"/>
            <w:gridSpan w:val="24"/>
          </w:tcPr>
          <w:p>
            <w:pPr>
              <w:spacing w:after="0"/>
              <w:rPr>
                <w:rFonts w:ascii="Arial" w:cs="Arial" w:eastAsia="Arial" w:hAnsi="Arial"/>
                <w:sz w:val="16"/>
                <w:szCs w:val="16"/>
                <w:color w:val="auto"/>
              </w:rPr>
            </w:pPr>
            <w:hyperlink r:id="rId256">
              <w:r>
                <w:rPr>
                  <w:rFonts w:ascii="Arial" w:cs="Arial" w:eastAsia="Arial" w:hAnsi="Arial"/>
                  <w:sz w:val="16"/>
                  <w:szCs w:val="16"/>
                  <w:color w:val="auto"/>
                </w:rPr>
                <w:t>Form of Performance Vesting Restricted Stock Agreement for Senior Executives, filed as Exhibit 10.3 to the Company’s Quarterly Report</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14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6">
              <w:r>
                <w:rPr>
                  <w:rFonts w:ascii="Arial" w:cs="Arial" w:eastAsia="Arial" w:hAnsi="Arial"/>
                  <w:sz w:val="16"/>
                  <w:szCs w:val="16"/>
                  <w:color w:val="auto"/>
                </w:rPr>
                <w:t>on Form 10-Q for the quarter ended June 30, 2021, filed with the Commission on July 28, 2021 (File No. 001-12984) and incorporated</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EE"/>
            </w:tcBorders>
            <w:gridSpan w:val="14"/>
          </w:tcPr>
          <w:p>
            <w:pPr>
              <w:spacing w:after="0" w:line="169" w:lineRule="exact"/>
              <w:rPr>
                <w:rFonts w:ascii="Arial" w:cs="Arial" w:eastAsia="Arial" w:hAnsi="Arial"/>
                <w:sz w:val="15"/>
                <w:szCs w:val="15"/>
                <w:color w:val="auto"/>
              </w:rPr>
            </w:pPr>
            <w:hyperlink r:id="rId256">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60" w:type="dxa"/>
            <w:vAlign w:val="bottom"/>
            <w:gridSpan w:val="2"/>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10.22</w:t>
            </w:r>
          </w:p>
        </w:tc>
        <w:tc>
          <w:tcPr>
            <w:tcW w:w="10000" w:type="dxa"/>
            <w:vAlign w:val="bottom"/>
            <w:gridSpan w:val="24"/>
          </w:tcPr>
          <w:p>
            <w:pPr>
              <w:spacing w:after="0"/>
              <w:rPr>
                <w:rFonts w:ascii="Arial" w:cs="Arial" w:eastAsia="Arial" w:hAnsi="Arial"/>
                <w:sz w:val="16"/>
                <w:szCs w:val="16"/>
                <w:color w:val="auto"/>
              </w:rPr>
            </w:pPr>
            <w:hyperlink r:id="rId257">
              <w:r>
                <w:rPr>
                  <w:rFonts w:ascii="Arial" w:cs="Arial" w:eastAsia="Arial" w:hAnsi="Arial"/>
                  <w:sz w:val="16"/>
                  <w:szCs w:val="16"/>
                  <w:color w:val="auto"/>
                </w:rPr>
                <w:t>Form of Time Vesting Restricted Stock Agreement for Senior Executives, filed as Exhibit 10.4 to the Company’s Quarterly Report on Form</w:t>
              </w:r>
            </w:hyperlink>
          </w:p>
        </w:tc>
        <w:tc>
          <w:tcPr>
            <w:tcW w:w="2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14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00" w:type="dxa"/>
            <w:vAlign w:val="bottom"/>
            <w:gridSpan w:val="24"/>
          </w:tcPr>
          <w:p>
            <w:pPr>
              <w:spacing w:after="0" w:line="169" w:lineRule="exact"/>
              <w:rPr>
                <w:rFonts w:ascii="Arial" w:cs="Arial" w:eastAsia="Arial" w:hAnsi="Arial"/>
                <w:sz w:val="16"/>
                <w:szCs w:val="16"/>
                <w:color w:val="auto"/>
              </w:rPr>
            </w:pPr>
            <w:hyperlink r:id="rId257">
              <w:r>
                <w:rPr>
                  <w:rFonts w:ascii="Arial" w:cs="Arial" w:eastAsia="Arial" w:hAnsi="Arial"/>
                  <w:sz w:val="16"/>
                  <w:szCs w:val="16"/>
                  <w:color w:val="auto"/>
                </w:rPr>
                <w:t>10-Q for the quarter ended June 30, 2021, filed with the Commission on July 28, 2021 (File No. 001-12984) and incorporated herein by</w:t>
              </w:r>
            </w:hyperlink>
          </w:p>
        </w:tc>
        <w:tc>
          <w:tcPr>
            <w:tcW w:w="20" w:type="dxa"/>
            <w:vAlign w:val="bottom"/>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EE"/>
            </w:tcBorders>
            <w:gridSpan w:val="15"/>
          </w:tcPr>
          <w:p>
            <w:pPr>
              <w:spacing w:after="0" w:line="169" w:lineRule="exact"/>
              <w:rPr>
                <w:rFonts w:ascii="Arial" w:cs="Arial" w:eastAsia="Arial" w:hAnsi="Arial"/>
                <w:sz w:val="15"/>
                <w:szCs w:val="15"/>
                <w:color w:val="auto"/>
              </w:rPr>
            </w:pPr>
            <w:hyperlink r:id="rId257">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10.23</w:t>
            </w:r>
          </w:p>
        </w:tc>
        <w:tc>
          <w:tcPr>
            <w:tcW w:w="10000" w:type="dxa"/>
            <w:vAlign w:val="bottom"/>
            <w:gridSpan w:val="24"/>
          </w:tcPr>
          <w:p>
            <w:pPr>
              <w:spacing w:after="0"/>
              <w:rPr>
                <w:rFonts w:ascii="Arial" w:cs="Arial" w:eastAsia="Arial" w:hAnsi="Arial"/>
                <w:sz w:val="16"/>
                <w:szCs w:val="16"/>
                <w:color w:val="auto"/>
              </w:rPr>
            </w:pPr>
            <w:hyperlink r:id="rId258">
              <w:r>
                <w:rPr>
                  <w:rFonts w:ascii="Arial" w:cs="Arial" w:eastAsia="Arial" w:hAnsi="Arial"/>
                  <w:sz w:val="16"/>
                  <w:szCs w:val="16"/>
                  <w:color w:val="auto"/>
                </w:rPr>
                <w:t>Eagle Materials Inc. Director Compensation Summary filed as Exhibit 10.1 to the Company’s Quarterly Report on Form 10-Q for the quarter</w:t>
              </w:r>
            </w:hyperlink>
          </w:p>
        </w:tc>
        <w:tc>
          <w:tcPr>
            <w:tcW w:w="2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EE"/>
            </w:tcBorders>
            <w:gridSpan w:val="23"/>
          </w:tcPr>
          <w:p>
            <w:pPr>
              <w:spacing w:after="0" w:line="169" w:lineRule="exact"/>
              <w:rPr>
                <w:rFonts w:ascii="Arial" w:cs="Arial" w:eastAsia="Arial" w:hAnsi="Arial"/>
                <w:sz w:val="15"/>
                <w:szCs w:val="15"/>
                <w:color w:val="auto"/>
              </w:rPr>
            </w:pPr>
            <w:hyperlink r:id="rId258">
              <w:r>
                <w:rPr>
                  <w:rFonts w:ascii="Arial" w:cs="Arial" w:eastAsia="Arial" w:hAnsi="Arial"/>
                  <w:sz w:val="15"/>
                  <w:szCs w:val="15"/>
                  <w:color w:val="auto"/>
                </w:rPr>
                <w:t xml:space="preserve">ended September 30, 2022, filed with the Commission on October 26, 2022 (File No. 001-12984) and incorporated herein by reference. </w:t>
              </w:r>
              <w:r>
                <w:rPr>
                  <w:rFonts w:ascii="Arial" w:cs="Arial" w:eastAsia="Arial" w:hAnsi="Arial"/>
                  <w:sz w:val="19"/>
                  <w:szCs w:val="19"/>
                  <w:color w:val="auto"/>
                  <w:vertAlign w:val="superscript"/>
                </w:rPr>
                <w:t>(1)</w:t>
              </w:r>
            </w:hyperlink>
          </w:p>
        </w:tc>
        <w:tc>
          <w:tcPr>
            <w:tcW w:w="20" w:type="dxa"/>
            <w:vAlign w:val="bottom"/>
            <w:tcBorders>
              <w:top w:val="single" w:sz="8" w:color="0000EE"/>
            </w:tcBorders>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401"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10.24</w:t>
            </w:r>
          </w:p>
        </w:tc>
        <w:tc>
          <w:tcPr>
            <w:tcW w:w="10040" w:type="dxa"/>
            <w:vAlign w:val="bottom"/>
            <w:gridSpan w:val="19"/>
          </w:tcPr>
          <w:p>
            <w:pPr>
              <w:spacing w:after="0"/>
              <w:rPr>
                <w:rFonts w:ascii="Arial" w:cs="Arial" w:eastAsia="Arial" w:hAnsi="Arial"/>
                <w:sz w:val="16"/>
                <w:szCs w:val="16"/>
                <w:color w:val="auto"/>
              </w:rPr>
            </w:pPr>
            <w:hyperlink r:id="rId260">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0">
              <w:r>
                <w:rPr>
                  <w:rFonts w:ascii="Arial" w:cs="Arial" w:eastAsia="Arial" w:hAnsi="Arial"/>
                  <w:sz w:val="16"/>
                  <w:szCs w:val="16"/>
                  <w:color w:val="auto"/>
                </w:rPr>
                <w:t>Form 10-Q for the quarter ended September 30, 2021, filed with the Commission on October 28, 2021 (File No. 001-12984) and</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gridSpan w:val="7"/>
          </w:tcPr>
          <w:p>
            <w:pPr>
              <w:spacing w:after="0" w:line="169" w:lineRule="exact"/>
              <w:rPr>
                <w:rFonts w:ascii="Arial" w:cs="Arial" w:eastAsia="Arial" w:hAnsi="Arial"/>
                <w:sz w:val="15"/>
                <w:szCs w:val="15"/>
                <w:color w:val="auto"/>
              </w:rPr>
            </w:pPr>
            <w:hyperlink r:id="rId260">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62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10.25</w:t>
            </w:r>
          </w:p>
        </w:tc>
        <w:tc>
          <w:tcPr>
            <w:tcW w:w="10040" w:type="dxa"/>
            <w:vAlign w:val="bottom"/>
            <w:gridSpan w:val="19"/>
          </w:tcPr>
          <w:p>
            <w:pPr>
              <w:spacing w:after="0"/>
              <w:rPr>
                <w:rFonts w:ascii="Arial" w:cs="Arial" w:eastAsia="Arial" w:hAnsi="Arial"/>
                <w:sz w:val="16"/>
                <w:szCs w:val="16"/>
                <w:color w:val="auto"/>
              </w:rPr>
            </w:pPr>
            <w:hyperlink r:id="rId261">
              <w:r>
                <w:rPr>
                  <w:rFonts w:ascii="Arial" w:cs="Arial" w:eastAsia="Arial" w:hAnsi="Arial"/>
                  <w:sz w:val="16"/>
                  <w:szCs w:val="16"/>
                  <w:color w:val="auto"/>
                </w:rPr>
                <w:t>Form of Performance Vesting Restricted Stock Agreement for Senior Executives, filed as Exhibit 10.5 to the Company’s Quarterly Report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1">
              <w:r>
                <w:rPr>
                  <w:rFonts w:ascii="Arial" w:cs="Arial" w:eastAsia="Arial" w:hAnsi="Arial"/>
                  <w:sz w:val="16"/>
                  <w:szCs w:val="16"/>
                  <w:color w:val="auto"/>
                </w:rPr>
                <w:t>on Form 10-Q for the quarter ended June 30, 2022, filed with the Commission on July 28, 2022 (File No. 001-12984) and incorporated</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EE"/>
            </w:tcBorders>
            <w:gridSpan w:val="14"/>
          </w:tcPr>
          <w:p>
            <w:pPr>
              <w:spacing w:after="0" w:line="169" w:lineRule="exact"/>
              <w:rPr>
                <w:rFonts w:ascii="Arial" w:cs="Arial" w:eastAsia="Arial" w:hAnsi="Arial"/>
                <w:sz w:val="15"/>
                <w:szCs w:val="15"/>
                <w:color w:val="auto"/>
              </w:rPr>
            </w:pPr>
            <w:hyperlink r:id="rId261">
              <w:r>
                <w:rPr>
                  <w:rFonts w:ascii="Arial" w:cs="Arial" w:eastAsia="Arial" w:hAnsi="Arial"/>
                  <w:sz w:val="15"/>
                  <w:szCs w:val="15"/>
                  <w:color w:val="auto"/>
                </w:rPr>
                <w:t xml:space="preserve">herein by reference. </w:t>
              </w:r>
              <w:r>
                <w:rPr>
                  <w:rFonts w:ascii="Arial" w:cs="Arial" w:eastAsia="Arial" w:hAnsi="Arial"/>
                  <w:sz w:val="19"/>
                  <w:szCs w:val="19"/>
                  <w:color w:val="auto"/>
                  <w:vertAlign w:val="superscript"/>
                </w:rPr>
                <w:t>(1)</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10.26</w:t>
            </w:r>
          </w:p>
        </w:tc>
        <w:tc>
          <w:tcPr>
            <w:tcW w:w="10040" w:type="dxa"/>
            <w:vAlign w:val="bottom"/>
            <w:gridSpan w:val="19"/>
          </w:tcPr>
          <w:p>
            <w:pPr>
              <w:spacing w:after="0"/>
              <w:rPr>
                <w:rFonts w:ascii="Arial" w:cs="Arial" w:eastAsia="Arial" w:hAnsi="Arial"/>
                <w:sz w:val="16"/>
                <w:szCs w:val="16"/>
                <w:color w:val="auto"/>
              </w:rPr>
            </w:pPr>
            <w:hyperlink r:id="rId262">
              <w:r>
                <w:rPr>
                  <w:rFonts w:ascii="Arial" w:cs="Arial" w:eastAsia="Arial" w:hAnsi="Arial"/>
                  <w:sz w:val="16"/>
                  <w:szCs w:val="16"/>
                  <w:color w:val="auto"/>
                </w:rPr>
                <w:t>Form of Time Vesting Restricted Stock Agreement for Senior Executives, filed as Exhibit 10.6 to the Company’s Quarterly Report on Form</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2">
              <w:r>
                <w:rPr>
                  <w:rFonts w:ascii="Arial" w:cs="Arial" w:eastAsia="Arial" w:hAnsi="Arial"/>
                  <w:sz w:val="16"/>
                  <w:szCs w:val="16"/>
                  <w:color w:val="auto"/>
                </w:rPr>
                <w:t>10-Q for the quarter ended June 30, 2022, filed with the Commission on July 28, 2022 (File No. 001-12984) and incorporated herein by</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EE"/>
            </w:tcBorders>
            <w:gridSpan w:val="15"/>
          </w:tcPr>
          <w:p>
            <w:pPr>
              <w:spacing w:after="0" w:line="169" w:lineRule="exact"/>
              <w:rPr>
                <w:rFonts w:ascii="Arial" w:cs="Arial" w:eastAsia="Arial" w:hAnsi="Arial"/>
                <w:sz w:val="15"/>
                <w:szCs w:val="15"/>
                <w:color w:val="auto"/>
              </w:rPr>
            </w:pPr>
            <w:hyperlink r:id="rId262">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10.27</w:t>
            </w:r>
          </w:p>
        </w:tc>
        <w:tc>
          <w:tcPr>
            <w:tcW w:w="10040" w:type="dxa"/>
            <w:vAlign w:val="bottom"/>
            <w:gridSpan w:val="19"/>
          </w:tcPr>
          <w:p>
            <w:pPr>
              <w:spacing w:after="0"/>
              <w:rPr>
                <w:rFonts w:ascii="Arial" w:cs="Arial" w:eastAsia="Arial" w:hAnsi="Arial"/>
                <w:sz w:val="16"/>
                <w:szCs w:val="16"/>
                <w:color w:val="auto"/>
              </w:rPr>
            </w:pPr>
            <w:hyperlink r:id="rId263">
              <w:r>
                <w:rPr>
                  <w:rFonts w:ascii="Arial" w:cs="Arial" w:eastAsia="Arial" w:hAnsi="Arial"/>
                  <w:sz w:val="16"/>
                  <w:szCs w:val="16"/>
                  <w:color w:val="auto"/>
                </w:rPr>
                <w:t>Form of Performance Vesting Non-Qualified Stock Option Agreement for Senior Executives, filed as Exhibit 10.7 to the Company’s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3">
              <w:r>
                <w:rPr>
                  <w:rFonts w:ascii="Arial" w:cs="Arial" w:eastAsia="Arial" w:hAnsi="Arial"/>
                  <w:sz w:val="16"/>
                  <w:szCs w:val="16"/>
                  <w:color w:val="auto"/>
                </w:rPr>
                <w:t>Quarterly Report on Form 10-Q for the quarter ended June 30, 2022, filed with the Commission on July 28, 2022 (File No. 001-12984) and</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EE"/>
            </w:tcBorders>
            <w:gridSpan w:val="17"/>
          </w:tcPr>
          <w:p>
            <w:pPr>
              <w:spacing w:after="0" w:line="169" w:lineRule="exact"/>
              <w:rPr>
                <w:rFonts w:ascii="Arial" w:cs="Arial" w:eastAsia="Arial" w:hAnsi="Arial"/>
                <w:sz w:val="15"/>
                <w:szCs w:val="15"/>
                <w:color w:val="auto"/>
              </w:rPr>
            </w:pPr>
            <w:hyperlink r:id="rId263">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10.28</w:t>
            </w:r>
          </w:p>
        </w:tc>
        <w:tc>
          <w:tcPr>
            <w:tcW w:w="10040" w:type="dxa"/>
            <w:vAlign w:val="bottom"/>
            <w:gridSpan w:val="19"/>
          </w:tcPr>
          <w:p>
            <w:pPr>
              <w:spacing w:after="0"/>
              <w:rPr>
                <w:rFonts w:ascii="Arial" w:cs="Arial" w:eastAsia="Arial" w:hAnsi="Arial"/>
                <w:sz w:val="16"/>
                <w:szCs w:val="16"/>
                <w:color w:val="auto"/>
              </w:rPr>
            </w:pPr>
            <w:hyperlink r:id="rId264">
              <w:r>
                <w:rPr>
                  <w:rFonts w:ascii="Arial" w:cs="Arial" w:eastAsia="Arial" w:hAnsi="Arial"/>
                  <w:sz w:val="16"/>
                  <w:szCs w:val="16"/>
                  <w:color w:val="auto"/>
                </w:rPr>
                <w:t>Form of Time Vesting Non-Qualified Stock Option Agreement for Senior Executives, filed as Exhibit 10.8 to the Company’s Quarterly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4">
              <w:r>
                <w:rPr>
                  <w:rFonts w:ascii="Arial" w:cs="Arial" w:eastAsia="Arial" w:hAnsi="Arial"/>
                  <w:sz w:val="16"/>
                  <w:szCs w:val="16"/>
                  <w:color w:val="auto"/>
                </w:rPr>
                <w:t>Report on Form 10-Q for the quarter ended June 30, 2022, filed with the Commission on July 28, 2022 (File No. 001-12984) and</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EE"/>
            </w:tcBorders>
            <w:gridSpan w:val="11"/>
          </w:tcPr>
          <w:p>
            <w:pPr>
              <w:spacing w:after="0" w:line="169" w:lineRule="exact"/>
              <w:rPr>
                <w:rFonts w:ascii="Arial" w:cs="Arial" w:eastAsia="Arial" w:hAnsi="Arial"/>
                <w:sz w:val="15"/>
                <w:szCs w:val="15"/>
                <w:color w:val="auto"/>
              </w:rPr>
            </w:pPr>
            <w:hyperlink r:id="rId264">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5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10.29</w:t>
            </w:r>
          </w:p>
        </w:tc>
        <w:tc>
          <w:tcPr>
            <w:tcW w:w="10040" w:type="dxa"/>
            <w:vAlign w:val="bottom"/>
            <w:gridSpan w:val="19"/>
          </w:tcPr>
          <w:p>
            <w:pPr>
              <w:spacing w:after="0"/>
              <w:rPr>
                <w:rFonts w:ascii="Arial" w:cs="Arial" w:eastAsia="Arial" w:hAnsi="Arial"/>
                <w:sz w:val="16"/>
                <w:szCs w:val="16"/>
                <w:color w:val="auto"/>
              </w:rPr>
            </w:pPr>
            <w:hyperlink r:id="rId265">
              <w:r>
                <w:rPr>
                  <w:rFonts w:ascii="Arial" w:cs="Arial" w:eastAsia="Arial" w:hAnsi="Arial"/>
                  <w:sz w:val="16"/>
                  <w:szCs w:val="16"/>
                  <w:color w:val="auto"/>
                </w:rPr>
                <w:t>Form of Restricted Stock Agreement for Non-Employee Directors, filed as Exhibit 10.2 to the Company’s Quarterly Report on Form 10-Q</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98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5">
              <w:r>
                <w:rPr>
                  <w:rFonts w:ascii="Arial" w:cs="Arial" w:eastAsia="Arial" w:hAnsi="Arial"/>
                  <w:sz w:val="16"/>
                  <w:szCs w:val="16"/>
                  <w:color w:val="auto"/>
                </w:rPr>
                <w:t>for the quarter ended September 30, 2022, filed with the Commission on October 26, 2022 (File No. 001-12984) and incorporated herein by</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EE"/>
            </w:tcBorders>
            <w:gridSpan w:val="18"/>
          </w:tcPr>
          <w:p>
            <w:pPr>
              <w:spacing w:after="0" w:line="169" w:lineRule="exact"/>
              <w:rPr>
                <w:rFonts w:ascii="Arial" w:cs="Arial" w:eastAsia="Arial" w:hAnsi="Arial"/>
                <w:sz w:val="15"/>
                <w:szCs w:val="15"/>
                <w:color w:val="auto"/>
              </w:rPr>
            </w:pPr>
            <w:hyperlink r:id="rId265">
              <w:r>
                <w:rPr>
                  <w:rFonts w:ascii="Arial" w:cs="Arial" w:eastAsia="Arial" w:hAnsi="Arial"/>
                  <w:sz w:val="15"/>
                  <w:szCs w:val="15"/>
                  <w:color w:val="auto"/>
                </w:rPr>
                <w:t xml:space="preserve">reference. </w:t>
              </w:r>
              <w:r>
                <w:rPr>
                  <w:rFonts w:ascii="Arial" w:cs="Arial" w:eastAsia="Arial" w:hAnsi="Arial"/>
                  <w:sz w:val="19"/>
                  <w:szCs w:val="19"/>
                  <w:color w:val="auto"/>
                  <w:vertAlign w:val="superscript"/>
                </w:rPr>
                <w:t>(1)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10.30</w:t>
            </w:r>
          </w:p>
        </w:tc>
        <w:tc>
          <w:tcPr>
            <w:tcW w:w="10040" w:type="dxa"/>
            <w:vAlign w:val="bottom"/>
            <w:gridSpan w:val="19"/>
          </w:tcPr>
          <w:p>
            <w:pPr>
              <w:spacing w:after="0"/>
              <w:rPr>
                <w:rFonts w:ascii="Arial" w:cs="Arial" w:eastAsia="Arial" w:hAnsi="Arial"/>
                <w:sz w:val="16"/>
                <w:szCs w:val="16"/>
                <w:color w:val="auto"/>
              </w:rPr>
            </w:pPr>
            <w:hyperlink r:id="rId266">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94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rFonts w:ascii="Arial" w:cs="Arial" w:eastAsia="Arial" w:hAnsi="Arial"/>
                <w:sz w:val="16"/>
                <w:szCs w:val="16"/>
                <w:color w:val="auto"/>
              </w:rPr>
            </w:pPr>
            <w:hyperlink r:id="rId266">
              <w:r>
                <w:rPr>
                  <w:rFonts w:ascii="Arial" w:cs="Arial" w:eastAsia="Arial" w:hAnsi="Arial"/>
                  <w:sz w:val="16"/>
                  <w:szCs w:val="16"/>
                  <w:color w:val="auto"/>
                </w:rPr>
                <w:t>Form 10-Q for the quarter ended September 30, 2022, filed with the Commission on October 26, 2022 (File No. 001-12984) and</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EE"/>
            </w:tcBorders>
            <w:gridSpan w:val="10"/>
          </w:tcPr>
          <w:p>
            <w:pPr>
              <w:spacing w:after="0" w:line="169" w:lineRule="exact"/>
              <w:rPr>
                <w:rFonts w:ascii="Arial" w:cs="Arial" w:eastAsia="Arial" w:hAnsi="Arial"/>
                <w:sz w:val="15"/>
                <w:szCs w:val="15"/>
                <w:color w:val="auto"/>
              </w:rPr>
            </w:pPr>
            <w:hyperlink r:id="rId266">
              <w:r>
                <w:rPr>
                  <w:rFonts w:ascii="Arial" w:cs="Arial" w:eastAsia="Arial" w:hAnsi="Arial"/>
                  <w:sz w:val="15"/>
                  <w:szCs w:val="15"/>
                  <w:color w:val="auto"/>
                </w:rPr>
                <w:t xml:space="preserve">incorporated herein by reference. </w:t>
              </w:r>
              <w:r>
                <w:rPr>
                  <w:rFonts w:ascii="Arial" w:cs="Arial" w:eastAsia="Arial" w:hAnsi="Arial"/>
                  <w:sz w:val="19"/>
                  <w:szCs w:val="19"/>
                  <w:color w:val="auto"/>
                  <w:vertAlign w:val="superscript"/>
                </w:rPr>
                <w:t>(1)</w:t>
              </w:r>
            </w:hyperlink>
          </w:p>
        </w:tc>
        <w:tc>
          <w:tcPr>
            <w:tcW w:w="600" w:type="dxa"/>
            <w:vAlign w:val="bottom"/>
            <w:gridSpan w:val="6"/>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21*</w:t>
            </w:r>
          </w:p>
        </w:tc>
        <w:tc>
          <w:tcPr>
            <w:tcW w:w="21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404040"/>
              </w:rPr>
              <w:t>Subsidiaries of the Company.</w:t>
            </w:r>
          </w:p>
        </w:tc>
        <w:tc>
          <w:tcPr>
            <w:tcW w:w="280" w:type="dxa"/>
            <w:vAlign w:val="bottom"/>
            <w:tcBorders>
              <w:top w:val="single" w:sz="8" w:color="0000EE"/>
            </w:tcBorders>
          </w:tcPr>
          <w:p>
            <w:pPr>
              <w:spacing w:after="0"/>
              <w:rPr>
                <w:sz w:val="24"/>
                <w:szCs w:val="24"/>
                <w:color w:val="auto"/>
              </w:rPr>
            </w:pPr>
          </w:p>
        </w:tc>
        <w:tc>
          <w:tcPr>
            <w:tcW w:w="7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404040"/>
              </w:rPr>
              <w:t>23.1*</w:t>
            </w:r>
          </w:p>
        </w:tc>
        <w:tc>
          <w:tcPr>
            <w:tcW w:w="10040" w:type="dxa"/>
            <w:vAlign w:val="bottom"/>
            <w:gridSpan w:val="19"/>
          </w:tcPr>
          <w:p>
            <w:pPr>
              <w:spacing w:after="0"/>
              <w:rPr>
                <w:sz w:val="20"/>
                <w:szCs w:val="20"/>
                <w:color w:val="auto"/>
              </w:rPr>
            </w:pPr>
            <w:r>
              <w:rPr>
                <w:rFonts w:ascii="Arial" w:cs="Arial" w:eastAsia="Arial" w:hAnsi="Arial"/>
                <w:sz w:val="16"/>
                <w:szCs w:val="16"/>
                <w:color w:val="auto"/>
              </w:rPr>
              <w:t>Consent of Registered Independent Public Accounting Firm – Ernst &amp; Young LLP.</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31.1*</w:t>
            </w:r>
          </w:p>
        </w:tc>
        <w:tc>
          <w:tcPr>
            <w:tcW w:w="10040" w:type="dxa"/>
            <w:vAlign w:val="bottom"/>
            <w:gridSpan w:val="19"/>
          </w:tcPr>
          <w:p>
            <w:pPr>
              <w:spacing w:after="0"/>
              <w:rPr>
                <w:sz w:val="20"/>
                <w:szCs w:val="20"/>
                <w:color w:val="auto"/>
              </w:rPr>
            </w:pPr>
            <w:r>
              <w:rPr>
                <w:rFonts w:ascii="Arial" w:cs="Arial" w:eastAsia="Arial" w:hAnsi="Arial"/>
                <w:sz w:val="16"/>
                <w:szCs w:val="16"/>
                <w:color w:val="auto"/>
              </w:rPr>
              <w:t>Certification of the Chief Executive Officer of Eagle Materials Inc. pursuant to Rules 13a-14 and 15d-14 promulgated under the Securities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180" w:type="dxa"/>
            <w:vAlign w:val="bottom"/>
            <w:gridSpan w:val="8"/>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2620" w:type="dxa"/>
            <w:vAlign w:val="bottom"/>
            <w:tcBorders>
              <w:bottom w:val="single" w:sz="8" w:color="0000EE"/>
            </w:tcBorders>
            <w:gridSpan w:val="9"/>
          </w:tcPr>
          <w:p>
            <w:pPr>
              <w:spacing w:after="0" w:line="169" w:lineRule="exact"/>
              <w:rPr>
                <w:sz w:val="20"/>
                <w:szCs w:val="20"/>
                <w:color w:val="auto"/>
              </w:rPr>
            </w:pPr>
            <w:r>
              <w:rPr>
                <w:rFonts w:ascii="Arial" w:cs="Arial" w:eastAsia="Arial" w:hAnsi="Arial"/>
                <w:sz w:val="16"/>
                <w:szCs w:val="16"/>
                <w:color w:val="auto"/>
              </w:rPr>
              <w:t>Exchange Act of 1934, as amended.</w:t>
            </w:r>
          </w:p>
        </w:tc>
        <w:tc>
          <w:tcPr>
            <w:tcW w:w="74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31.2*</w:t>
            </w:r>
          </w:p>
        </w:tc>
        <w:tc>
          <w:tcPr>
            <w:tcW w:w="10040" w:type="dxa"/>
            <w:vAlign w:val="bottom"/>
            <w:gridSpan w:val="19"/>
          </w:tcPr>
          <w:p>
            <w:pPr>
              <w:spacing w:after="0"/>
              <w:rPr>
                <w:sz w:val="20"/>
                <w:szCs w:val="20"/>
                <w:color w:val="auto"/>
              </w:rPr>
            </w:pPr>
            <w:r>
              <w:rPr>
                <w:rFonts w:ascii="Arial" w:cs="Arial" w:eastAsia="Arial" w:hAnsi="Arial"/>
                <w:sz w:val="16"/>
                <w:szCs w:val="16"/>
                <w:color w:val="auto"/>
              </w:rPr>
              <w:t>Certification of the Chief Financial Officer of Eagle Materials Inc. pursuant to Rules 13a-14 and 15d-14 promulgated under the Securities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2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2620" w:type="dxa"/>
            <w:vAlign w:val="bottom"/>
            <w:tcBorders>
              <w:bottom w:val="single" w:sz="8" w:color="0000EE"/>
            </w:tcBorders>
            <w:gridSpan w:val="9"/>
          </w:tcPr>
          <w:p>
            <w:pPr>
              <w:spacing w:after="0" w:line="169" w:lineRule="exact"/>
              <w:rPr>
                <w:sz w:val="20"/>
                <w:szCs w:val="20"/>
                <w:color w:val="auto"/>
              </w:rPr>
            </w:pPr>
            <w:r>
              <w:rPr>
                <w:rFonts w:ascii="Arial" w:cs="Arial" w:eastAsia="Arial" w:hAnsi="Arial"/>
                <w:sz w:val="16"/>
                <w:szCs w:val="16"/>
                <w:color w:val="auto"/>
              </w:rPr>
              <w:t>Exchange Act of 1934, as amended.</w:t>
            </w:r>
          </w:p>
        </w:tc>
        <w:tc>
          <w:tcPr>
            <w:tcW w:w="74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2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10040" w:type="dxa"/>
            <w:vAlign w:val="bottom"/>
            <w:gridSpan w:val="19"/>
          </w:tcPr>
          <w:p>
            <w:pPr>
              <w:spacing w:after="0"/>
              <w:rPr>
                <w:sz w:val="20"/>
                <w:szCs w:val="20"/>
                <w:color w:val="auto"/>
              </w:rPr>
            </w:pPr>
            <w:r>
              <w:rPr>
                <w:rFonts w:ascii="Arial" w:cs="Arial" w:eastAsia="Arial" w:hAnsi="Arial"/>
                <w:sz w:val="16"/>
                <w:szCs w:val="16"/>
                <w:color w:val="auto"/>
              </w:rPr>
              <w:t>Certification of the Chief Executive Officer of Eagle Materials Inc. pursuant to 18 U.S.C. Section 1350, as adopted pursuant to Section 906</w:t>
            </w: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10040" w:type="dxa"/>
            <w:vAlign w:val="bottom"/>
            <w:gridSpan w:val="19"/>
            <w:vMerge w:val="restart"/>
          </w:tcPr>
          <w:p>
            <w:pPr>
              <w:spacing w:after="0" w:line="169" w:lineRule="exact"/>
              <w:rPr>
                <w:sz w:val="20"/>
                <w:szCs w:val="20"/>
                <w:color w:val="auto"/>
              </w:rPr>
            </w:pPr>
            <w:r>
              <w:rPr>
                <w:rFonts w:ascii="Arial" w:cs="Arial" w:eastAsia="Arial" w:hAnsi="Arial"/>
                <w:sz w:val="16"/>
                <w:szCs w:val="16"/>
                <w:color w:val="auto"/>
              </w:rPr>
              <w:t>of the Sarbanes-Oxley Act of 2002.</w:t>
            </w:r>
          </w:p>
        </w:tc>
        <w:tc>
          <w:tcPr>
            <w:tcW w:w="0" w:type="dxa"/>
            <w:vAlign w:val="bottom"/>
          </w:tcPr>
          <w:p>
            <w:pPr>
              <w:spacing w:after="0"/>
              <w:rPr>
                <w:sz w:val="1"/>
                <w:szCs w:val="1"/>
                <w:color w:val="auto"/>
              </w:rPr>
            </w:pPr>
          </w:p>
        </w:tc>
      </w:tr>
      <w:tr>
        <w:trPr>
          <w:trHeight w:val="47"/>
        </w:trPr>
        <w:tc>
          <w:tcPr>
            <w:tcW w:w="1220" w:type="dxa"/>
            <w:vAlign w:val="bottom"/>
          </w:tcPr>
          <w:p>
            <w:pPr>
              <w:spacing w:after="0"/>
              <w:rPr>
                <w:sz w:val="4"/>
                <w:szCs w:val="4"/>
                <w:color w:val="auto"/>
              </w:rPr>
            </w:pPr>
          </w:p>
        </w:tc>
        <w:tc>
          <w:tcPr>
            <w:tcW w:w="100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32.2*</w:t>
            </w:r>
          </w:p>
        </w:tc>
        <w:tc>
          <w:tcPr>
            <w:tcW w:w="10040" w:type="dxa"/>
            <w:vAlign w:val="bottom"/>
            <w:gridSpan w:val="19"/>
          </w:tcPr>
          <w:p>
            <w:pPr>
              <w:spacing w:after="0"/>
              <w:rPr>
                <w:sz w:val="20"/>
                <w:szCs w:val="20"/>
                <w:color w:val="auto"/>
              </w:rPr>
            </w:pPr>
            <w:r>
              <w:rPr>
                <w:rFonts w:ascii="Arial" w:cs="Arial" w:eastAsia="Arial" w:hAnsi="Arial"/>
                <w:sz w:val="16"/>
                <w:szCs w:val="16"/>
                <w:color w:val="auto"/>
              </w:rPr>
              <w:t>Certification of the Chief Financial Officer of Eagle Materials Inc. pursuant to 18 U.S.C. Section 1350, as adopted pursuant to Section 906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730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10040" w:type="dxa"/>
            <w:vAlign w:val="bottom"/>
            <w:gridSpan w:val="19"/>
          </w:tcPr>
          <w:p>
            <w:pPr>
              <w:spacing w:after="0" w:line="169" w:lineRule="exact"/>
              <w:rPr>
                <w:sz w:val="20"/>
                <w:szCs w:val="20"/>
                <w:color w:val="auto"/>
              </w:rPr>
            </w:pPr>
            <w:r>
              <w:rPr>
                <w:rFonts w:ascii="Arial" w:cs="Arial" w:eastAsia="Arial" w:hAnsi="Arial"/>
                <w:sz w:val="16"/>
                <w:szCs w:val="16"/>
                <w:color w:val="auto"/>
              </w:rPr>
              <w:t>of the Sarbanes-Oxley Act of 2002.</w:t>
            </w: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6"/>
                <w:szCs w:val="16"/>
                <w:color w:val="auto"/>
              </w:rPr>
              <w:t>95*</w:t>
            </w:r>
          </w:p>
        </w:tc>
        <w:tc>
          <w:tcPr>
            <w:tcW w:w="252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auto"/>
              </w:rPr>
              <w:t>Mine Safety Disclosure.</w:t>
            </w:r>
          </w:p>
        </w:tc>
        <w:tc>
          <w:tcPr>
            <w:tcW w:w="7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220" w:type="dxa"/>
            <w:vAlign w:val="bottom"/>
          </w:tcPr>
          <w:p>
            <w:pPr>
              <w:spacing w:after="0"/>
              <w:rPr>
                <w:sz w:val="20"/>
                <w:szCs w:val="20"/>
                <w:color w:val="auto"/>
              </w:rPr>
            </w:pPr>
            <w:r>
              <w:rPr>
                <w:rFonts w:ascii="Arial" w:cs="Arial" w:eastAsia="Arial" w:hAnsi="Arial"/>
                <w:sz w:val="16"/>
                <w:szCs w:val="16"/>
                <w:color w:val="auto"/>
              </w:rPr>
              <w:t>101.INS*</w:t>
            </w:r>
          </w:p>
        </w:tc>
        <w:tc>
          <w:tcPr>
            <w:tcW w:w="10040" w:type="dxa"/>
            <w:vAlign w:val="bottom"/>
            <w:gridSpan w:val="19"/>
          </w:tcPr>
          <w:p>
            <w:pPr>
              <w:spacing w:after="0"/>
              <w:rPr>
                <w:sz w:val="20"/>
                <w:szCs w:val="20"/>
                <w:color w:val="auto"/>
              </w:rPr>
            </w:pPr>
            <w:r>
              <w:rPr>
                <w:rFonts w:ascii="Arial" w:cs="Arial" w:eastAsia="Arial" w:hAnsi="Arial"/>
                <w:sz w:val="16"/>
                <w:szCs w:val="16"/>
                <w:color w:val="auto"/>
              </w:rPr>
              <w:t>Inline XBRL Instance Document – This instance document does not appear in the Interactive Data File because its XBRL tags are</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10040" w:type="dxa"/>
            <w:vAlign w:val="bottom"/>
            <w:gridSpan w:val="19"/>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6"/>
                <w:szCs w:val="16"/>
                <w:color w:val="auto"/>
              </w:rPr>
              <w:t>101.SCH*</w:t>
            </w:r>
          </w:p>
        </w:tc>
        <w:tc>
          <w:tcPr>
            <w:tcW w:w="1004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6"/>
                <w:szCs w:val="16"/>
                <w:color w:val="auto"/>
              </w:rPr>
              <w:t>101.CAL*</w:t>
            </w:r>
          </w:p>
        </w:tc>
        <w:tc>
          <w:tcPr>
            <w:tcW w:w="1004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6"/>
                <w:szCs w:val="16"/>
                <w:color w:val="auto"/>
              </w:rPr>
              <w:t>101.DEF*</w:t>
            </w:r>
          </w:p>
        </w:tc>
        <w:tc>
          <w:tcPr>
            <w:tcW w:w="1004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6"/>
                <w:szCs w:val="16"/>
                <w:color w:val="auto"/>
              </w:rPr>
              <w:t>101.LAB*</w:t>
            </w:r>
          </w:p>
        </w:tc>
        <w:tc>
          <w:tcPr>
            <w:tcW w:w="1004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6"/>
                <w:szCs w:val="16"/>
                <w:color w:val="auto"/>
              </w:rPr>
              <w:t>101.PRE*</w:t>
            </w:r>
          </w:p>
        </w:tc>
        <w:tc>
          <w:tcPr>
            <w:tcW w:w="1004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20" w:hanging="1219"/>
        <w:spacing w:after="0"/>
        <w:tabs>
          <w:tab w:leader="none" w:pos="1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in Exhibit 101).</w:t>
      </w:r>
    </w:p>
    <w:p>
      <w:pPr>
        <w:spacing w:after="0" w:line="393"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40" w:top="401" w:right="299" w:bottom="1440" w:gutter="0" w:footer="0" w:header="0"/>
        </w:sectPr>
      </w:pPr>
    </w:p>
    <w:bookmarkStart w:id="109" w:name="page110"/>
    <w:bookmarkEnd w:id="109"/>
    <w:p>
      <w:pPr>
        <w:ind w:left="560" w:hanging="55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1423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1423035" cy="8255"/>
                    </a:xfrm>
                    <a:prstGeom prst="rect">
                      <a:avLst/>
                    </a:prstGeom>
                    <a:noFill/>
                  </pic:spPr>
                </pic:pic>
              </a:graphicData>
            </a:graphic>
          </wp:anchor>
        </w:drawing>
        <w:t>Filed herewith.</w:t>
      </w:r>
    </w:p>
    <w:p>
      <w:pPr>
        <w:ind w:left="440" w:hanging="432"/>
        <w:spacing w:after="0" w:line="222" w:lineRule="auto"/>
        <w:tabs>
          <w:tab w:leader="none" w:pos="44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36" w:right="1440"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SIGNATURES</w:t>
      </w:r>
    </w:p>
    <w:p>
      <w:pPr>
        <w:spacing w:after="0" w:line="10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20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8160" w:val="left"/>
        </w:tabs>
        <w:rPr>
          <w:sz w:val="20"/>
          <w:szCs w:val="20"/>
          <w:color w:val="auto"/>
        </w:rPr>
      </w:pPr>
      <w:r>
        <w:rPr>
          <w:rFonts w:ascii="Arial" w:cs="Arial" w:eastAsia="Arial" w:hAnsi="Arial"/>
          <w:sz w:val="18"/>
          <w:szCs w:val="18"/>
          <w:color w:val="auto"/>
        </w:rPr>
        <w:t>May 19, 2023</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wp:posOffset>
            </wp:positionV>
            <wp:extent cx="28460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Michael R. Haack,</w:t>
      </w:r>
    </w:p>
    <w:p>
      <w:pPr>
        <w:spacing w:after="0" w:line="8"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355" w:right="339" w:bottom="1440" w:gutter="0" w:footer="0" w:header="0"/>
        </w:sect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19, 2023</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13970</wp:posOffset>
            </wp:positionV>
            <wp:extent cx="28460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Michael R. Haack</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President and Chief Executive Officer</w:t>
      </w:r>
    </w:p>
    <w:p>
      <w:pPr>
        <w:jc w:val="center"/>
        <w:ind w:right="40"/>
        <w:spacing w:after="0"/>
        <w:rPr>
          <w:sz w:val="20"/>
          <w:szCs w:val="20"/>
          <w:color w:val="auto"/>
        </w:rPr>
      </w:pPr>
      <w:r>
        <w:rPr>
          <w:rFonts w:ascii="Arial" w:cs="Arial" w:eastAsia="Arial" w:hAnsi="Arial"/>
          <w:sz w:val="18"/>
          <w:szCs w:val="18"/>
          <w:color w:val="auto"/>
        </w:rPr>
        <w:t>(principal executive officer)</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13970</wp:posOffset>
            </wp:positionV>
            <wp:extent cx="28460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 Craig Kesler</w:t>
      </w:r>
    </w:p>
    <w:p>
      <w:pPr>
        <w:spacing w:after="0" w:line="8"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Executive Vice President – Finance and Administration</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and Chief Financial Officer (principal financial officer)</w:t>
      </w:r>
    </w:p>
    <w:p>
      <w:pPr>
        <w:spacing w:after="0" w:line="28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13970</wp:posOffset>
            </wp:positionV>
            <wp:extent cx="28460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William R. Devlin</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Senior Vice President – Controller and</w:t>
      </w:r>
    </w:p>
    <w:p>
      <w:pPr>
        <w:jc w:val="center"/>
        <w:ind w:right="40"/>
        <w:spacing w:after="0" w:line="234"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6080" w:space="720"/>
            <w:col w:w="4440"/>
          </w:cols>
          <w:pgMar w:left="320" w:top="355" w:right="339" w:bottom="1440" w:gutter="0" w:footer="0" w:header="0"/>
          <w:type w:val="continuous"/>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May 19, 2023</w:t>
            </w:r>
          </w:p>
        </w:tc>
        <w:tc>
          <w:tcPr>
            <w:tcW w:w="346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Richard Beckwitt</w:t>
            </w:r>
          </w:p>
        </w:tc>
      </w:tr>
      <w:tr>
        <w:trPr>
          <w:trHeight w:val="223"/>
        </w:trPr>
        <w:tc>
          <w:tcPr>
            <w:tcW w:w="3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Richard Beckwitt, Director</w:t>
            </w:r>
          </w:p>
        </w:tc>
      </w:tr>
      <w:tr>
        <w:trPr>
          <w:trHeight w:val="715"/>
        </w:trPr>
        <w:tc>
          <w:tcPr>
            <w:tcW w:w="3300" w:type="dxa"/>
            <w:vAlign w:val="bottom"/>
          </w:tcPr>
          <w:p>
            <w:pPr>
              <w:ind w:left="20"/>
              <w:spacing w:after="0"/>
              <w:rPr>
                <w:sz w:val="20"/>
                <w:szCs w:val="20"/>
                <w:color w:val="auto"/>
              </w:rPr>
            </w:pPr>
            <w:r>
              <w:rPr>
                <w:rFonts w:ascii="Arial" w:cs="Arial" w:eastAsia="Arial" w:hAnsi="Arial"/>
                <w:sz w:val="18"/>
                <w:szCs w:val="18"/>
                <w:color w:val="auto"/>
              </w:rPr>
              <w:t>May 19, 2023</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Margot L. Carter</w:t>
            </w:r>
          </w:p>
        </w:tc>
      </w:tr>
      <w:tr>
        <w:trPr>
          <w:trHeight w:val="223"/>
        </w:trPr>
        <w:tc>
          <w:tcPr>
            <w:tcW w:w="3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Margot L. Carter, Director</w:t>
            </w:r>
          </w:p>
        </w:tc>
      </w:tr>
      <w:tr>
        <w:trPr>
          <w:trHeight w:val="459"/>
        </w:trPr>
        <w:tc>
          <w:tcPr>
            <w:tcW w:w="3300" w:type="dxa"/>
            <w:vAlign w:val="bottom"/>
          </w:tcPr>
          <w:p>
            <w:pPr>
              <w:ind w:left="20"/>
              <w:spacing w:after="0"/>
              <w:rPr>
                <w:sz w:val="20"/>
                <w:szCs w:val="20"/>
                <w:color w:val="auto"/>
              </w:rPr>
            </w:pPr>
            <w:r>
              <w:rPr>
                <w:rFonts w:ascii="Arial" w:cs="Arial" w:eastAsia="Arial" w:hAnsi="Arial"/>
                <w:sz w:val="18"/>
                <w:szCs w:val="18"/>
                <w:color w:val="auto"/>
              </w:rPr>
              <w:t>May 19, 2023</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George J. Damiris</w:t>
            </w:r>
          </w:p>
        </w:tc>
      </w:tr>
      <w:tr>
        <w:trPr>
          <w:trHeight w:val="223"/>
        </w:trPr>
        <w:tc>
          <w:tcPr>
            <w:tcW w:w="3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George J. Damiris, Director</w:t>
            </w:r>
          </w:p>
        </w:tc>
      </w:tr>
      <w:tr>
        <w:trPr>
          <w:trHeight w:val="742"/>
        </w:trPr>
        <w:tc>
          <w:tcPr>
            <w:tcW w:w="3300" w:type="dxa"/>
            <w:vAlign w:val="bottom"/>
          </w:tcPr>
          <w:p>
            <w:pPr>
              <w:ind w:left="20"/>
              <w:spacing w:after="0"/>
              <w:rPr>
                <w:sz w:val="20"/>
                <w:szCs w:val="20"/>
                <w:color w:val="auto"/>
              </w:rPr>
            </w:pPr>
            <w:r>
              <w:rPr>
                <w:rFonts w:ascii="Arial" w:cs="Arial" w:eastAsia="Arial" w:hAnsi="Arial"/>
                <w:sz w:val="18"/>
                <w:szCs w:val="18"/>
                <w:color w:val="auto"/>
              </w:rPr>
              <w:t>May 19, 2023</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Martin M. Ellen</w:t>
            </w:r>
          </w:p>
        </w:tc>
      </w:tr>
      <w:tr>
        <w:trPr>
          <w:trHeight w:val="223"/>
        </w:trPr>
        <w:tc>
          <w:tcPr>
            <w:tcW w:w="3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Martin M. Ellen, Director</w:t>
            </w:r>
          </w:p>
        </w:tc>
      </w:tr>
      <w:tr>
        <w:trPr>
          <w:trHeight w:val="499"/>
        </w:trPr>
        <w:tc>
          <w:tcPr>
            <w:tcW w:w="3300" w:type="dxa"/>
            <w:vAlign w:val="bottom"/>
          </w:tcPr>
          <w:p>
            <w:pPr>
              <w:ind w:left="20"/>
              <w:spacing w:after="0"/>
              <w:rPr>
                <w:sz w:val="20"/>
                <w:szCs w:val="20"/>
                <w:color w:val="auto"/>
              </w:rPr>
            </w:pPr>
            <w:r>
              <w:rPr>
                <w:rFonts w:ascii="Arial" w:cs="Arial" w:eastAsia="Arial" w:hAnsi="Arial"/>
                <w:sz w:val="18"/>
                <w:szCs w:val="18"/>
                <w:color w:val="auto"/>
              </w:rPr>
              <w:t>May 19, 2023</w:t>
            </w:r>
          </w:p>
        </w:tc>
        <w:tc>
          <w:tcPr>
            <w:tcW w:w="34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Mauro Gregorio</w:t>
            </w:r>
          </w:p>
        </w:tc>
      </w:tr>
      <w:tr>
        <w:trPr>
          <w:trHeight w:val="223"/>
        </w:trPr>
        <w:tc>
          <w:tcPr>
            <w:tcW w:w="3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Mauro Gregorio, Director</w:t>
            </w:r>
          </w:p>
        </w:tc>
      </w:tr>
      <w:tr>
        <w:trPr>
          <w:trHeight w:val="864"/>
        </w:trPr>
        <w:tc>
          <w:tcPr>
            <w:tcW w:w="3300" w:type="dxa"/>
            <w:vAlign w:val="bottom"/>
          </w:tcPr>
          <w:p>
            <w:pPr>
              <w:spacing w:after="0"/>
              <w:rPr>
                <w:sz w:val="24"/>
                <w:szCs w:val="24"/>
                <w:color w:val="auto"/>
              </w:rPr>
            </w:pPr>
          </w:p>
        </w:tc>
        <w:tc>
          <w:tcPr>
            <w:tcW w:w="3460" w:type="dxa"/>
            <w:vAlign w:val="bottom"/>
          </w:tcPr>
          <w:p>
            <w:pPr>
              <w:jc w:val="right"/>
              <w:ind w:right="890"/>
              <w:spacing w:after="0"/>
              <w:rPr>
                <w:sz w:val="20"/>
                <w:szCs w:val="20"/>
                <w:color w:val="auto"/>
              </w:rPr>
            </w:pPr>
            <w:r>
              <w:rPr>
                <w:rFonts w:ascii="Arial" w:cs="Arial" w:eastAsia="Arial" w:hAnsi="Arial"/>
                <w:sz w:val="18"/>
                <w:szCs w:val="18"/>
                <w:color w:val="auto"/>
              </w:rPr>
              <w:t>109</w:t>
            </w:r>
          </w:p>
        </w:tc>
        <w:tc>
          <w:tcPr>
            <w:tcW w:w="4480" w:type="dxa"/>
            <w:vAlign w:val="bottom"/>
          </w:tcPr>
          <w:p>
            <w:pPr>
              <w:spacing w:after="0"/>
              <w:rPr>
                <w:sz w:val="24"/>
                <w:szCs w:val="24"/>
                <w:color w:val="auto"/>
              </w:rPr>
            </w:pPr>
          </w:p>
        </w:tc>
      </w:tr>
      <w:tr>
        <w:trPr>
          <w:trHeight w:val="102"/>
        </w:trPr>
        <w:tc>
          <w:tcPr>
            <w:tcW w:w="33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11" w:name="page112"/>
    <w:bookmarkEnd w:id="111"/>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0" w:lineRule="exact"/>
        <w:rPr>
          <w:sz w:val="20"/>
          <w:szCs w:val="20"/>
          <w:color w:val="auto"/>
        </w:rPr>
      </w:pPr>
      <w:r>
        <w:rPr>
          <w:sz w:val="20"/>
          <w:szCs w:val="20"/>
          <w:color w:val="auto"/>
        </w:rPr>
        <w:br w:type="column"/>
      </w:r>
    </w:p>
    <w:p>
      <w:pPr>
        <w:jc w:val="center"/>
        <w:ind w:left="-919"/>
        <w:spacing w:after="0"/>
        <w:rPr>
          <w:sz w:val="20"/>
          <w:szCs w:val="20"/>
          <w:color w:val="auto"/>
        </w:rPr>
      </w:pPr>
      <w:r>
        <w:rPr>
          <w:rFonts w:ascii="Arial" w:cs="Arial" w:eastAsia="Arial" w:hAnsi="Arial"/>
          <w:sz w:val="18"/>
          <w:szCs w:val="18"/>
          <w:color w:val="auto"/>
        </w:rPr>
        <w:t>/s/ Michael R. Nicolais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13970</wp:posOffset>
            </wp:positionV>
            <wp:extent cx="28460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919"/>
        <w:spacing w:after="0"/>
        <w:rPr>
          <w:sz w:val="20"/>
          <w:szCs w:val="20"/>
          <w:color w:val="auto"/>
        </w:rPr>
      </w:pPr>
      <w:r>
        <w:rPr>
          <w:rFonts w:ascii="Arial" w:cs="Arial" w:eastAsia="Arial" w:hAnsi="Arial"/>
          <w:sz w:val="18"/>
          <w:szCs w:val="18"/>
          <w:color w:val="auto"/>
        </w:rPr>
        <w:t>Michael R. Nicolais, Director</w:t>
      </w:r>
    </w:p>
    <w:p>
      <w:pPr>
        <w:spacing w:after="0" w:line="293" w:lineRule="exact"/>
        <w:rPr>
          <w:sz w:val="20"/>
          <w:szCs w:val="20"/>
          <w:color w:val="auto"/>
        </w:rPr>
      </w:pPr>
    </w:p>
    <w:p>
      <w:pPr>
        <w:jc w:val="center"/>
        <w:ind w:left="-919"/>
        <w:spacing w:after="0"/>
        <w:rPr>
          <w:sz w:val="20"/>
          <w:szCs w:val="20"/>
          <w:color w:val="auto"/>
        </w:rPr>
      </w:pPr>
      <w:r>
        <w:rPr>
          <w:rFonts w:ascii="Arial" w:cs="Arial" w:eastAsia="Arial" w:hAnsi="Arial"/>
          <w:sz w:val="18"/>
          <w:szCs w:val="18"/>
          <w:color w:val="auto"/>
        </w:rPr>
        <w:t>/s/ David B.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13970</wp:posOffset>
            </wp:positionV>
            <wp:extent cx="28460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919"/>
        <w:spacing w:after="0"/>
        <w:rPr>
          <w:sz w:val="20"/>
          <w:szCs w:val="20"/>
          <w:color w:val="auto"/>
        </w:rPr>
      </w:pPr>
      <w:r>
        <w:rPr>
          <w:rFonts w:ascii="Arial" w:cs="Arial" w:eastAsia="Arial" w:hAnsi="Arial"/>
          <w:sz w:val="18"/>
          <w:szCs w:val="18"/>
          <w:color w:val="auto"/>
        </w:rPr>
        <w:t>David B. Powers, Director</w:t>
      </w:r>
    </w:p>
    <w:p>
      <w:pPr>
        <w:spacing w:after="0" w:line="293" w:lineRule="exact"/>
        <w:rPr>
          <w:sz w:val="20"/>
          <w:szCs w:val="20"/>
          <w:color w:val="auto"/>
        </w:rPr>
      </w:pPr>
    </w:p>
    <w:p>
      <w:pPr>
        <w:jc w:val="center"/>
        <w:ind w:left="-919"/>
        <w:spacing w:after="0"/>
        <w:rPr>
          <w:sz w:val="20"/>
          <w:szCs w:val="20"/>
          <w:color w:val="auto"/>
        </w:rPr>
      </w:pPr>
      <w:r>
        <w:rPr>
          <w:rFonts w:ascii="Arial" w:cs="Arial" w:eastAsia="Arial" w:hAnsi="Arial"/>
          <w:sz w:val="18"/>
          <w:szCs w:val="18"/>
          <w:color w:val="auto"/>
        </w:rPr>
        <w:t>/s/ Mary P. Ricciardello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13970</wp:posOffset>
            </wp:positionV>
            <wp:extent cx="28460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919"/>
        <w:spacing w:after="0"/>
        <w:rPr>
          <w:sz w:val="20"/>
          <w:szCs w:val="20"/>
          <w:color w:val="auto"/>
        </w:rPr>
      </w:pPr>
      <w:r>
        <w:rPr>
          <w:rFonts w:ascii="Arial" w:cs="Arial" w:eastAsia="Arial" w:hAnsi="Arial"/>
          <w:sz w:val="17"/>
          <w:szCs w:val="17"/>
          <w:color w:val="auto"/>
        </w:rPr>
        <w:t>Mary P. Ricciardello, Director</w:t>
      </w:r>
    </w:p>
    <w:p>
      <w:pPr>
        <w:spacing w:after="0" w:line="304" w:lineRule="exact"/>
        <w:rPr>
          <w:sz w:val="20"/>
          <w:szCs w:val="20"/>
          <w:color w:val="auto"/>
        </w:rPr>
      </w:pPr>
    </w:p>
    <w:p>
      <w:pPr>
        <w:jc w:val="center"/>
        <w:ind w:left="-919"/>
        <w:spacing w:after="0"/>
        <w:rPr>
          <w:sz w:val="20"/>
          <w:szCs w:val="20"/>
          <w:color w:val="auto"/>
        </w:rPr>
      </w:pPr>
      <w:r>
        <w:rPr>
          <w:rFonts w:ascii="Arial" w:cs="Arial" w:eastAsia="Arial" w:hAnsi="Arial"/>
          <w:sz w:val="18"/>
          <w:szCs w:val="18"/>
          <w:color w:val="auto"/>
        </w:rPr>
        <w:t>/s/ Richard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13970</wp:posOffset>
            </wp:positionV>
            <wp:extent cx="28460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919"/>
        <w:spacing w:after="0"/>
        <w:rPr>
          <w:sz w:val="20"/>
          <w:szCs w:val="20"/>
          <w:color w:val="auto"/>
        </w:rPr>
      </w:pPr>
      <w:r>
        <w:rPr>
          <w:rFonts w:ascii="Arial" w:cs="Arial" w:eastAsia="Arial" w:hAnsi="Arial"/>
          <w:sz w:val="18"/>
          <w:szCs w:val="18"/>
          <w:color w:val="auto"/>
        </w:rPr>
        <w:t>Richard R. Stewart,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8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75565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40" w:space="720"/>
            <w:col w:w="4660"/>
          </w:cols>
          <w:pgMar w:left="340" w:top="410" w:right="1439" w:bottom="1440" w:gutter="0" w:footer="0" w:header="0"/>
        </w:sectPr>
      </w:pPr>
    </w:p>
    <w:bookmarkStart w:id="112" w:name="page113"/>
    <w:bookmarkEnd w:id="1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ind w:left="10480"/>
        <w:spacing w:after="0"/>
        <w:rPr>
          <w:sz w:val="20"/>
          <w:szCs w:val="20"/>
          <w:color w:val="auto"/>
        </w:rPr>
      </w:pPr>
      <w:r>
        <w:rPr>
          <w:rFonts w:ascii="Arial" w:cs="Arial" w:eastAsia="Arial" w:hAnsi="Arial"/>
          <w:sz w:val="17"/>
          <w:szCs w:val="17"/>
          <w:color w:val="auto"/>
        </w:rPr>
        <w:t>Exhibit 21</w:t>
      </w:r>
    </w:p>
    <w:p>
      <w:pPr>
        <w:spacing w:after="0" w:line="183" w:lineRule="exact"/>
        <w:rPr>
          <w:sz w:val="20"/>
          <w:szCs w:val="20"/>
          <w:color w:val="auto"/>
        </w:rPr>
      </w:pPr>
    </w:p>
    <w:p>
      <w:pPr>
        <w:ind w:right="460" w:firstLine="481"/>
        <w:spacing w:after="0" w:line="277" w:lineRule="auto"/>
        <w:rPr>
          <w:sz w:val="20"/>
          <w:szCs w:val="20"/>
          <w:color w:val="auto"/>
        </w:rPr>
      </w:pPr>
      <w:r>
        <w:rPr>
          <w:rFonts w:ascii="Arial" w:cs="Arial" w:eastAsia="Arial" w:hAnsi="Arial"/>
          <w:sz w:val="18"/>
          <w:szCs w:val="18"/>
          <w:color w:val="auto"/>
        </w:rPr>
        <w:t>The following is a list of subsidiaries of Eagle Materials Inc., wholly-owned unless otherwise stated. This list of subsidiaries includes all of the significant subsidiaries of Eagle Materials Inc. as of May 19, 2023.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 Name</w:t>
            </w:r>
          </w:p>
        </w:tc>
        <w:tc>
          <w:tcPr>
            <w:tcW w:w="230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473"/>
        </w:trPr>
        <w:tc>
          <w:tcPr>
            <w:tcW w:w="5580" w:type="dxa"/>
            <w:vAlign w:val="bottom"/>
          </w:tcPr>
          <w:p>
            <w:pPr>
              <w:ind w:left="20"/>
              <w:spacing w:after="0"/>
              <w:rPr>
                <w:sz w:val="20"/>
                <w:szCs w:val="20"/>
                <w:color w:val="auto"/>
              </w:rPr>
            </w:pPr>
            <w:r>
              <w:rPr>
                <w:rFonts w:ascii="Arial" w:cs="Arial" w:eastAsia="Arial" w:hAnsi="Arial"/>
                <w:sz w:val="18"/>
                <w:szCs w:val="18"/>
                <w:color w:val="auto"/>
              </w:rPr>
              <w:t>AG DALLAS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AG SOUTH CAROLINA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AMERICAN GYPSUM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AMERICAN GYPSUM MARKETING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72"/>
        </w:trPr>
        <w:tc>
          <w:tcPr>
            <w:tcW w:w="5580" w:type="dxa"/>
            <w:vAlign w:val="bottom"/>
          </w:tcPr>
          <w:p>
            <w:pPr>
              <w:ind w:left="20"/>
              <w:spacing w:after="0"/>
              <w:rPr>
                <w:sz w:val="20"/>
                <w:szCs w:val="20"/>
                <w:color w:val="auto"/>
              </w:rPr>
            </w:pPr>
            <w:r>
              <w:rPr>
                <w:rFonts w:ascii="Arial" w:cs="Arial" w:eastAsia="Arial" w:hAnsi="Arial"/>
                <w:sz w:val="18"/>
                <w:szCs w:val="18"/>
                <w:color w:val="auto"/>
              </w:rPr>
              <w:t>AUDUBON MATERIALS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d/b/a Central Plains Cement Company LLC</w:t>
            </w:r>
          </w:p>
        </w:tc>
        <w:tc>
          <w:tcPr>
            <w:tcW w:w="23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72"/>
        </w:trPr>
        <w:tc>
          <w:tcPr>
            <w:tcW w:w="5580" w:type="dxa"/>
            <w:vAlign w:val="bottom"/>
          </w:tcPr>
          <w:p>
            <w:pPr>
              <w:ind w:left="20"/>
              <w:spacing w:after="0"/>
              <w:rPr>
                <w:sz w:val="20"/>
                <w:szCs w:val="20"/>
                <w:color w:val="auto"/>
              </w:rPr>
            </w:pPr>
            <w:r>
              <w:rPr>
                <w:rFonts w:ascii="Arial" w:cs="Arial" w:eastAsia="Arial" w:hAnsi="Arial"/>
                <w:sz w:val="18"/>
                <w:szCs w:val="18"/>
                <w:color w:val="auto"/>
              </w:rPr>
              <w:t>AUDUBON READYMIX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d/b/a Quicksilver Readymix LLC</w:t>
            </w:r>
          </w:p>
        </w:tc>
        <w:tc>
          <w:tcPr>
            <w:tcW w:w="23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CCP CEMENT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CCP CONCRETE/AGGREGATES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CCP GYPSUM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CENTEX MATERIALS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ILLINOIS CEMENT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FAIRBORN CEMENT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HOLLIS &amp; EASTERN RAILROAD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72"/>
        </w:trPr>
        <w:tc>
          <w:tcPr>
            <w:tcW w:w="5580" w:type="dxa"/>
            <w:vAlign w:val="bottom"/>
          </w:tcPr>
          <w:p>
            <w:pPr>
              <w:ind w:left="20"/>
              <w:spacing w:after="0"/>
              <w:rPr>
                <w:sz w:val="20"/>
                <w:szCs w:val="20"/>
                <w:color w:val="auto"/>
              </w:rPr>
            </w:pPr>
            <w:r>
              <w:rPr>
                <w:rFonts w:ascii="Arial" w:cs="Arial" w:eastAsia="Arial" w:hAnsi="Arial"/>
                <w:sz w:val="18"/>
                <w:szCs w:val="18"/>
                <w:color w:val="auto"/>
              </w:rPr>
              <w:t>KANSAS CITY AGGREGATE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d/b/a Talon Concrete and Aggregates LLC</w:t>
            </w:r>
          </w:p>
        </w:tc>
        <w:tc>
          <w:tcPr>
            <w:tcW w:w="23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KANSAS CITY FLY ASH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72"/>
        </w:trPr>
        <w:tc>
          <w:tcPr>
            <w:tcW w:w="5580" w:type="dxa"/>
            <w:vAlign w:val="bottom"/>
          </w:tcPr>
          <w:p>
            <w:pPr>
              <w:ind w:left="20"/>
              <w:spacing w:after="0"/>
              <w:rPr>
                <w:sz w:val="20"/>
                <w:szCs w:val="20"/>
                <w:color w:val="auto"/>
              </w:rPr>
            </w:pPr>
            <w:r>
              <w:rPr>
                <w:rFonts w:ascii="Arial" w:cs="Arial" w:eastAsia="Arial" w:hAnsi="Arial"/>
                <w:sz w:val="18"/>
                <w:szCs w:val="18"/>
                <w:color w:val="auto"/>
              </w:rPr>
              <w:t>KANSAS CITY READYMIX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d/b/a Talon Concrete and Aggregates LLC</w:t>
            </w:r>
          </w:p>
        </w:tc>
        <w:tc>
          <w:tcPr>
            <w:tcW w:w="23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KOSMOS CEMENT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580" w:type="dxa"/>
            <w:vAlign w:val="bottom"/>
          </w:tcPr>
          <w:p>
            <w:pPr>
              <w:ind w:left="20"/>
              <w:spacing w:after="0"/>
              <w:rPr>
                <w:sz w:val="20"/>
                <w:szCs w:val="20"/>
                <w:color w:val="auto"/>
              </w:rPr>
            </w:pPr>
            <w:r>
              <w:rPr>
                <w:rFonts w:ascii="Arial" w:cs="Arial" w:eastAsia="Arial" w:hAnsi="Arial"/>
                <w:sz w:val="18"/>
                <w:szCs w:val="18"/>
                <w:color w:val="auto"/>
              </w:rPr>
              <w:t>MOUNTAIN CEMENT COMPANY LLC</w:t>
            </w:r>
          </w:p>
        </w:tc>
        <w:tc>
          <w:tcPr>
            <w:tcW w:w="23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1"/>
        </w:trPr>
        <w:tc>
          <w:tcPr>
            <w:tcW w:w="55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MOUNTAIN LAND &amp; CATTLE COMPANY LLC</w:t>
            </w:r>
          </w:p>
        </w:tc>
        <w:tc>
          <w:tcPr>
            <w:tcW w:w="2900" w:type="dxa"/>
            <w:vAlign w:val="bottom"/>
          </w:tcPr>
          <w:p>
            <w:pPr>
              <w:spacing w:after="0"/>
              <w:rPr>
                <w:sz w:val="20"/>
                <w:szCs w:val="20"/>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NEVADA CEMENT COMPANY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RAPTOR MATERIALS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REPUBLIC PAPERBOARD COMPANY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SKYWAY CEMENT COMPANY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TEXAS CEMENT COMPANY</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90"/>
              </w:rPr>
              <w:t>Nevada</w:t>
            </w:r>
          </w:p>
        </w:tc>
      </w:tr>
      <w:tr>
        <w:trPr>
          <w:trHeight w:val="472"/>
        </w:trPr>
        <w:tc>
          <w:tcPr>
            <w:tcW w:w="5160" w:type="dxa"/>
            <w:vAlign w:val="bottom"/>
          </w:tcPr>
          <w:p>
            <w:pPr>
              <w:ind w:left="20"/>
              <w:spacing w:after="0"/>
              <w:rPr>
                <w:sz w:val="20"/>
                <w:szCs w:val="20"/>
                <w:color w:val="auto"/>
              </w:rPr>
            </w:pPr>
            <w:r>
              <w:rPr>
                <w:rFonts w:ascii="Arial" w:cs="Arial" w:eastAsia="Arial" w:hAnsi="Arial"/>
                <w:sz w:val="18"/>
                <w:szCs w:val="18"/>
                <w:color w:val="auto"/>
              </w:rPr>
              <w:t>TEXAS LEHIGH CEMENT COMPANY LP</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3180" w:type="dxa"/>
            <w:vAlign w:val="bottom"/>
          </w:tcPr>
          <w:p>
            <w:pPr>
              <w:jc w:val="center"/>
              <w:ind w:right="70"/>
              <w:spacing w:after="0"/>
              <w:rPr>
                <w:sz w:val="20"/>
                <w:szCs w:val="20"/>
                <w:color w:val="auto"/>
              </w:rPr>
            </w:pPr>
            <w:r>
              <w:rPr>
                <w:rFonts w:ascii="Arial" w:cs="Arial" w:eastAsia="Arial" w:hAnsi="Arial"/>
                <w:sz w:val="18"/>
                <w:szCs w:val="18"/>
                <w:color w:val="auto"/>
                <w:w w:val="85"/>
              </w:rPr>
              <w:t>Texas</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d/b/a Texas Lehigh Cement</w:t>
            </w:r>
          </w:p>
        </w:tc>
        <w:tc>
          <w:tcPr>
            <w:tcW w:w="29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TLCC GP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86"/>
        </w:trPr>
        <w:tc>
          <w:tcPr>
            <w:tcW w:w="5160" w:type="dxa"/>
            <w:vAlign w:val="bottom"/>
          </w:tcPr>
          <w:p>
            <w:pPr>
              <w:ind w:left="20"/>
              <w:spacing w:after="0"/>
              <w:rPr>
                <w:sz w:val="20"/>
                <w:szCs w:val="20"/>
                <w:color w:val="auto"/>
              </w:rPr>
            </w:pPr>
            <w:r>
              <w:rPr>
                <w:rFonts w:ascii="Arial" w:cs="Arial" w:eastAsia="Arial" w:hAnsi="Arial"/>
                <w:sz w:val="18"/>
                <w:szCs w:val="18"/>
                <w:color w:val="auto"/>
              </w:rPr>
              <w:t>TLCC LP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472"/>
        </w:trPr>
        <w:tc>
          <w:tcPr>
            <w:tcW w:w="5160" w:type="dxa"/>
            <w:vAlign w:val="bottom"/>
          </w:tcPr>
          <w:p>
            <w:pPr>
              <w:ind w:left="20"/>
              <w:spacing w:after="0"/>
              <w:rPr>
                <w:sz w:val="20"/>
                <w:szCs w:val="20"/>
                <w:color w:val="auto"/>
              </w:rPr>
            </w:pPr>
            <w:r>
              <w:rPr>
                <w:rFonts w:ascii="Arial" w:cs="Arial" w:eastAsia="Arial" w:hAnsi="Arial"/>
                <w:sz w:val="18"/>
                <w:szCs w:val="18"/>
                <w:color w:val="auto"/>
              </w:rPr>
              <w:t>TULSA CEMEMT LLC</w:t>
            </w:r>
          </w:p>
        </w:tc>
        <w:tc>
          <w:tcPr>
            <w:tcW w:w="2900" w:type="dxa"/>
            <w:vAlign w:val="bottom"/>
          </w:tcPr>
          <w:p>
            <w:pPr>
              <w:spacing w:after="0"/>
              <w:rPr>
                <w:sz w:val="24"/>
                <w:szCs w:val="24"/>
                <w:color w:val="auto"/>
              </w:rPr>
            </w:pPr>
          </w:p>
        </w:tc>
        <w:tc>
          <w:tcPr>
            <w:tcW w:w="3180" w:type="dxa"/>
            <w:vAlign w:val="bottom"/>
          </w:tcPr>
          <w:p>
            <w:pPr>
              <w:jc w:val="center"/>
              <w:ind w:right="90"/>
              <w:spacing w:after="0"/>
              <w:rPr>
                <w:sz w:val="20"/>
                <w:szCs w:val="20"/>
                <w:color w:val="auto"/>
              </w:rPr>
            </w:pPr>
            <w:r>
              <w:rPr>
                <w:rFonts w:ascii="Arial" w:cs="Arial" w:eastAsia="Arial" w:hAnsi="Arial"/>
                <w:sz w:val="18"/>
                <w:szCs w:val="18"/>
                <w:color w:val="auto"/>
                <w:w w:val="89"/>
              </w:rPr>
              <w:t>Delaware</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d/b/a Central Plains Cement Company LLC</w:t>
            </w:r>
          </w:p>
        </w:tc>
        <w:tc>
          <w:tcPr>
            <w:tcW w:w="29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803"/>
        </w:trPr>
        <w:tc>
          <w:tcPr>
            <w:tcW w:w="51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5" w:name="page116"/>
    <w:bookmarkEnd w:id="1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S-8 No. 33-82820) of Eagle Materials Inc.,</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S-8 No. 33-82928) of Eagle Materials Inc.,</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S-8 No. 33-84394) of Eagle Materials Inc.,</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S-8 No. 333-54102) of Eagle Materials Inc.,</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S-8 No. 333-163061) of Eagle Materials Inc.,</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S-8 No. 333-190487) of Eagle Materials Inc., and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 (Form S-3 No. 333-260836) of Eagle Materials Inc.;</w:t>
      </w:r>
    </w:p>
    <w:p>
      <w:pPr>
        <w:spacing w:after="0" w:line="211"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of our reports dated May 19, 2023, with respect to the consolidated financial statements of Eagle Materials Inc., and the effectiveness of internal control over financial reporting of Eagle Materials Inc., included in this Annual Report (Form 10-K) of Eagle Materials Inc. for the year ended March 31, 2023.</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7"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Certification of Periodic Report Pursuant to 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Michael R. Haack, certify that:</w:t>
      </w:r>
    </w:p>
    <w:p>
      <w:pPr>
        <w:spacing w:after="0" w:line="229"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report on Form 10-K of Eagle Materials Inc.;</w:t>
      </w:r>
    </w:p>
    <w:p>
      <w:pPr>
        <w:spacing w:after="0" w:line="229" w:lineRule="exact"/>
        <w:rPr>
          <w:rFonts w:ascii="Arial" w:cs="Arial" w:eastAsia="Arial" w:hAnsi="Arial"/>
          <w:sz w:val="20"/>
          <w:szCs w:val="20"/>
          <w:color w:val="auto"/>
        </w:rPr>
      </w:pPr>
    </w:p>
    <w:p>
      <w:pPr>
        <w:jc w:val="both"/>
        <w:ind w:firstLine="8"/>
        <w:spacing w:after="0" w:line="250" w:lineRule="auto"/>
        <w:tabs>
          <w:tab w:leader="none" w:pos="4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316" w:lineRule="auto"/>
        <w:tabs>
          <w:tab w:leader="none" w:pos="4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8"/>
        <w:spacing w:after="0" w:line="250" w:lineRule="auto"/>
        <w:tabs>
          <w:tab w:leader="none" w:pos="41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sz w:val="20"/>
          <w:szCs w:val="20"/>
          <w:color w:val="auto"/>
        </w:rPr>
      </w:pPr>
    </w:p>
    <w:p>
      <w:pPr>
        <w:jc w:val="both"/>
        <w:ind w:firstLine="8"/>
        <w:spacing w:after="0" w:line="250" w:lineRule="auto"/>
        <w:tabs>
          <w:tab w:leader="none" w:pos="442"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Arial" w:cs="Arial" w:eastAsia="Arial" w:hAnsi="Arial"/>
          <w:sz w:val="20"/>
          <w:szCs w:val="20"/>
          <w:color w:val="auto"/>
        </w:rPr>
      </w:pPr>
    </w:p>
    <w:p>
      <w:pPr>
        <w:jc w:val="both"/>
        <w:ind w:firstLine="8"/>
        <w:spacing w:after="0" w:line="250" w:lineRule="auto"/>
        <w:tabs>
          <w:tab w:leader="none" w:pos="398"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ind w:firstLine="8"/>
        <w:spacing w:after="0" w:line="316"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8"/>
        <w:spacing w:after="0" w:line="250" w:lineRule="auto"/>
        <w:tabs>
          <w:tab w:leader="none" w:pos="403"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9" w:lineRule="exact"/>
        <w:rPr>
          <w:sz w:val="20"/>
          <w:szCs w:val="20"/>
          <w:color w:val="auto"/>
        </w:rPr>
      </w:pPr>
    </w:p>
    <w:p>
      <w:pPr>
        <w:jc w:val="both"/>
        <w:ind w:firstLine="8"/>
        <w:spacing w:after="0" w:line="250" w:lineRule="auto"/>
        <w:tabs>
          <w:tab w:leader="none" w:pos="412"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9" w:lineRule="exact"/>
        <w:rPr>
          <w:sz w:val="20"/>
          <w:szCs w:val="20"/>
          <w:color w:val="auto"/>
        </w:rPr>
      </w:pPr>
    </w:p>
    <w:p>
      <w:pPr>
        <w:ind w:firstLine="8"/>
        <w:spacing w:after="0" w:line="287" w:lineRule="auto"/>
        <w:tabs>
          <w:tab w:leader="none" w:pos="417" w:val="left"/>
        </w:tabs>
        <w:numPr>
          <w:ilvl w:val="0"/>
          <w:numId w:val="43"/>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9"/>
          <w:szCs w:val="19"/>
          <w:color w:val="auto"/>
        </w:rPr>
      </w:pPr>
    </w:p>
    <w:p>
      <w:pPr>
        <w:ind w:firstLine="8"/>
        <w:spacing w:after="0" w:line="260" w:lineRule="auto"/>
        <w:tabs>
          <w:tab w:leader="none" w:pos="399"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Dated:</w:t>
        <w:tab/>
        <w:t>May 19, 2023</w:t>
      </w:r>
    </w:p>
    <w:p>
      <w:pPr>
        <w:spacing w:after="0" w:line="283"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31457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 w:lineRule="exact"/>
        <w:rPr>
          <w:sz w:val="20"/>
          <w:szCs w:val="20"/>
          <w:color w:val="auto"/>
        </w:rPr>
      </w:pPr>
    </w:p>
    <w:p>
      <w:pPr>
        <w:ind w:left="780"/>
        <w:spacing w:after="0"/>
        <w:rPr>
          <w:sz w:val="20"/>
          <w:szCs w:val="20"/>
          <w:color w:val="auto"/>
        </w:rPr>
      </w:pPr>
      <w:r>
        <w:rPr>
          <w:rFonts w:ascii="Arial" w:cs="Arial" w:eastAsia="Arial" w:hAnsi="Arial"/>
          <w:sz w:val="20"/>
          <w:szCs w:val="20"/>
          <w:color w:val="auto"/>
        </w:rPr>
        <w:t>Michael R. Haack</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7"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Certification of Periodic Report Pursuant to 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 Craig Kesler, certify that:</w:t>
      </w:r>
    </w:p>
    <w:p>
      <w:pPr>
        <w:spacing w:after="0" w:line="229"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report on Form 10-K of Eagle Materials Inc.;</w:t>
      </w:r>
    </w:p>
    <w:p>
      <w:pPr>
        <w:spacing w:after="0" w:line="229" w:lineRule="exact"/>
        <w:rPr>
          <w:rFonts w:ascii="Arial" w:cs="Arial" w:eastAsia="Arial" w:hAnsi="Arial"/>
          <w:sz w:val="20"/>
          <w:szCs w:val="20"/>
          <w:color w:val="auto"/>
        </w:rPr>
      </w:pPr>
    </w:p>
    <w:p>
      <w:pPr>
        <w:jc w:val="both"/>
        <w:ind w:firstLine="8"/>
        <w:spacing w:after="0" w:line="250" w:lineRule="auto"/>
        <w:tabs>
          <w:tab w:leader="none" w:pos="4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316" w:lineRule="auto"/>
        <w:tabs>
          <w:tab w:leader="none" w:pos="4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8"/>
        <w:spacing w:after="0" w:line="250" w:lineRule="auto"/>
        <w:tabs>
          <w:tab w:leader="none" w:pos="417"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sz w:val="20"/>
          <w:szCs w:val="20"/>
          <w:color w:val="auto"/>
        </w:rPr>
      </w:pPr>
    </w:p>
    <w:p>
      <w:pPr>
        <w:jc w:val="both"/>
        <w:ind w:firstLine="8"/>
        <w:spacing w:after="0" w:line="250" w:lineRule="auto"/>
        <w:tabs>
          <w:tab w:leader="none" w:pos="442"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Arial" w:cs="Arial" w:eastAsia="Arial" w:hAnsi="Arial"/>
          <w:sz w:val="20"/>
          <w:szCs w:val="20"/>
          <w:color w:val="auto"/>
        </w:rPr>
      </w:pPr>
    </w:p>
    <w:p>
      <w:pPr>
        <w:jc w:val="both"/>
        <w:ind w:firstLine="8"/>
        <w:spacing w:after="0" w:line="250" w:lineRule="auto"/>
        <w:tabs>
          <w:tab w:leader="none" w:pos="398"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ind w:firstLine="8"/>
        <w:spacing w:after="0" w:line="316" w:lineRule="auto"/>
        <w:tabs>
          <w:tab w:leader="none" w:pos="4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8"/>
        <w:spacing w:after="0" w:line="250" w:lineRule="auto"/>
        <w:tabs>
          <w:tab w:leader="none" w:pos="403"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9" w:lineRule="exact"/>
        <w:rPr>
          <w:sz w:val="20"/>
          <w:szCs w:val="20"/>
          <w:color w:val="auto"/>
        </w:rPr>
      </w:pPr>
    </w:p>
    <w:p>
      <w:pPr>
        <w:jc w:val="both"/>
        <w:ind w:firstLine="8"/>
        <w:spacing w:after="0" w:line="250" w:lineRule="auto"/>
        <w:tabs>
          <w:tab w:leader="none" w:pos="412"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9" w:lineRule="exact"/>
        <w:rPr>
          <w:sz w:val="20"/>
          <w:szCs w:val="20"/>
          <w:color w:val="auto"/>
        </w:rPr>
      </w:pPr>
    </w:p>
    <w:p>
      <w:pPr>
        <w:ind w:firstLine="8"/>
        <w:spacing w:after="0" w:line="287" w:lineRule="auto"/>
        <w:tabs>
          <w:tab w:leader="none" w:pos="417" w:val="left"/>
        </w:tabs>
        <w:numPr>
          <w:ilvl w:val="0"/>
          <w:numId w:val="47"/>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9"/>
          <w:szCs w:val="19"/>
          <w:color w:val="auto"/>
        </w:rPr>
      </w:pPr>
    </w:p>
    <w:p>
      <w:pPr>
        <w:ind w:firstLine="8"/>
        <w:spacing w:after="0" w:line="260" w:lineRule="auto"/>
        <w:tabs>
          <w:tab w:leader="none" w:pos="399"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Dated:</w:t>
        <w:tab/>
        <w:t>May 19, 2023</w:t>
      </w:r>
    </w:p>
    <w:p>
      <w:pPr>
        <w:spacing w:after="0" w:line="283"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31457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 w:lineRule="exact"/>
        <w:rPr>
          <w:sz w:val="20"/>
          <w:szCs w:val="20"/>
          <w:color w:val="auto"/>
        </w:rPr>
      </w:pPr>
    </w:p>
    <w:p>
      <w:pPr>
        <w:ind w:left="780"/>
        <w:spacing w:after="0"/>
        <w:rPr>
          <w:sz w:val="20"/>
          <w:szCs w:val="20"/>
          <w:color w:val="auto"/>
        </w:rPr>
      </w:pPr>
      <w:r>
        <w:rPr>
          <w:rFonts w:ascii="Arial" w:cs="Arial" w:eastAsia="Arial" w:hAnsi="Arial"/>
          <w:sz w:val="20"/>
          <w:szCs w:val="20"/>
          <w:color w:val="auto"/>
        </w:rPr>
        <w:t>D. Craig Kesler</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Chief Financial Officer</w:t>
      </w:r>
    </w:p>
    <w:p>
      <w:pPr>
        <w:ind w:left="78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Periodic Report Pursuant to Section 906 of the Sarbanes-Oxley Act of 2002</w:t>
      </w:r>
    </w:p>
    <w:p>
      <w:pPr>
        <w:spacing w:after="0" w:line="23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In connection with the Annual Report of Eagle Materials Inc. and subsidiaries (the "Company") on Form 10-K for the period ended March 31, 2023 as filed with the Securities and Exchange Commission on the date hereof (the "Report"), I, Michael R. Haack, Chief Executive Officer of the Company, certify, pursuant to 18 U.S.C. section 1350, as adopted pursuant to section 906 of the Sarbanes-Oxley Act of 2002, that, to the best of my knowledge:</w:t>
      </w:r>
    </w:p>
    <w:p>
      <w:pPr>
        <w:spacing w:after="0" w:line="205" w:lineRule="exact"/>
        <w:rPr>
          <w:sz w:val="20"/>
          <w:szCs w:val="20"/>
          <w:color w:val="auto"/>
        </w:rPr>
      </w:pPr>
    </w:p>
    <w:p>
      <w:pPr>
        <w:ind w:left="1500" w:hanging="743"/>
        <w:spacing w:after="0"/>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500" w:hanging="743"/>
        <w:spacing w:after="0" w:line="260" w:lineRule="auto"/>
        <w:tabs>
          <w:tab w:leader="none" w:pos="15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19, 2023</w:t>
      </w:r>
    </w:p>
    <w:p>
      <w:pPr>
        <w:spacing w:after="0" w:line="283"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wp:posOffset>
            </wp:positionV>
            <wp:extent cx="30346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Michael R. Haack</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Periodic Report Pursuant to Section 906 of the Sarbanes-Oxley Act of 2002</w:t>
      </w:r>
    </w:p>
    <w:p>
      <w:pPr>
        <w:spacing w:after="0" w:line="23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In connection with the Annual Report of Eagle Materials Inc. and subsidiaries (the "Company") on Form 10-K for the period ended March 31, 2023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205" w:lineRule="exact"/>
        <w:rPr>
          <w:sz w:val="20"/>
          <w:szCs w:val="20"/>
          <w:color w:val="auto"/>
        </w:rPr>
      </w:pPr>
    </w:p>
    <w:p>
      <w:pPr>
        <w:ind w:left="1500" w:hanging="743"/>
        <w:spacing w:after="0"/>
        <w:tabs>
          <w:tab w:leader="none" w:pos="1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500" w:hanging="743"/>
        <w:spacing w:after="0" w:line="260" w:lineRule="auto"/>
        <w:tabs>
          <w:tab w:leader="none" w:pos="15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19, 2023</w:t>
      </w:r>
    </w:p>
    <w:p>
      <w:pPr>
        <w:spacing w:after="0" w:line="283"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wp:posOffset>
            </wp:positionV>
            <wp:extent cx="30346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 Craig Kesler</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Financial Officer</w:t>
      </w:r>
    </w:p>
    <w:p>
      <w:pPr>
        <w:ind w:left="86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27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052703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8"/>
          <w:szCs w:val="18"/>
          <w:b w:val="1"/>
          <w:bCs w:val="1"/>
          <w:i w:val="1"/>
          <w:iCs w:val="1"/>
          <w:color w:val="auto"/>
        </w:rPr>
        <w:t>Exhibit 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69" w:lineRule="exact"/>
        <w:rPr>
          <w:sz w:val="20"/>
          <w:szCs w:val="20"/>
          <w:color w:val="auto"/>
        </w:rPr>
      </w:pPr>
    </w:p>
    <w:p>
      <w:pPr>
        <w:ind w:left="680" w:right="400"/>
        <w:spacing w:after="0" w:line="269"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twelve-month period ended March 31, 2023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1000" w:type="dxa"/>
            <w:vAlign w:val="bottom"/>
            <w:tcBorders>
              <w:top w:val="single" w:sz="8" w:color="auto"/>
              <w:left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860" w:type="dxa"/>
            <w:vAlign w:val="bottom"/>
            <w:tcBorders>
              <w:top w:val="single" w:sz="8" w:color="auto"/>
              <w:right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2"/>
              </w:rPr>
              <w:t>Received</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color w:val="auto"/>
                <w:w w:val="96"/>
              </w:rPr>
              <w:t>Total</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7"/>
              </w:rPr>
              <w:t>Notice of</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Mine or</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8"/>
              </w:rPr>
              <w:t>Dollar</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to Have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Operating</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Pattern</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Name/MSH</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w:t>
            </w: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8"/>
              </w:rPr>
              <w:t>MSHA</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rPr>
              <w:t>s Under</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4"/>
              </w:rPr>
              <w:t>Under</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(2)</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89"/>
              </w:rPr>
              <w:t>Assessme</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89"/>
              </w:rPr>
              <w:t>Section</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w:t>
            </w:r>
          </w:p>
        </w:tc>
        <w:tc>
          <w:tcPr>
            <w:tcW w:w="8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Identificatio</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104 S&amp;S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w:t>
            </w:r>
          </w:p>
        </w:tc>
        <w:tc>
          <w:tcPr>
            <w:tcW w:w="74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3"/>
              </w:rPr>
              <w:t>107(a)</w:t>
            </w:r>
          </w:p>
        </w:tc>
        <w:tc>
          <w:tcPr>
            <w:tcW w:w="200" w:type="dxa"/>
            <w:vAlign w:val="bottom"/>
          </w:tcPr>
          <w:p>
            <w:pPr>
              <w:spacing w:after="0"/>
              <w:rPr>
                <w:sz w:val="12"/>
                <w:szCs w:val="12"/>
                <w:color w:val="auto"/>
              </w:rPr>
            </w:pPr>
          </w:p>
        </w:tc>
        <w:tc>
          <w:tcPr>
            <w:tcW w:w="560" w:type="dxa"/>
            <w:vAlign w:val="bottom"/>
            <w:tcBorders>
              <w:right w:val="single" w:sz="8" w:color="auto"/>
            </w:tcBorders>
          </w:tcPr>
          <w:p>
            <w:pPr>
              <w:jc w:val="center"/>
              <w:ind w:right="168"/>
              <w:spacing w:after="0" w:line="149" w:lineRule="exact"/>
              <w:rPr>
                <w:sz w:val="20"/>
                <w:szCs w:val="20"/>
                <w:color w:val="auto"/>
              </w:rPr>
            </w:pPr>
            <w:r>
              <w:rPr>
                <w:rFonts w:ascii="Arial" w:cs="Arial" w:eastAsia="Arial" w:hAnsi="Arial"/>
                <w:sz w:val="14"/>
                <w:szCs w:val="14"/>
                <w:color w:val="auto"/>
                <w:w w:val="85"/>
              </w:rPr>
              <w:t>nts</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Day 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90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n 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0"/>
              </w:rPr>
              <w:t>ns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Proposed</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7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90"/>
              </w:rPr>
              <w:t>(yes/no)</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20"/>
        </w:trPr>
        <w:tc>
          <w:tcPr>
            <w:tcW w:w="1000" w:type="dxa"/>
            <w:vAlign w:val="bottom"/>
            <w:tcBorders>
              <w:top w:val="single" w:sz="8" w:color="D9E2F3"/>
              <w:left w:val="single" w:sz="8" w:color="D9E2F3"/>
              <w:right w:val="single" w:sz="8" w:color="auto"/>
            </w:tcBorders>
            <w:shd w:val="clear" w:color="auto" w:fill="D9E2F3"/>
          </w:tcPr>
          <w:p>
            <w:pPr>
              <w:ind w:left="100"/>
              <w:spacing w:after="0" w:line="120" w:lineRule="exact"/>
              <w:rPr>
                <w:sz w:val="20"/>
                <w:szCs w:val="20"/>
                <w:color w:val="auto"/>
              </w:rPr>
            </w:pPr>
            <w:r>
              <w:rPr>
                <w:rFonts w:ascii="Arial" w:cs="Arial" w:eastAsia="Arial" w:hAnsi="Arial"/>
                <w:sz w:val="13"/>
                <w:szCs w:val="13"/>
                <w:color w:val="auto"/>
              </w:rPr>
              <w:t>3D Concrete</w:t>
            </w:r>
          </w:p>
        </w:tc>
        <w:tc>
          <w:tcPr>
            <w:tcW w:w="720" w:type="dxa"/>
            <w:vAlign w:val="bottom"/>
            <w:tcBorders>
              <w:top w:val="single" w:sz="8" w:color="D9E2F3"/>
              <w:right w:val="single" w:sz="8" w:color="auto"/>
            </w:tcBorders>
            <w:shd w:val="clear" w:color="auto" w:fill="D9E2F3"/>
          </w:tcPr>
          <w:p>
            <w:pPr>
              <w:spacing w:after="0"/>
              <w:rPr>
                <w:sz w:val="10"/>
                <w:szCs w:val="10"/>
                <w:color w:val="auto"/>
              </w:rPr>
            </w:pPr>
          </w:p>
        </w:tc>
        <w:tc>
          <w:tcPr>
            <w:tcW w:w="820" w:type="dxa"/>
            <w:vAlign w:val="bottom"/>
            <w:tcBorders>
              <w:top w:val="single" w:sz="8" w:color="D9E2F3"/>
              <w:right w:val="single" w:sz="8" w:color="auto"/>
            </w:tcBorders>
            <w:shd w:val="clear" w:color="auto" w:fill="D9E2F3"/>
          </w:tcPr>
          <w:p>
            <w:pPr>
              <w:spacing w:after="0"/>
              <w:rPr>
                <w:sz w:val="10"/>
                <w:szCs w:val="10"/>
                <w:color w:val="auto"/>
              </w:rPr>
            </w:pPr>
          </w:p>
        </w:tc>
        <w:tc>
          <w:tcPr>
            <w:tcW w:w="820" w:type="dxa"/>
            <w:vAlign w:val="bottom"/>
            <w:tcBorders>
              <w:top w:val="single" w:sz="8" w:color="D9E2F3"/>
              <w:right w:val="single" w:sz="8" w:color="auto"/>
            </w:tcBorders>
            <w:shd w:val="clear" w:color="auto" w:fill="D9E2F3"/>
          </w:tcPr>
          <w:p>
            <w:pPr>
              <w:spacing w:after="0"/>
              <w:rPr>
                <w:sz w:val="10"/>
                <w:szCs w:val="10"/>
                <w:color w:val="auto"/>
              </w:rPr>
            </w:pPr>
          </w:p>
        </w:tc>
        <w:tc>
          <w:tcPr>
            <w:tcW w:w="740" w:type="dxa"/>
            <w:vAlign w:val="bottom"/>
            <w:tcBorders>
              <w:top w:val="single" w:sz="8" w:color="D9E2F3"/>
              <w:right w:val="single" w:sz="8" w:color="auto"/>
            </w:tcBorders>
            <w:shd w:val="clear" w:color="auto" w:fill="D9E2F3"/>
          </w:tcPr>
          <w:p>
            <w:pPr>
              <w:spacing w:after="0"/>
              <w:rPr>
                <w:sz w:val="10"/>
                <w:szCs w:val="10"/>
                <w:color w:val="auto"/>
              </w:rPr>
            </w:pPr>
          </w:p>
        </w:tc>
        <w:tc>
          <w:tcPr>
            <w:tcW w:w="740" w:type="dxa"/>
            <w:vAlign w:val="bottom"/>
            <w:tcBorders>
              <w:top w:val="single" w:sz="8" w:color="D9E2F3"/>
              <w:right w:val="single" w:sz="8" w:color="auto"/>
            </w:tcBorders>
            <w:shd w:val="clear" w:color="auto" w:fill="D9E2F3"/>
          </w:tcPr>
          <w:p>
            <w:pPr>
              <w:spacing w:after="0"/>
              <w:rPr>
                <w:sz w:val="10"/>
                <w:szCs w:val="10"/>
                <w:color w:val="auto"/>
              </w:rPr>
            </w:pPr>
          </w:p>
        </w:tc>
        <w:tc>
          <w:tcPr>
            <w:tcW w:w="200" w:type="dxa"/>
            <w:vAlign w:val="bottom"/>
            <w:tcBorders>
              <w:top w:val="single" w:sz="8" w:color="D9E2F3"/>
            </w:tcBorders>
            <w:shd w:val="clear" w:color="auto" w:fill="D9E2F3"/>
          </w:tcPr>
          <w:p>
            <w:pPr>
              <w:spacing w:after="0"/>
              <w:rPr>
                <w:sz w:val="10"/>
                <w:szCs w:val="10"/>
                <w:color w:val="auto"/>
              </w:rPr>
            </w:pPr>
          </w:p>
        </w:tc>
        <w:tc>
          <w:tcPr>
            <w:tcW w:w="560" w:type="dxa"/>
            <w:vAlign w:val="bottom"/>
            <w:tcBorders>
              <w:top w:val="single" w:sz="8" w:color="D9E2F3"/>
              <w:right w:val="single" w:sz="8" w:color="auto"/>
            </w:tcBorders>
            <w:shd w:val="clear" w:color="auto" w:fill="D9E2F3"/>
          </w:tcPr>
          <w:p>
            <w:pPr>
              <w:spacing w:after="0"/>
              <w:rPr>
                <w:sz w:val="10"/>
                <w:szCs w:val="10"/>
                <w:color w:val="auto"/>
              </w:rPr>
            </w:pPr>
          </w:p>
        </w:tc>
        <w:tc>
          <w:tcPr>
            <w:tcW w:w="760" w:type="dxa"/>
            <w:vAlign w:val="bottom"/>
            <w:tcBorders>
              <w:top w:val="single" w:sz="8" w:color="D9E2F3"/>
              <w:right w:val="single" w:sz="8" w:color="auto"/>
            </w:tcBorders>
            <w:shd w:val="clear" w:color="auto" w:fill="D9E2F3"/>
          </w:tcPr>
          <w:p>
            <w:pPr>
              <w:spacing w:after="0"/>
              <w:rPr>
                <w:sz w:val="10"/>
                <w:szCs w:val="10"/>
                <w:color w:val="auto"/>
              </w:rPr>
            </w:pPr>
          </w:p>
        </w:tc>
        <w:tc>
          <w:tcPr>
            <w:tcW w:w="780" w:type="dxa"/>
            <w:vAlign w:val="bottom"/>
            <w:tcBorders>
              <w:top w:val="single" w:sz="8" w:color="D9E2F3"/>
              <w:right w:val="single" w:sz="8" w:color="auto"/>
            </w:tcBorders>
            <w:shd w:val="clear" w:color="auto" w:fill="D9E2F3"/>
          </w:tcPr>
          <w:p>
            <w:pPr>
              <w:spacing w:after="0"/>
              <w:rPr>
                <w:sz w:val="10"/>
                <w:szCs w:val="10"/>
                <w:color w:val="auto"/>
              </w:rPr>
            </w:pPr>
          </w:p>
        </w:tc>
        <w:tc>
          <w:tcPr>
            <w:tcW w:w="760" w:type="dxa"/>
            <w:vAlign w:val="bottom"/>
            <w:tcBorders>
              <w:top w:val="single" w:sz="8" w:color="D9E2F3"/>
              <w:right w:val="single" w:sz="8" w:color="auto"/>
            </w:tcBorders>
            <w:shd w:val="clear" w:color="auto" w:fill="D9E2F3"/>
          </w:tcPr>
          <w:p>
            <w:pPr>
              <w:spacing w:after="0"/>
              <w:rPr>
                <w:sz w:val="10"/>
                <w:szCs w:val="10"/>
                <w:color w:val="auto"/>
              </w:rPr>
            </w:pPr>
          </w:p>
        </w:tc>
        <w:tc>
          <w:tcPr>
            <w:tcW w:w="860" w:type="dxa"/>
            <w:vAlign w:val="bottom"/>
            <w:tcBorders>
              <w:top w:val="single" w:sz="8" w:color="D9E2F3"/>
              <w:right w:val="single" w:sz="8" w:color="auto"/>
            </w:tcBorders>
            <w:shd w:val="clear" w:color="auto" w:fill="D9E2F3"/>
          </w:tcPr>
          <w:p>
            <w:pPr>
              <w:spacing w:after="0"/>
              <w:rPr>
                <w:sz w:val="10"/>
                <w:szCs w:val="10"/>
                <w:color w:val="auto"/>
              </w:rPr>
            </w:pPr>
          </w:p>
        </w:tc>
        <w:tc>
          <w:tcPr>
            <w:tcW w:w="880" w:type="dxa"/>
            <w:vAlign w:val="bottom"/>
            <w:tcBorders>
              <w:top w:val="single" w:sz="8" w:color="D9E2F3"/>
              <w:right w:val="single" w:sz="8" w:color="auto"/>
            </w:tcBorders>
            <w:shd w:val="clear" w:color="auto" w:fill="D9E2F3"/>
          </w:tcPr>
          <w:p>
            <w:pPr>
              <w:spacing w:after="0"/>
              <w:rPr>
                <w:sz w:val="10"/>
                <w:szCs w:val="10"/>
                <w:color w:val="auto"/>
              </w:rPr>
            </w:pPr>
          </w:p>
        </w:tc>
        <w:tc>
          <w:tcPr>
            <w:tcW w:w="900" w:type="dxa"/>
            <w:vAlign w:val="bottom"/>
            <w:tcBorders>
              <w:top w:val="single" w:sz="8" w:color="D9E2F3"/>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vMerge w:val="restart"/>
            <w:shd w:val="clear" w:color="auto" w:fill="D9E2F3"/>
          </w:tcPr>
          <w:p>
            <w:pPr>
              <w:ind w:left="120"/>
              <w:spacing w:after="0"/>
              <w:rPr>
                <w:sz w:val="20"/>
                <w:szCs w:val="20"/>
                <w:color w:val="auto"/>
              </w:rPr>
            </w:pPr>
            <w:r>
              <w:rPr>
                <w:rFonts w:ascii="Arial" w:cs="Arial" w:eastAsia="Arial" w:hAnsi="Arial"/>
                <w:sz w:val="14"/>
                <w:szCs w:val="14"/>
                <w:color w:val="auto"/>
              </w:rPr>
              <w:t>$   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vMerge w:val="restart"/>
            <w:shd w:val="clear" w:color="auto" w:fill="D9E2F3"/>
          </w:tcPr>
          <w:p>
            <w:pPr>
              <w:ind w:left="4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100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Lander, NV</w:t>
            </w: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gridSpan w:val="2"/>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860" w:type="dxa"/>
            <w:vAlign w:val="bottom"/>
            <w:tcBorders>
              <w:right w:val="single" w:sz="8" w:color="auto"/>
            </w:tcBorders>
            <w:vMerge w:val="continue"/>
            <w:shd w:val="clear" w:color="auto" w:fill="D9E2F3"/>
          </w:tcPr>
          <w:p>
            <w:pPr>
              <w:spacing w:after="0"/>
              <w:rPr>
                <w:sz w:val="8"/>
                <w:szCs w:val="8"/>
                <w:color w:val="auto"/>
              </w:rPr>
            </w:pPr>
          </w:p>
        </w:tc>
        <w:tc>
          <w:tcPr>
            <w:tcW w:w="880" w:type="dxa"/>
            <w:vAlign w:val="bottom"/>
            <w:tcBorders>
              <w:right w:val="single" w:sz="8" w:color="auto"/>
            </w:tcBorders>
            <w:vMerge w:val="continue"/>
            <w:shd w:val="clear" w:color="auto" w:fill="D9E2F3"/>
          </w:tcPr>
          <w:p>
            <w:pPr>
              <w:spacing w:after="0"/>
              <w:rPr>
                <w:sz w:val="8"/>
                <w:szCs w:val="8"/>
                <w:color w:val="auto"/>
              </w:rPr>
            </w:pPr>
          </w:p>
        </w:tc>
        <w:tc>
          <w:tcPr>
            <w:tcW w:w="900" w:type="dxa"/>
            <w:vAlign w:val="bottom"/>
            <w:tcBorders>
              <w:right w:val="single" w:sz="8" w:color="auto"/>
            </w:tcBorders>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200" w:type="dxa"/>
            <w:vAlign w:val="bottom"/>
            <w:shd w:val="clear" w:color="auto" w:fill="D9E2F3"/>
          </w:tcPr>
          <w:p>
            <w:pPr>
              <w:spacing w:after="0"/>
              <w:rPr>
                <w:sz w:val="4"/>
                <w:szCs w:val="4"/>
                <w:color w:val="auto"/>
              </w:rPr>
            </w:pPr>
          </w:p>
        </w:tc>
        <w:tc>
          <w:tcPr>
            <w:tcW w:w="56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860" w:type="dxa"/>
            <w:vAlign w:val="bottom"/>
            <w:tcBorders>
              <w:right w:val="single" w:sz="8" w:color="auto"/>
            </w:tcBorders>
            <w:shd w:val="clear" w:color="auto" w:fill="D9E2F3"/>
          </w:tcPr>
          <w:p>
            <w:pPr>
              <w:spacing w:after="0"/>
              <w:rPr>
                <w:sz w:val="4"/>
                <w:szCs w:val="4"/>
                <w:color w:val="auto"/>
              </w:rPr>
            </w:pPr>
          </w:p>
        </w:tc>
        <w:tc>
          <w:tcPr>
            <w:tcW w:w="880" w:type="dxa"/>
            <w:vAlign w:val="bottom"/>
            <w:tcBorders>
              <w:right w:val="single" w:sz="8" w:color="auto"/>
            </w:tcBorders>
            <w:shd w:val="clear" w:color="auto" w:fill="D9E2F3"/>
          </w:tcPr>
          <w:p>
            <w:pPr>
              <w:spacing w:after="0"/>
              <w:rPr>
                <w:sz w:val="4"/>
                <w:szCs w:val="4"/>
                <w:color w:val="auto"/>
              </w:rPr>
            </w:pPr>
          </w:p>
        </w:tc>
        <w:tc>
          <w:tcPr>
            <w:tcW w:w="90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(2602434)</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3D Concrete</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Lyon,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3</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828</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Nevada</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(2602412)</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American</w:t>
            </w:r>
          </w:p>
        </w:tc>
        <w:tc>
          <w:tcPr>
            <w:tcW w:w="7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Gypsum</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vMerge w:val="restart"/>
            <w:shd w:val="clear" w:color="auto" w:fill="D9E2F3"/>
          </w:tcPr>
          <w:p>
            <w:pPr>
              <w:jc w:val="center"/>
              <w:spacing w:after="0" w:line="297" w:lineRule="exact"/>
              <w:rPr>
                <w:sz w:val="20"/>
                <w:szCs w:val="20"/>
                <w:color w:val="auto"/>
              </w:rPr>
            </w:pPr>
            <w:r>
              <w:rPr>
                <w:rFonts w:ascii="Arial" w:cs="Arial" w:eastAsia="Arial" w:hAnsi="Arial"/>
                <w:sz w:val="28"/>
                <w:szCs w:val="28"/>
                <w:color w:val="auto"/>
                <w:w w:val="79"/>
                <w:vertAlign w:val="subscript"/>
              </w:rPr>
              <w:t>1</w:t>
            </w:r>
            <w:r>
              <w:rPr>
                <w:rFonts w:ascii="Arial" w:cs="Arial" w:eastAsia="Arial" w:hAnsi="Arial"/>
                <w:sz w:val="10"/>
                <w:szCs w:val="10"/>
                <w:color w:val="auto"/>
                <w:w w:val="79"/>
              </w:rPr>
              <w:t>(1)</w:t>
            </w:r>
          </w:p>
        </w:tc>
        <w:tc>
          <w:tcPr>
            <w:tcW w:w="900" w:type="dxa"/>
            <w:vAlign w:val="bottom"/>
            <w:tcBorders>
              <w:right w:val="single" w:sz="8" w:color="auto"/>
            </w:tcBorders>
            <w:vMerge w:val="restart"/>
            <w:shd w:val="clear" w:color="auto" w:fill="D9E2F3"/>
          </w:tcPr>
          <w:p>
            <w:pPr>
              <w:ind w:left="400"/>
              <w:spacing w:after="0" w:line="297"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D9E2F3"/>
          </w:tcPr>
          <w:p>
            <w:pPr>
              <w:ind w:left="12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shd w:val="clear" w:color="auto" w:fill="D9E2F3"/>
          </w:tcPr>
          <w:p>
            <w:pPr>
              <w:jc w:val="right"/>
              <w:ind w:right="68"/>
              <w:spacing w:after="0" w:line="149" w:lineRule="exact"/>
              <w:rPr>
                <w:sz w:val="20"/>
                <w:szCs w:val="20"/>
                <w:color w:val="auto"/>
              </w:rPr>
            </w:pPr>
            <w:r>
              <w:rPr>
                <w:rFonts w:ascii="Arial" w:cs="Arial" w:eastAsia="Arial" w:hAnsi="Arial"/>
                <w:sz w:val="14"/>
                <w:szCs w:val="14"/>
                <w:color w:val="auto"/>
              </w:rPr>
              <w:t>723</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continue"/>
            <w:shd w:val="clear" w:color="auto" w:fill="D9E2F3"/>
          </w:tcPr>
          <w:p>
            <w:pPr>
              <w:spacing w:after="0"/>
              <w:rPr>
                <w:sz w:val="12"/>
                <w:szCs w:val="12"/>
                <w:color w:val="auto"/>
              </w:rPr>
            </w:pPr>
          </w:p>
        </w:tc>
        <w:tc>
          <w:tcPr>
            <w:tcW w:w="90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Albuquerque</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 NM</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(2900181)</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American</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Gypsum</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133</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100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Duke, OK</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(3400256)</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American</w:t>
            </w:r>
          </w:p>
        </w:tc>
        <w:tc>
          <w:tcPr>
            <w:tcW w:w="7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Gypsum</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200" w:type="dxa"/>
            <w:vAlign w:val="bottom"/>
            <w:vMerge w:val="restart"/>
            <w:shd w:val="clear" w:color="auto" w:fill="D9E2F3"/>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Arial" w:cs="Arial" w:eastAsia="Arial" w:hAnsi="Arial"/>
                <w:sz w:val="14"/>
                <w:szCs w:val="14"/>
                <w:color w:val="auto"/>
              </w:rPr>
              <w:t>133</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vMerge w:val="restart"/>
            <w:shd w:val="clear" w:color="auto" w:fill="D9E2F3"/>
          </w:tcPr>
          <w:p>
            <w:pPr>
              <w:ind w:left="4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100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82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740" w:type="dxa"/>
            <w:vAlign w:val="bottom"/>
            <w:tcBorders>
              <w:right w:val="single" w:sz="8" w:color="auto"/>
            </w:tcBorders>
            <w:vMerge w:val="continue"/>
            <w:shd w:val="clear" w:color="auto" w:fill="D9E2F3"/>
          </w:tcPr>
          <w:p>
            <w:pPr>
              <w:spacing w:after="0"/>
              <w:rPr>
                <w:sz w:val="8"/>
                <w:szCs w:val="8"/>
                <w:color w:val="auto"/>
              </w:rPr>
            </w:pPr>
          </w:p>
        </w:tc>
        <w:tc>
          <w:tcPr>
            <w:tcW w:w="200" w:type="dxa"/>
            <w:vAlign w:val="bottom"/>
            <w:vMerge w:val="continue"/>
            <w:shd w:val="clear" w:color="auto" w:fill="D9E2F3"/>
          </w:tcPr>
          <w:p>
            <w:pPr>
              <w:spacing w:after="0"/>
              <w:rPr>
                <w:sz w:val="8"/>
                <w:szCs w:val="8"/>
                <w:color w:val="auto"/>
              </w:rPr>
            </w:pPr>
          </w:p>
        </w:tc>
        <w:tc>
          <w:tcPr>
            <w:tcW w:w="56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780" w:type="dxa"/>
            <w:vAlign w:val="bottom"/>
            <w:tcBorders>
              <w:right w:val="single" w:sz="8" w:color="auto"/>
            </w:tcBorders>
            <w:vMerge w:val="continue"/>
            <w:shd w:val="clear" w:color="auto" w:fill="D9E2F3"/>
          </w:tcPr>
          <w:p>
            <w:pPr>
              <w:spacing w:after="0"/>
              <w:rPr>
                <w:sz w:val="8"/>
                <w:szCs w:val="8"/>
                <w:color w:val="auto"/>
              </w:rPr>
            </w:pPr>
          </w:p>
        </w:tc>
        <w:tc>
          <w:tcPr>
            <w:tcW w:w="760" w:type="dxa"/>
            <w:vAlign w:val="bottom"/>
            <w:tcBorders>
              <w:right w:val="single" w:sz="8" w:color="auto"/>
            </w:tcBorders>
            <w:vMerge w:val="continue"/>
            <w:shd w:val="clear" w:color="auto" w:fill="D9E2F3"/>
          </w:tcPr>
          <w:p>
            <w:pPr>
              <w:spacing w:after="0"/>
              <w:rPr>
                <w:sz w:val="8"/>
                <w:szCs w:val="8"/>
                <w:color w:val="auto"/>
              </w:rPr>
            </w:pPr>
          </w:p>
        </w:tc>
        <w:tc>
          <w:tcPr>
            <w:tcW w:w="860" w:type="dxa"/>
            <w:vAlign w:val="bottom"/>
            <w:tcBorders>
              <w:right w:val="single" w:sz="8" w:color="auto"/>
            </w:tcBorders>
            <w:vMerge w:val="continue"/>
            <w:shd w:val="clear" w:color="auto" w:fill="D9E2F3"/>
          </w:tcPr>
          <w:p>
            <w:pPr>
              <w:spacing w:after="0"/>
              <w:rPr>
                <w:sz w:val="8"/>
                <w:szCs w:val="8"/>
                <w:color w:val="auto"/>
              </w:rPr>
            </w:pPr>
          </w:p>
        </w:tc>
        <w:tc>
          <w:tcPr>
            <w:tcW w:w="880" w:type="dxa"/>
            <w:vAlign w:val="bottom"/>
            <w:tcBorders>
              <w:right w:val="single" w:sz="8" w:color="auto"/>
            </w:tcBorders>
            <w:vMerge w:val="continue"/>
            <w:shd w:val="clear" w:color="auto" w:fill="D9E2F3"/>
          </w:tcPr>
          <w:p>
            <w:pPr>
              <w:spacing w:after="0"/>
              <w:rPr>
                <w:sz w:val="8"/>
                <w:szCs w:val="8"/>
                <w:color w:val="auto"/>
              </w:rPr>
            </w:pPr>
          </w:p>
        </w:tc>
        <w:tc>
          <w:tcPr>
            <w:tcW w:w="900" w:type="dxa"/>
            <w:vAlign w:val="bottom"/>
            <w:tcBorders>
              <w:right w:val="single" w:sz="8" w:color="auto"/>
            </w:tcBorders>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200" w:type="dxa"/>
            <w:vAlign w:val="bottom"/>
            <w:shd w:val="clear" w:color="auto" w:fill="D9E2F3"/>
          </w:tcPr>
          <w:p>
            <w:pPr>
              <w:spacing w:after="0"/>
              <w:rPr>
                <w:sz w:val="4"/>
                <w:szCs w:val="4"/>
                <w:color w:val="auto"/>
              </w:rPr>
            </w:pPr>
          </w:p>
        </w:tc>
        <w:tc>
          <w:tcPr>
            <w:tcW w:w="56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860" w:type="dxa"/>
            <w:vAlign w:val="bottom"/>
            <w:tcBorders>
              <w:right w:val="single" w:sz="8" w:color="auto"/>
            </w:tcBorders>
            <w:shd w:val="clear" w:color="auto" w:fill="D9E2F3"/>
          </w:tcPr>
          <w:p>
            <w:pPr>
              <w:spacing w:after="0"/>
              <w:rPr>
                <w:sz w:val="4"/>
                <w:szCs w:val="4"/>
                <w:color w:val="auto"/>
              </w:rPr>
            </w:pPr>
          </w:p>
        </w:tc>
        <w:tc>
          <w:tcPr>
            <w:tcW w:w="880" w:type="dxa"/>
            <w:vAlign w:val="bottom"/>
            <w:tcBorders>
              <w:right w:val="single" w:sz="8" w:color="auto"/>
            </w:tcBorders>
            <w:shd w:val="clear" w:color="auto" w:fill="D9E2F3"/>
          </w:tcPr>
          <w:p>
            <w:pPr>
              <w:spacing w:after="0"/>
              <w:rPr>
                <w:sz w:val="4"/>
                <w:szCs w:val="4"/>
                <w:color w:val="auto"/>
              </w:rPr>
            </w:pPr>
          </w:p>
        </w:tc>
        <w:tc>
          <w:tcPr>
            <w:tcW w:w="90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Eagle, CO</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(0503997)</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Centex</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Materials</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1</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774</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Buda, TX</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(4102241)</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Central</w:t>
            </w:r>
          </w:p>
        </w:tc>
        <w:tc>
          <w:tcPr>
            <w:tcW w:w="7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Plains</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000" w:type="dxa"/>
            <w:vAlign w:val="bottom"/>
            <w:tcBorders>
              <w:left w:val="single" w:sz="8" w:color="D9E2F3"/>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89"/>
              </w:rPr>
              <w:t>19</w:t>
            </w:r>
          </w:p>
        </w:tc>
        <w:tc>
          <w:tcPr>
            <w:tcW w:w="82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shd w:val="clear" w:color="auto" w:fill="D9E2F3"/>
          </w:tcPr>
          <w:p>
            <w:pPr>
              <w:ind w:left="120"/>
              <w:spacing w:after="0"/>
              <w:rPr>
                <w:sz w:val="20"/>
                <w:szCs w:val="20"/>
                <w:color w:val="auto"/>
              </w:rPr>
            </w:pPr>
            <w:r>
              <w:rPr>
                <w:rFonts w:ascii="Arial" w:cs="Arial" w:eastAsia="Arial" w:hAnsi="Arial"/>
                <w:sz w:val="14"/>
                <w:szCs w:val="14"/>
                <w:color w:val="auto"/>
              </w:rPr>
              <w:t>$95,526</w:t>
            </w:r>
          </w:p>
        </w:tc>
        <w:tc>
          <w:tcPr>
            <w:tcW w:w="76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shd w:val="clear" w:color="auto" w:fill="D9E2F3"/>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shd w:val="clear" w:color="auto" w:fill="D9E2F3"/>
          </w:tcPr>
          <w:p>
            <w:pPr>
              <w:jc w:val="center"/>
              <w:spacing w:after="0" w:line="207" w:lineRule="exact"/>
              <w:rPr>
                <w:sz w:val="20"/>
                <w:szCs w:val="20"/>
                <w:color w:val="auto"/>
              </w:rPr>
            </w:pPr>
            <w:r>
              <w:rPr>
                <w:rFonts w:ascii="Arial" w:cs="Arial" w:eastAsia="Arial" w:hAnsi="Arial"/>
                <w:sz w:val="24"/>
                <w:szCs w:val="24"/>
                <w:color w:val="auto"/>
                <w:w w:val="90"/>
                <w:vertAlign w:val="subscript"/>
              </w:rPr>
              <w:t>5</w:t>
            </w:r>
            <w:r>
              <w:rPr>
                <w:rFonts w:ascii="Arial" w:cs="Arial" w:eastAsia="Arial" w:hAnsi="Arial"/>
                <w:sz w:val="9"/>
                <w:szCs w:val="9"/>
                <w:color w:val="auto"/>
                <w:w w:val="90"/>
              </w:rPr>
              <w:t>(1)</w:t>
            </w:r>
          </w:p>
        </w:tc>
        <w:tc>
          <w:tcPr>
            <w:tcW w:w="900" w:type="dxa"/>
            <w:vAlign w:val="bottom"/>
            <w:tcBorders>
              <w:right w:val="single" w:sz="8" w:color="auto"/>
            </w:tcBorders>
            <w:shd w:val="clear" w:color="auto" w:fill="D9E2F3"/>
          </w:tcPr>
          <w:p>
            <w:pPr>
              <w:ind w:left="400"/>
              <w:spacing w:after="0" w:line="207" w:lineRule="exact"/>
              <w:rPr>
                <w:sz w:val="20"/>
                <w:szCs w:val="20"/>
                <w:color w:val="auto"/>
              </w:rPr>
            </w:pPr>
            <w:r>
              <w:rPr>
                <w:rFonts w:ascii="Arial" w:cs="Arial" w:eastAsia="Arial" w:hAnsi="Arial"/>
                <w:sz w:val="24"/>
                <w:szCs w:val="24"/>
                <w:color w:val="auto"/>
                <w:vertAlign w:val="subscript"/>
              </w:rPr>
              <w:t>7</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89"/>
        </w:trPr>
        <w:tc>
          <w:tcPr>
            <w:tcW w:w="1000" w:type="dxa"/>
            <w:vAlign w:val="bottom"/>
            <w:tcBorders>
              <w:left w:val="single" w:sz="8" w:color="D9E2F3"/>
              <w:right w:val="single" w:sz="8" w:color="auto"/>
            </w:tcBorders>
            <w:shd w:val="clear" w:color="auto" w:fill="D9E2F3"/>
          </w:tcPr>
          <w:p>
            <w:pPr>
              <w:ind w:left="100"/>
              <w:spacing w:after="0" w:line="90" w:lineRule="exact"/>
              <w:rPr>
                <w:sz w:val="20"/>
                <w:szCs w:val="20"/>
                <w:color w:val="auto"/>
              </w:rPr>
            </w:pPr>
            <w:r>
              <w:rPr>
                <w:rFonts w:ascii="Arial" w:cs="Arial" w:eastAsia="Arial" w:hAnsi="Arial"/>
                <w:sz w:val="10"/>
                <w:szCs w:val="10"/>
                <w:color w:val="auto"/>
              </w:rPr>
              <w:t>LLC</w:t>
            </w:r>
          </w:p>
        </w:tc>
        <w:tc>
          <w:tcPr>
            <w:tcW w:w="720" w:type="dxa"/>
            <w:vAlign w:val="bottom"/>
            <w:tcBorders>
              <w:right w:val="single" w:sz="8" w:color="auto"/>
            </w:tcBorders>
            <w:shd w:val="clear" w:color="auto" w:fill="D9E2F3"/>
          </w:tcPr>
          <w:p>
            <w:pPr>
              <w:spacing w:after="0"/>
              <w:rPr>
                <w:sz w:val="7"/>
                <w:szCs w:val="7"/>
                <w:color w:val="auto"/>
              </w:rPr>
            </w:pPr>
          </w:p>
        </w:tc>
        <w:tc>
          <w:tcPr>
            <w:tcW w:w="820" w:type="dxa"/>
            <w:vAlign w:val="bottom"/>
            <w:tcBorders>
              <w:right w:val="single" w:sz="8" w:color="auto"/>
            </w:tcBorders>
            <w:shd w:val="clear" w:color="auto" w:fill="D9E2F3"/>
          </w:tcPr>
          <w:p>
            <w:pPr>
              <w:spacing w:after="0"/>
              <w:rPr>
                <w:sz w:val="7"/>
                <w:szCs w:val="7"/>
                <w:color w:val="auto"/>
              </w:rPr>
            </w:pPr>
          </w:p>
        </w:tc>
        <w:tc>
          <w:tcPr>
            <w:tcW w:w="82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200" w:type="dxa"/>
            <w:vAlign w:val="bottom"/>
            <w:shd w:val="clear" w:color="auto" w:fill="D9E2F3"/>
          </w:tcPr>
          <w:p>
            <w:pPr>
              <w:spacing w:after="0"/>
              <w:rPr>
                <w:sz w:val="7"/>
                <w:szCs w:val="7"/>
                <w:color w:val="auto"/>
              </w:rPr>
            </w:pPr>
          </w:p>
        </w:tc>
        <w:tc>
          <w:tcPr>
            <w:tcW w:w="56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78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860" w:type="dxa"/>
            <w:vAlign w:val="bottom"/>
            <w:tcBorders>
              <w:right w:val="single" w:sz="8" w:color="auto"/>
            </w:tcBorders>
            <w:shd w:val="clear" w:color="auto" w:fill="D9E2F3"/>
          </w:tcPr>
          <w:p>
            <w:pPr>
              <w:spacing w:after="0"/>
              <w:rPr>
                <w:sz w:val="7"/>
                <w:szCs w:val="7"/>
                <w:color w:val="auto"/>
              </w:rPr>
            </w:pPr>
          </w:p>
        </w:tc>
        <w:tc>
          <w:tcPr>
            <w:tcW w:w="880" w:type="dxa"/>
            <w:vAlign w:val="bottom"/>
            <w:tcBorders>
              <w:right w:val="single" w:sz="8" w:color="auto"/>
            </w:tcBorders>
            <w:shd w:val="clear" w:color="auto" w:fill="D9E2F3"/>
          </w:tcPr>
          <w:p>
            <w:pPr>
              <w:spacing w:after="0"/>
              <w:rPr>
                <w:sz w:val="7"/>
                <w:szCs w:val="7"/>
                <w:color w:val="auto"/>
              </w:rPr>
            </w:pPr>
          </w:p>
        </w:tc>
        <w:tc>
          <w:tcPr>
            <w:tcW w:w="900" w:type="dxa"/>
            <w:vAlign w:val="bottom"/>
            <w:tcBorders>
              <w:right w:val="single" w:sz="8" w:color="auto"/>
            </w:tcBorders>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Sugar Creek,</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MO</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(2302171)</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Central</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Plains</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0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3</w:t>
            </w:r>
          </w:p>
        </w:tc>
        <w:tc>
          <w:tcPr>
            <w:tcW w:w="8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0</w:t>
            </w:r>
          </w:p>
        </w:tc>
        <w:tc>
          <w:tcPr>
            <w:tcW w:w="200" w:type="dxa"/>
            <w:vAlign w:val="bottom"/>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1"/>
        </w:trPr>
        <w:tc>
          <w:tcPr>
            <w:tcW w:w="100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color w:val="auto"/>
              </w:rPr>
              <w:t>7,269</w:t>
            </w:r>
          </w:p>
        </w:tc>
        <w:tc>
          <w:tcPr>
            <w:tcW w:w="76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0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LLC, Tulsa,</w:t>
            </w:r>
          </w:p>
        </w:tc>
        <w:tc>
          <w:tcPr>
            <w:tcW w:w="7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OK</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(3400026)</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Fairborn</w:t>
            </w:r>
          </w:p>
        </w:tc>
        <w:tc>
          <w:tcPr>
            <w:tcW w:w="7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vMerge w:val="restart"/>
            <w:shd w:val="clear" w:color="auto" w:fill="D9E2F3"/>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0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2</w:t>
            </w:r>
          </w:p>
        </w:tc>
        <w:tc>
          <w:tcPr>
            <w:tcW w:w="8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200" w:type="dxa"/>
            <w:vAlign w:val="bottom"/>
            <w:vMerge w:val="continue"/>
            <w:shd w:val="clear" w:color="auto" w:fill="D9E2F3"/>
          </w:tcPr>
          <w:p>
            <w:pPr>
              <w:spacing w:after="0"/>
              <w:rPr>
                <w:sz w:val="5"/>
                <w:szCs w:val="5"/>
                <w:color w:val="auto"/>
              </w:rPr>
            </w:pPr>
          </w:p>
        </w:tc>
        <w:tc>
          <w:tcPr>
            <w:tcW w:w="560" w:type="dxa"/>
            <w:vAlign w:val="bottom"/>
            <w:tcBorders>
              <w:right w:val="single" w:sz="8" w:color="auto"/>
            </w:tcBorders>
            <w:shd w:val="clear" w:color="auto" w:fill="D9E2F3"/>
          </w:tcPr>
          <w:p>
            <w:pPr>
              <w:spacing w:after="0"/>
              <w:rPr>
                <w:sz w:val="5"/>
                <w:szCs w:val="5"/>
                <w:color w:val="auto"/>
              </w:rPr>
            </w:pPr>
          </w:p>
        </w:tc>
        <w:tc>
          <w:tcPr>
            <w:tcW w:w="7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vMerge w:val="restart"/>
            <w:shd w:val="clear" w:color="auto" w:fill="D9E2F3"/>
          </w:tcPr>
          <w:p>
            <w:pPr>
              <w:ind w:left="4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1"/>
        </w:trPr>
        <w:tc>
          <w:tcPr>
            <w:tcW w:w="1000" w:type="dxa"/>
            <w:vAlign w:val="bottom"/>
            <w:tcBorders>
              <w:left w:val="single" w:sz="8" w:color="D9E2F3"/>
              <w:right w:val="single" w:sz="8" w:color="auto"/>
            </w:tcBorders>
            <w:vMerge w:val="continue"/>
            <w:shd w:val="clear" w:color="auto" w:fill="D9E2F3"/>
          </w:tcPr>
          <w:p>
            <w:pPr>
              <w:spacing w:after="0"/>
              <w:rPr>
                <w:sz w:val="7"/>
                <w:szCs w:val="7"/>
                <w:color w:val="auto"/>
              </w:rPr>
            </w:pPr>
          </w:p>
        </w:tc>
        <w:tc>
          <w:tcPr>
            <w:tcW w:w="720" w:type="dxa"/>
            <w:vAlign w:val="bottom"/>
            <w:tcBorders>
              <w:right w:val="single" w:sz="8" w:color="auto"/>
            </w:tcBorders>
            <w:vMerge w:val="continue"/>
            <w:shd w:val="clear" w:color="auto" w:fill="D9E2F3"/>
          </w:tcPr>
          <w:p>
            <w:pPr>
              <w:spacing w:after="0"/>
              <w:rPr>
                <w:sz w:val="7"/>
                <w:szCs w:val="7"/>
                <w:color w:val="auto"/>
              </w:rPr>
            </w:pPr>
          </w:p>
        </w:tc>
        <w:tc>
          <w:tcPr>
            <w:tcW w:w="820" w:type="dxa"/>
            <w:vAlign w:val="bottom"/>
            <w:tcBorders>
              <w:right w:val="single" w:sz="8" w:color="auto"/>
            </w:tcBorders>
            <w:vMerge w:val="continue"/>
            <w:shd w:val="clear" w:color="auto" w:fill="D9E2F3"/>
          </w:tcPr>
          <w:p>
            <w:pPr>
              <w:spacing w:after="0"/>
              <w:rPr>
                <w:sz w:val="7"/>
                <w:szCs w:val="7"/>
                <w:color w:val="auto"/>
              </w:rPr>
            </w:pPr>
          </w:p>
        </w:tc>
        <w:tc>
          <w:tcPr>
            <w:tcW w:w="820" w:type="dxa"/>
            <w:vAlign w:val="bottom"/>
            <w:tcBorders>
              <w:right w:val="single" w:sz="8" w:color="auto"/>
            </w:tcBorders>
            <w:vMerge w:val="continue"/>
            <w:shd w:val="clear" w:color="auto" w:fill="D9E2F3"/>
          </w:tcPr>
          <w:p>
            <w:pPr>
              <w:spacing w:after="0"/>
              <w:rPr>
                <w:sz w:val="7"/>
                <w:szCs w:val="7"/>
                <w:color w:val="auto"/>
              </w:rPr>
            </w:pPr>
          </w:p>
        </w:tc>
        <w:tc>
          <w:tcPr>
            <w:tcW w:w="740" w:type="dxa"/>
            <w:vAlign w:val="bottom"/>
            <w:tcBorders>
              <w:right w:val="single" w:sz="8" w:color="auto"/>
            </w:tcBorders>
            <w:vMerge w:val="continue"/>
            <w:shd w:val="clear" w:color="auto" w:fill="D9E2F3"/>
          </w:tcPr>
          <w:p>
            <w:pPr>
              <w:spacing w:after="0"/>
              <w:rPr>
                <w:sz w:val="7"/>
                <w:szCs w:val="7"/>
                <w:color w:val="auto"/>
              </w:rPr>
            </w:pPr>
          </w:p>
        </w:tc>
        <w:tc>
          <w:tcPr>
            <w:tcW w:w="740" w:type="dxa"/>
            <w:vAlign w:val="bottom"/>
            <w:tcBorders>
              <w:right w:val="single" w:sz="8" w:color="auto"/>
            </w:tcBorders>
            <w:vMerge w:val="continue"/>
            <w:shd w:val="clear" w:color="auto" w:fill="D9E2F3"/>
          </w:tcPr>
          <w:p>
            <w:pPr>
              <w:spacing w:after="0"/>
              <w:rPr>
                <w:sz w:val="7"/>
                <w:szCs w:val="7"/>
                <w:color w:val="auto"/>
              </w:rPr>
            </w:pPr>
          </w:p>
        </w:tc>
        <w:tc>
          <w:tcPr>
            <w:tcW w:w="760" w:type="dxa"/>
            <w:vAlign w:val="bottom"/>
            <w:tcBorders>
              <w:right w:val="single" w:sz="8" w:color="auto"/>
            </w:tcBorders>
            <w:gridSpan w:val="2"/>
            <w:vMerge w:val="restart"/>
            <w:shd w:val="clear" w:color="auto" w:fill="D9E2F3"/>
          </w:tcPr>
          <w:p>
            <w:pPr>
              <w:ind w:left="80"/>
              <w:spacing w:after="0"/>
              <w:rPr>
                <w:sz w:val="20"/>
                <w:szCs w:val="20"/>
                <w:color w:val="auto"/>
              </w:rPr>
            </w:pPr>
            <w:r>
              <w:rPr>
                <w:rFonts w:ascii="Arial" w:cs="Arial" w:eastAsia="Arial" w:hAnsi="Arial"/>
                <w:sz w:val="14"/>
                <w:szCs w:val="14"/>
                <w:color w:val="auto"/>
              </w:rPr>
              <w:t>6,542</w:t>
            </w:r>
          </w:p>
        </w:tc>
        <w:tc>
          <w:tcPr>
            <w:tcW w:w="760" w:type="dxa"/>
            <w:vAlign w:val="bottom"/>
            <w:tcBorders>
              <w:right w:val="single" w:sz="8" w:color="auto"/>
            </w:tcBorders>
            <w:vMerge w:val="continue"/>
            <w:shd w:val="clear" w:color="auto" w:fill="D9E2F3"/>
          </w:tcPr>
          <w:p>
            <w:pPr>
              <w:spacing w:after="0"/>
              <w:rPr>
                <w:sz w:val="7"/>
                <w:szCs w:val="7"/>
                <w:color w:val="auto"/>
              </w:rPr>
            </w:pPr>
          </w:p>
        </w:tc>
        <w:tc>
          <w:tcPr>
            <w:tcW w:w="780" w:type="dxa"/>
            <w:vAlign w:val="bottom"/>
            <w:tcBorders>
              <w:right w:val="single" w:sz="8" w:color="auto"/>
            </w:tcBorders>
            <w:vMerge w:val="continue"/>
            <w:shd w:val="clear" w:color="auto" w:fill="D9E2F3"/>
          </w:tcPr>
          <w:p>
            <w:pPr>
              <w:spacing w:after="0"/>
              <w:rPr>
                <w:sz w:val="7"/>
                <w:szCs w:val="7"/>
                <w:color w:val="auto"/>
              </w:rPr>
            </w:pPr>
          </w:p>
        </w:tc>
        <w:tc>
          <w:tcPr>
            <w:tcW w:w="760" w:type="dxa"/>
            <w:vAlign w:val="bottom"/>
            <w:tcBorders>
              <w:right w:val="single" w:sz="8" w:color="auto"/>
            </w:tcBorders>
            <w:vMerge w:val="continue"/>
            <w:shd w:val="clear" w:color="auto" w:fill="D9E2F3"/>
          </w:tcPr>
          <w:p>
            <w:pPr>
              <w:spacing w:after="0"/>
              <w:rPr>
                <w:sz w:val="7"/>
                <w:szCs w:val="7"/>
                <w:color w:val="auto"/>
              </w:rPr>
            </w:pPr>
          </w:p>
        </w:tc>
        <w:tc>
          <w:tcPr>
            <w:tcW w:w="860" w:type="dxa"/>
            <w:vAlign w:val="bottom"/>
            <w:tcBorders>
              <w:right w:val="single" w:sz="8" w:color="auto"/>
            </w:tcBorders>
            <w:vMerge w:val="continue"/>
            <w:shd w:val="clear" w:color="auto" w:fill="D9E2F3"/>
          </w:tcPr>
          <w:p>
            <w:pPr>
              <w:spacing w:after="0"/>
              <w:rPr>
                <w:sz w:val="7"/>
                <w:szCs w:val="7"/>
                <w:color w:val="auto"/>
              </w:rPr>
            </w:pPr>
          </w:p>
        </w:tc>
        <w:tc>
          <w:tcPr>
            <w:tcW w:w="880" w:type="dxa"/>
            <w:vAlign w:val="bottom"/>
            <w:tcBorders>
              <w:right w:val="single" w:sz="8" w:color="auto"/>
            </w:tcBorders>
            <w:vMerge w:val="continue"/>
            <w:shd w:val="clear" w:color="auto" w:fill="D9E2F3"/>
          </w:tcPr>
          <w:p>
            <w:pPr>
              <w:spacing w:after="0"/>
              <w:rPr>
                <w:sz w:val="7"/>
                <w:szCs w:val="7"/>
                <w:color w:val="auto"/>
              </w:rPr>
            </w:pPr>
          </w:p>
        </w:tc>
        <w:tc>
          <w:tcPr>
            <w:tcW w:w="900" w:type="dxa"/>
            <w:vAlign w:val="bottom"/>
            <w:tcBorders>
              <w:right w:val="single" w:sz="8" w:color="auto"/>
            </w:tcBorders>
            <w:vMerge w:val="continue"/>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00" w:type="dxa"/>
            <w:vAlign w:val="bottom"/>
            <w:tcBorders>
              <w:left w:val="single" w:sz="8" w:color="D9E2F3"/>
              <w:right w:val="single" w:sz="8" w:color="auto"/>
            </w:tcBorders>
            <w:vMerge w:val="restart"/>
            <w:shd w:val="clear" w:color="auto" w:fill="D9E2F3"/>
          </w:tcPr>
          <w:p>
            <w:pPr>
              <w:ind w:left="100"/>
              <w:spacing w:after="0" w:line="149" w:lineRule="exact"/>
              <w:rPr>
                <w:sz w:val="20"/>
                <w:szCs w:val="20"/>
                <w:color w:val="auto"/>
              </w:rPr>
            </w:pPr>
            <w:r>
              <w:rPr>
                <w:rFonts w:ascii="Arial" w:cs="Arial" w:eastAsia="Arial" w:hAnsi="Arial"/>
                <w:sz w:val="14"/>
                <w:szCs w:val="14"/>
                <w:color w:val="auto"/>
              </w:rPr>
              <w:t>Greene</w:t>
            </w:r>
          </w:p>
        </w:tc>
        <w:tc>
          <w:tcPr>
            <w:tcW w:w="720" w:type="dxa"/>
            <w:vAlign w:val="bottom"/>
            <w:tcBorders>
              <w:right w:val="single" w:sz="8" w:color="auto"/>
            </w:tcBorders>
            <w:shd w:val="clear" w:color="auto" w:fill="D9E2F3"/>
          </w:tcPr>
          <w:p>
            <w:pPr>
              <w:spacing w:after="0"/>
              <w:rPr>
                <w:sz w:val="8"/>
                <w:szCs w:val="8"/>
                <w:color w:val="auto"/>
              </w:rPr>
            </w:pPr>
          </w:p>
        </w:tc>
        <w:tc>
          <w:tcPr>
            <w:tcW w:w="820" w:type="dxa"/>
            <w:vAlign w:val="bottom"/>
            <w:tcBorders>
              <w:right w:val="single" w:sz="8" w:color="auto"/>
            </w:tcBorders>
            <w:shd w:val="clear" w:color="auto" w:fill="D9E2F3"/>
          </w:tcPr>
          <w:p>
            <w:pPr>
              <w:spacing w:after="0"/>
              <w:rPr>
                <w:sz w:val="8"/>
                <w:szCs w:val="8"/>
                <w:color w:val="auto"/>
              </w:rPr>
            </w:pPr>
          </w:p>
        </w:tc>
        <w:tc>
          <w:tcPr>
            <w:tcW w:w="820" w:type="dxa"/>
            <w:vAlign w:val="bottom"/>
            <w:tcBorders>
              <w:right w:val="single" w:sz="8" w:color="auto"/>
            </w:tcBorders>
            <w:shd w:val="clear" w:color="auto" w:fill="D9E2F3"/>
          </w:tcPr>
          <w:p>
            <w:pPr>
              <w:spacing w:after="0"/>
              <w:rPr>
                <w:sz w:val="8"/>
                <w:szCs w:val="8"/>
                <w:color w:val="auto"/>
              </w:rPr>
            </w:pPr>
          </w:p>
        </w:tc>
        <w:tc>
          <w:tcPr>
            <w:tcW w:w="740" w:type="dxa"/>
            <w:vAlign w:val="bottom"/>
            <w:tcBorders>
              <w:right w:val="single" w:sz="8" w:color="auto"/>
            </w:tcBorders>
            <w:shd w:val="clear" w:color="auto" w:fill="D9E2F3"/>
          </w:tcPr>
          <w:p>
            <w:pPr>
              <w:spacing w:after="0"/>
              <w:rPr>
                <w:sz w:val="8"/>
                <w:szCs w:val="8"/>
                <w:color w:val="auto"/>
              </w:rPr>
            </w:pPr>
          </w:p>
        </w:tc>
        <w:tc>
          <w:tcPr>
            <w:tcW w:w="740" w:type="dxa"/>
            <w:vAlign w:val="bottom"/>
            <w:tcBorders>
              <w:right w:val="single" w:sz="8" w:color="auto"/>
            </w:tcBorders>
            <w:shd w:val="clear" w:color="auto" w:fill="D9E2F3"/>
          </w:tcPr>
          <w:p>
            <w:pPr>
              <w:spacing w:after="0"/>
              <w:rPr>
                <w:sz w:val="8"/>
                <w:szCs w:val="8"/>
                <w:color w:val="auto"/>
              </w:rPr>
            </w:pPr>
          </w:p>
        </w:tc>
        <w:tc>
          <w:tcPr>
            <w:tcW w:w="760" w:type="dxa"/>
            <w:vAlign w:val="bottom"/>
            <w:tcBorders>
              <w:right w:val="single" w:sz="8" w:color="auto"/>
            </w:tcBorders>
            <w:gridSpan w:val="2"/>
            <w:vMerge w:val="continue"/>
            <w:shd w:val="clear" w:color="auto" w:fill="D9E2F3"/>
          </w:tcPr>
          <w:p>
            <w:pPr>
              <w:spacing w:after="0"/>
              <w:rPr>
                <w:sz w:val="8"/>
                <w:szCs w:val="8"/>
                <w:color w:val="auto"/>
              </w:rPr>
            </w:pPr>
          </w:p>
        </w:tc>
        <w:tc>
          <w:tcPr>
            <w:tcW w:w="760" w:type="dxa"/>
            <w:vAlign w:val="bottom"/>
            <w:tcBorders>
              <w:right w:val="single" w:sz="8" w:color="auto"/>
            </w:tcBorders>
            <w:shd w:val="clear" w:color="auto" w:fill="D9E2F3"/>
          </w:tcPr>
          <w:p>
            <w:pPr>
              <w:spacing w:after="0"/>
              <w:rPr>
                <w:sz w:val="8"/>
                <w:szCs w:val="8"/>
                <w:color w:val="auto"/>
              </w:rPr>
            </w:pPr>
          </w:p>
        </w:tc>
        <w:tc>
          <w:tcPr>
            <w:tcW w:w="780" w:type="dxa"/>
            <w:vAlign w:val="bottom"/>
            <w:tcBorders>
              <w:right w:val="single" w:sz="8" w:color="auto"/>
            </w:tcBorders>
            <w:shd w:val="clear" w:color="auto" w:fill="D9E2F3"/>
          </w:tcPr>
          <w:p>
            <w:pPr>
              <w:spacing w:after="0"/>
              <w:rPr>
                <w:sz w:val="8"/>
                <w:szCs w:val="8"/>
                <w:color w:val="auto"/>
              </w:rPr>
            </w:pPr>
          </w:p>
        </w:tc>
        <w:tc>
          <w:tcPr>
            <w:tcW w:w="760" w:type="dxa"/>
            <w:vAlign w:val="bottom"/>
            <w:tcBorders>
              <w:right w:val="single" w:sz="8" w:color="auto"/>
            </w:tcBorders>
            <w:shd w:val="clear" w:color="auto" w:fill="D9E2F3"/>
          </w:tcPr>
          <w:p>
            <w:pPr>
              <w:spacing w:after="0"/>
              <w:rPr>
                <w:sz w:val="8"/>
                <w:szCs w:val="8"/>
                <w:color w:val="auto"/>
              </w:rPr>
            </w:pPr>
          </w:p>
        </w:tc>
        <w:tc>
          <w:tcPr>
            <w:tcW w:w="860" w:type="dxa"/>
            <w:vAlign w:val="bottom"/>
            <w:tcBorders>
              <w:right w:val="single" w:sz="8" w:color="auto"/>
            </w:tcBorders>
            <w:shd w:val="clear" w:color="auto" w:fill="D9E2F3"/>
          </w:tcPr>
          <w:p>
            <w:pPr>
              <w:spacing w:after="0"/>
              <w:rPr>
                <w:sz w:val="8"/>
                <w:szCs w:val="8"/>
                <w:color w:val="auto"/>
              </w:rPr>
            </w:pPr>
          </w:p>
        </w:tc>
        <w:tc>
          <w:tcPr>
            <w:tcW w:w="880" w:type="dxa"/>
            <w:vAlign w:val="bottom"/>
            <w:tcBorders>
              <w:right w:val="single" w:sz="8" w:color="auto"/>
            </w:tcBorders>
            <w:shd w:val="clear" w:color="auto" w:fill="D9E2F3"/>
          </w:tcPr>
          <w:p>
            <w:pPr>
              <w:spacing w:after="0"/>
              <w:rPr>
                <w:sz w:val="8"/>
                <w:szCs w:val="8"/>
                <w:color w:val="auto"/>
              </w:rPr>
            </w:pPr>
          </w:p>
        </w:tc>
        <w:tc>
          <w:tcPr>
            <w:tcW w:w="900" w:type="dxa"/>
            <w:vAlign w:val="bottom"/>
            <w:tcBorders>
              <w:right w:val="single" w:sz="8" w:color="auto"/>
            </w:tcBorders>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0" w:type="dxa"/>
            <w:vAlign w:val="bottom"/>
            <w:tcBorders>
              <w:left w:val="single" w:sz="8" w:color="D9E2F3"/>
              <w:right w:val="single" w:sz="8" w:color="auto"/>
            </w:tcBorders>
            <w:vMerge w:val="continue"/>
            <w:shd w:val="clear" w:color="auto" w:fill="D9E2F3"/>
          </w:tcPr>
          <w:p>
            <w:pPr>
              <w:spacing w:after="0"/>
              <w:rPr>
                <w:sz w:val="4"/>
                <w:szCs w:val="4"/>
                <w:color w:val="auto"/>
              </w:rPr>
            </w:pPr>
          </w:p>
        </w:tc>
        <w:tc>
          <w:tcPr>
            <w:tcW w:w="72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82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740" w:type="dxa"/>
            <w:vAlign w:val="bottom"/>
            <w:tcBorders>
              <w:right w:val="single" w:sz="8" w:color="auto"/>
            </w:tcBorders>
            <w:shd w:val="clear" w:color="auto" w:fill="D9E2F3"/>
          </w:tcPr>
          <w:p>
            <w:pPr>
              <w:spacing w:after="0"/>
              <w:rPr>
                <w:sz w:val="4"/>
                <w:szCs w:val="4"/>
                <w:color w:val="auto"/>
              </w:rPr>
            </w:pPr>
          </w:p>
        </w:tc>
        <w:tc>
          <w:tcPr>
            <w:tcW w:w="200" w:type="dxa"/>
            <w:vAlign w:val="bottom"/>
            <w:shd w:val="clear" w:color="auto" w:fill="D9E2F3"/>
          </w:tcPr>
          <w:p>
            <w:pPr>
              <w:spacing w:after="0"/>
              <w:rPr>
                <w:sz w:val="4"/>
                <w:szCs w:val="4"/>
                <w:color w:val="auto"/>
              </w:rPr>
            </w:pPr>
          </w:p>
        </w:tc>
        <w:tc>
          <w:tcPr>
            <w:tcW w:w="56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780" w:type="dxa"/>
            <w:vAlign w:val="bottom"/>
            <w:tcBorders>
              <w:right w:val="single" w:sz="8" w:color="auto"/>
            </w:tcBorders>
            <w:shd w:val="clear" w:color="auto" w:fill="D9E2F3"/>
          </w:tcPr>
          <w:p>
            <w:pPr>
              <w:spacing w:after="0"/>
              <w:rPr>
                <w:sz w:val="4"/>
                <w:szCs w:val="4"/>
                <w:color w:val="auto"/>
              </w:rPr>
            </w:pPr>
          </w:p>
        </w:tc>
        <w:tc>
          <w:tcPr>
            <w:tcW w:w="760" w:type="dxa"/>
            <w:vAlign w:val="bottom"/>
            <w:tcBorders>
              <w:right w:val="single" w:sz="8" w:color="auto"/>
            </w:tcBorders>
            <w:shd w:val="clear" w:color="auto" w:fill="D9E2F3"/>
          </w:tcPr>
          <w:p>
            <w:pPr>
              <w:spacing w:after="0"/>
              <w:rPr>
                <w:sz w:val="4"/>
                <w:szCs w:val="4"/>
                <w:color w:val="auto"/>
              </w:rPr>
            </w:pPr>
          </w:p>
        </w:tc>
        <w:tc>
          <w:tcPr>
            <w:tcW w:w="860" w:type="dxa"/>
            <w:vAlign w:val="bottom"/>
            <w:tcBorders>
              <w:right w:val="single" w:sz="8" w:color="auto"/>
            </w:tcBorders>
            <w:shd w:val="clear" w:color="auto" w:fill="D9E2F3"/>
          </w:tcPr>
          <w:p>
            <w:pPr>
              <w:spacing w:after="0"/>
              <w:rPr>
                <w:sz w:val="4"/>
                <w:szCs w:val="4"/>
                <w:color w:val="auto"/>
              </w:rPr>
            </w:pPr>
          </w:p>
        </w:tc>
        <w:tc>
          <w:tcPr>
            <w:tcW w:w="880" w:type="dxa"/>
            <w:vAlign w:val="bottom"/>
            <w:tcBorders>
              <w:right w:val="single" w:sz="8" w:color="auto"/>
            </w:tcBorders>
            <w:shd w:val="clear" w:color="auto" w:fill="D9E2F3"/>
          </w:tcPr>
          <w:p>
            <w:pPr>
              <w:spacing w:after="0"/>
              <w:rPr>
                <w:sz w:val="4"/>
                <w:szCs w:val="4"/>
                <w:color w:val="auto"/>
              </w:rPr>
            </w:pPr>
          </w:p>
        </w:tc>
        <w:tc>
          <w:tcPr>
            <w:tcW w:w="900" w:type="dxa"/>
            <w:vAlign w:val="bottom"/>
            <w:tcBorders>
              <w:right w:val="single" w:sz="8" w:color="auto"/>
            </w:tcBorders>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County, OH</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(3300161)</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Illinois</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19</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$23,036</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100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gridSpan w:val="2"/>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0" w:type="dxa"/>
            <w:vAlign w:val="bottom"/>
            <w:tcBorders>
              <w:right w:val="single" w:sz="8" w:color="auto"/>
            </w:tcBorders>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LaSalle, IL</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(1100003)</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Kosmos</w:t>
            </w:r>
          </w:p>
        </w:tc>
        <w:tc>
          <w:tcPr>
            <w:tcW w:w="7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200" w:type="dxa"/>
            <w:vAlign w:val="bottom"/>
            <w:shd w:val="clear" w:color="auto" w:fill="D9E2F3"/>
          </w:tcPr>
          <w:p>
            <w:pPr>
              <w:spacing w:after="0"/>
              <w:rPr>
                <w:sz w:val="11"/>
                <w:szCs w:val="11"/>
                <w:color w:val="auto"/>
              </w:rPr>
            </w:pPr>
          </w:p>
        </w:tc>
        <w:tc>
          <w:tcPr>
            <w:tcW w:w="5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19</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1</w:t>
            </w:r>
          </w:p>
        </w:tc>
        <w:tc>
          <w:tcPr>
            <w:tcW w:w="82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shd w:val="clear" w:color="auto" w:fill="D9E2F3"/>
          </w:tcPr>
          <w:p>
            <w:pPr>
              <w:ind w:left="120"/>
              <w:spacing w:after="0" w:line="149" w:lineRule="exact"/>
              <w:rPr>
                <w:sz w:val="20"/>
                <w:szCs w:val="20"/>
                <w:color w:val="auto"/>
              </w:rPr>
            </w:pPr>
            <w:r>
              <w:rPr>
                <w:rFonts w:ascii="Arial" w:cs="Arial" w:eastAsia="Arial" w:hAnsi="Arial"/>
                <w:sz w:val="14"/>
                <w:szCs w:val="14"/>
                <w:color w:val="auto"/>
              </w:rPr>
              <w:t>$67,137</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shd w:val="clear" w:color="auto" w:fill="D9E2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shd w:val="clear" w:color="auto" w:fill="D9E2F3"/>
          </w:tcPr>
          <w:p>
            <w:pPr>
              <w:ind w:left="4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Jefferson,</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D9E2F3"/>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KY</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200" w:type="dxa"/>
            <w:vAlign w:val="bottom"/>
            <w:shd w:val="clear" w:color="auto" w:fill="D9E2F3"/>
          </w:tcPr>
          <w:p>
            <w:pPr>
              <w:spacing w:after="0"/>
              <w:rPr>
                <w:sz w:val="12"/>
                <w:szCs w:val="12"/>
                <w:color w:val="auto"/>
              </w:rPr>
            </w:pP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(1504469)</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200" w:type="dxa"/>
            <w:vAlign w:val="bottom"/>
            <w:tcBorders>
              <w:bottom w:val="single" w:sz="8" w:color="auto"/>
            </w:tcBorders>
            <w:shd w:val="clear" w:color="auto" w:fill="D9E2F3"/>
          </w:tcPr>
          <w:p>
            <w:pPr>
              <w:spacing w:after="0"/>
              <w:rPr>
                <w:sz w:val="15"/>
                <w:szCs w:val="15"/>
                <w:color w:val="auto"/>
              </w:rPr>
            </w:pPr>
          </w:p>
        </w:tc>
        <w:tc>
          <w:tcPr>
            <w:tcW w:w="5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Mountain</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right"/>
              <w:ind w:right="232"/>
              <w:spacing w:after="0" w:line="297"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900" w:type="dxa"/>
            <w:vAlign w:val="bottom"/>
            <w:tcBorders>
              <w:right w:val="single" w:sz="8" w:color="auto"/>
            </w:tcBorders>
            <w:vMerge w:val="restart"/>
          </w:tcPr>
          <w:p>
            <w:pPr>
              <w:ind w:left="400"/>
              <w:spacing w:after="0" w:line="297"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3</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$25,997</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Laramie,</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WY</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(4800007)</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D9E2F3"/>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Nevada</w:t>
            </w:r>
          </w:p>
        </w:tc>
        <w:tc>
          <w:tcPr>
            <w:tcW w:w="72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rPr>
              <w:t>3</w:t>
            </w:r>
          </w:p>
        </w:tc>
        <w:tc>
          <w:tcPr>
            <w:tcW w:w="82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rPr>
              <w:t>1</w:t>
            </w:r>
          </w:p>
        </w:tc>
        <w:tc>
          <w:tcPr>
            <w:tcW w:w="74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gridSpan w:val="2"/>
            <w:shd w:val="clear" w:color="auto" w:fill="D9E2F3"/>
          </w:tcPr>
          <w:p>
            <w:pPr>
              <w:ind w:left="120"/>
              <w:spacing w:after="0" w:line="137" w:lineRule="exact"/>
              <w:rPr>
                <w:sz w:val="20"/>
                <w:szCs w:val="20"/>
                <w:color w:val="auto"/>
              </w:rPr>
            </w:pPr>
            <w:r>
              <w:rPr>
                <w:rFonts w:ascii="Arial" w:cs="Arial" w:eastAsia="Arial" w:hAnsi="Arial"/>
                <w:sz w:val="14"/>
                <w:szCs w:val="14"/>
                <w:color w:val="auto"/>
              </w:rPr>
              <w:t>$13,366</w:t>
            </w:r>
          </w:p>
        </w:tc>
        <w:tc>
          <w:tcPr>
            <w:tcW w:w="76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w w:val="76"/>
              </w:rPr>
              <w:t>0</w:t>
            </w:r>
          </w:p>
        </w:tc>
        <w:tc>
          <w:tcPr>
            <w:tcW w:w="78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w w:val="89"/>
              </w:rPr>
              <w:t>no</w:t>
            </w:r>
          </w:p>
        </w:tc>
        <w:tc>
          <w:tcPr>
            <w:tcW w:w="76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w w:val="89"/>
              </w:rPr>
              <w:t>no</w:t>
            </w:r>
          </w:p>
        </w:tc>
        <w:tc>
          <w:tcPr>
            <w:tcW w:w="86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shd w:val="clear" w:color="auto" w:fill="D9E2F3"/>
          </w:tcPr>
          <w:p>
            <w:pPr>
              <w:jc w:val="center"/>
              <w:spacing w:after="0" w:line="137" w:lineRule="exact"/>
              <w:rPr>
                <w:sz w:val="20"/>
                <w:szCs w:val="20"/>
                <w:color w:val="auto"/>
              </w:rPr>
            </w:pPr>
            <w:r>
              <w:rPr>
                <w:rFonts w:ascii="Arial" w:cs="Arial" w:eastAsia="Arial" w:hAnsi="Arial"/>
                <w:sz w:val="14"/>
                <w:szCs w:val="14"/>
                <w:color w:val="auto"/>
                <w:w w:val="76"/>
              </w:rPr>
              <w:t>0</w:t>
            </w:r>
          </w:p>
        </w:tc>
        <w:tc>
          <w:tcPr>
            <w:tcW w:w="900" w:type="dxa"/>
            <w:vAlign w:val="bottom"/>
            <w:tcBorders>
              <w:right w:val="single" w:sz="8" w:color="auto"/>
            </w:tcBorders>
            <w:shd w:val="clear" w:color="auto" w:fill="D9E2F3"/>
          </w:tcPr>
          <w:p>
            <w:pPr>
              <w:ind w:left="400"/>
              <w:spacing w:after="0" w:line="13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1"/>
        </w:trPr>
        <w:tc>
          <w:tcPr>
            <w:tcW w:w="1000" w:type="dxa"/>
            <w:vAlign w:val="bottom"/>
            <w:tcBorders>
              <w:left w:val="single" w:sz="8" w:color="D9E2F3"/>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shd w:val="clear" w:color="auto" w:fill="D9E2F3"/>
          </w:tcPr>
          <w:p>
            <w:pPr>
              <w:spacing w:after="0"/>
              <w:rPr>
                <w:sz w:val="15"/>
                <w:szCs w:val="15"/>
                <w:color w:val="auto"/>
              </w:rPr>
            </w:pPr>
          </w:p>
        </w:tc>
        <w:tc>
          <w:tcPr>
            <w:tcW w:w="820" w:type="dxa"/>
            <w:vAlign w:val="bottom"/>
            <w:tcBorders>
              <w:right w:val="single" w:sz="8" w:color="auto"/>
            </w:tcBorders>
            <w:shd w:val="clear" w:color="auto" w:fill="D9E2F3"/>
          </w:tcPr>
          <w:p>
            <w:pPr>
              <w:spacing w:after="0"/>
              <w:rPr>
                <w:sz w:val="15"/>
                <w:szCs w:val="15"/>
                <w:color w:val="auto"/>
              </w:rPr>
            </w:pPr>
          </w:p>
        </w:tc>
        <w:tc>
          <w:tcPr>
            <w:tcW w:w="820" w:type="dxa"/>
            <w:vAlign w:val="bottom"/>
            <w:tcBorders>
              <w:right w:val="single" w:sz="8" w:color="auto"/>
            </w:tcBorders>
            <w:shd w:val="clear" w:color="auto" w:fill="D9E2F3"/>
          </w:tcPr>
          <w:p>
            <w:pPr>
              <w:spacing w:after="0"/>
              <w:rPr>
                <w:sz w:val="15"/>
                <w:szCs w:val="15"/>
                <w:color w:val="auto"/>
              </w:rPr>
            </w:pPr>
          </w:p>
        </w:tc>
        <w:tc>
          <w:tcPr>
            <w:tcW w:w="740" w:type="dxa"/>
            <w:vAlign w:val="bottom"/>
            <w:tcBorders>
              <w:right w:val="single" w:sz="8" w:color="auto"/>
            </w:tcBorders>
            <w:shd w:val="clear" w:color="auto" w:fill="D9E2F3"/>
          </w:tcPr>
          <w:p>
            <w:pPr>
              <w:spacing w:after="0"/>
              <w:rPr>
                <w:sz w:val="15"/>
                <w:szCs w:val="15"/>
                <w:color w:val="auto"/>
              </w:rPr>
            </w:pPr>
          </w:p>
        </w:tc>
        <w:tc>
          <w:tcPr>
            <w:tcW w:w="740" w:type="dxa"/>
            <w:vAlign w:val="bottom"/>
            <w:tcBorders>
              <w:right w:val="single" w:sz="8" w:color="auto"/>
            </w:tcBorders>
            <w:shd w:val="clear" w:color="auto" w:fill="D9E2F3"/>
          </w:tcPr>
          <w:p>
            <w:pPr>
              <w:spacing w:after="0"/>
              <w:rPr>
                <w:sz w:val="15"/>
                <w:szCs w:val="15"/>
                <w:color w:val="auto"/>
              </w:rPr>
            </w:pPr>
          </w:p>
        </w:tc>
        <w:tc>
          <w:tcPr>
            <w:tcW w:w="200" w:type="dxa"/>
            <w:vAlign w:val="bottom"/>
            <w:shd w:val="clear" w:color="auto" w:fill="D9E2F3"/>
          </w:tcPr>
          <w:p>
            <w:pPr>
              <w:spacing w:after="0"/>
              <w:rPr>
                <w:sz w:val="15"/>
                <w:szCs w:val="15"/>
                <w:color w:val="auto"/>
              </w:rPr>
            </w:pPr>
          </w:p>
        </w:tc>
        <w:tc>
          <w:tcPr>
            <w:tcW w:w="560" w:type="dxa"/>
            <w:vAlign w:val="bottom"/>
            <w:tcBorders>
              <w:right w:val="single" w:sz="8" w:color="auto"/>
            </w:tcBorders>
            <w:shd w:val="clear" w:color="auto" w:fill="D9E2F3"/>
          </w:tcPr>
          <w:p>
            <w:pPr>
              <w:spacing w:after="0"/>
              <w:rPr>
                <w:sz w:val="15"/>
                <w:szCs w:val="15"/>
                <w:color w:val="auto"/>
              </w:rPr>
            </w:pPr>
          </w:p>
        </w:tc>
        <w:tc>
          <w:tcPr>
            <w:tcW w:w="760" w:type="dxa"/>
            <w:vAlign w:val="bottom"/>
            <w:tcBorders>
              <w:right w:val="single" w:sz="8" w:color="auto"/>
            </w:tcBorders>
            <w:shd w:val="clear" w:color="auto" w:fill="D9E2F3"/>
          </w:tcPr>
          <w:p>
            <w:pPr>
              <w:spacing w:after="0"/>
              <w:rPr>
                <w:sz w:val="15"/>
                <w:szCs w:val="15"/>
                <w:color w:val="auto"/>
              </w:rPr>
            </w:pPr>
          </w:p>
        </w:tc>
        <w:tc>
          <w:tcPr>
            <w:tcW w:w="780" w:type="dxa"/>
            <w:vAlign w:val="bottom"/>
            <w:tcBorders>
              <w:right w:val="single" w:sz="8" w:color="auto"/>
            </w:tcBorders>
            <w:shd w:val="clear" w:color="auto" w:fill="D9E2F3"/>
          </w:tcPr>
          <w:p>
            <w:pPr>
              <w:spacing w:after="0"/>
              <w:rPr>
                <w:sz w:val="15"/>
                <w:szCs w:val="15"/>
                <w:color w:val="auto"/>
              </w:rPr>
            </w:pPr>
          </w:p>
        </w:tc>
        <w:tc>
          <w:tcPr>
            <w:tcW w:w="760" w:type="dxa"/>
            <w:vAlign w:val="bottom"/>
            <w:tcBorders>
              <w:right w:val="single" w:sz="8" w:color="auto"/>
            </w:tcBorders>
            <w:shd w:val="clear" w:color="auto" w:fill="D9E2F3"/>
          </w:tcPr>
          <w:p>
            <w:pPr>
              <w:spacing w:after="0"/>
              <w:rPr>
                <w:sz w:val="15"/>
                <w:szCs w:val="15"/>
                <w:color w:val="auto"/>
              </w:rPr>
            </w:pPr>
          </w:p>
        </w:tc>
        <w:tc>
          <w:tcPr>
            <w:tcW w:w="860" w:type="dxa"/>
            <w:vAlign w:val="bottom"/>
            <w:tcBorders>
              <w:right w:val="single" w:sz="8" w:color="auto"/>
            </w:tcBorders>
            <w:shd w:val="clear" w:color="auto" w:fill="D9E2F3"/>
          </w:tcPr>
          <w:p>
            <w:pPr>
              <w:spacing w:after="0"/>
              <w:rPr>
                <w:sz w:val="15"/>
                <w:szCs w:val="15"/>
                <w:color w:val="auto"/>
              </w:rPr>
            </w:pPr>
          </w:p>
        </w:tc>
        <w:tc>
          <w:tcPr>
            <w:tcW w:w="880" w:type="dxa"/>
            <w:vAlign w:val="bottom"/>
            <w:tcBorders>
              <w:right w:val="single" w:sz="8" w:color="auto"/>
            </w:tcBorders>
            <w:shd w:val="clear" w:color="auto" w:fill="D9E2F3"/>
          </w:tcPr>
          <w:p>
            <w:pPr>
              <w:spacing w:after="0"/>
              <w:rPr>
                <w:sz w:val="15"/>
                <w:szCs w:val="15"/>
                <w:color w:val="auto"/>
              </w:rPr>
            </w:pPr>
          </w:p>
        </w:tc>
        <w:tc>
          <w:tcPr>
            <w:tcW w:w="900" w:type="dxa"/>
            <w:vAlign w:val="bottom"/>
            <w:tcBorders>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bl>
    <w:p>
      <w:pPr>
        <w:sectPr>
          <w:pgSz w:w="11900" w:h="16918" w:orient="portrait"/>
          <w:cols w:equalWidth="0" w:num="1">
            <w:col w:w="10520"/>
          </w:cols>
          <w:pgMar w:left="680" w:top="814" w:right="699" w:bottom="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68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7">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1000" w:type="dxa"/>
            <w:vAlign w:val="bottom"/>
            <w:tcBorders>
              <w:left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Company</w:t>
            </w:r>
          </w:p>
        </w:tc>
        <w:tc>
          <w:tcPr>
            <w:tcW w:w="720" w:type="dxa"/>
            <w:vAlign w:val="bottom"/>
            <w:tcBorders>
              <w:right w:val="single" w:sz="8" w:color="auto"/>
            </w:tcBorders>
            <w:shd w:val="clear" w:color="auto" w:fill="D9E2F3"/>
          </w:tcPr>
          <w:p>
            <w:pPr>
              <w:spacing w:after="0"/>
              <w:rPr>
                <w:sz w:val="14"/>
                <w:szCs w:val="14"/>
                <w:color w:val="auto"/>
              </w:rPr>
            </w:pPr>
          </w:p>
        </w:tc>
        <w:tc>
          <w:tcPr>
            <w:tcW w:w="820" w:type="dxa"/>
            <w:vAlign w:val="bottom"/>
            <w:tcBorders>
              <w:right w:val="single" w:sz="8" w:color="auto"/>
            </w:tcBorders>
            <w:shd w:val="clear" w:color="auto" w:fill="D9E2F3"/>
          </w:tcPr>
          <w:p>
            <w:pPr>
              <w:spacing w:after="0"/>
              <w:rPr>
                <w:sz w:val="14"/>
                <w:szCs w:val="14"/>
                <w:color w:val="auto"/>
              </w:rPr>
            </w:pPr>
          </w:p>
        </w:tc>
        <w:tc>
          <w:tcPr>
            <w:tcW w:w="820" w:type="dxa"/>
            <w:vAlign w:val="bottom"/>
            <w:tcBorders>
              <w:right w:val="single" w:sz="8" w:color="auto"/>
            </w:tcBorders>
            <w:shd w:val="clear" w:color="auto" w:fill="D9E2F3"/>
          </w:tcPr>
          <w:p>
            <w:pPr>
              <w:spacing w:after="0"/>
              <w:rPr>
                <w:sz w:val="14"/>
                <w:szCs w:val="14"/>
                <w:color w:val="auto"/>
              </w:rPr>
            </w:pPr>
          </w:p>
        </w:tc>
        <w:tc>
          <w:tcPr>
            <w:tcW w:w="740" w:type="dxa"/>
            <w:vAlign w:val="bottom"/>
            <w:tcBorders>
              <w:right w:val="single" w:sz="8" w:color="auto"/>
            </w:tcBorders>
            <w:shd w:val="clear" w:color="auto" w:fill="D9E2F3"/>
          </w:tcPr>
          <w:p>
            <w:pPr>
              <w:spacing w:after="0"/>
              <w:rPr>
                <w:sz w:val="14"/>
                <w:szCs w:val="14"/>
                <w:color w:val="auto"/>
              </w:rPr>
            </w:pPr>
          </w:p>
        </w:tc>
        <w:tc>
          <w:tcPr>
            <w:tcW w:w="740" w:type="dxa"/>
            <w:vAlign w:val="bottom"/>
            <w:tcBorders>
              <w:right w:val="single" w:sz="8" w:color="auto"/>
            </w:tcBorders>
            <w:shd w:val="clear" w:color="auto" w:fill="D9E2F3"/>
          </w:tcPr>
          <w:p>
            <w:pPr>
              <w:spacing w:after="0"/>
              <w:rPr>
                <w:sz w:val="14"/>
                <w:szCs w:val="14"/>
                <w:color w:val="auto"/>
              </w:rPr>
            </w:pPr>
          </w:p>
        </w:tc>
        <w:tc>
          <w:tcPr>
            <w:tcW w:w="760" w:type="dxa"/>
            <w:vAlign w:val="bottom"/>
            <w:tcBorders>
              <w:right w:val="single" w:sz="8" w:color="auto"/>
            </w:tcBorders>
            <w:shd w:val="clear" w:color="auto" w:fill="D9E2F3"/>
          </w:tcPr>
          <w:p>
            <w:pPr>
              <w:spacing w:after="0"/>
              <w:rPr>
                <w:sz w:val="14"/>
                <w:szCs w:val="14"/>
                <w:color w:val="auto"/>
              </w:rPr>
            </w:pPr>
          </w:p>
        </w:tc>
        <w:tc>
          <w:tcPr>
            <w:tcW w:w="760" w:type="dxa"/>
            <w:vAlign w:val="bottom"/>
            <w:tcBorders>
              <w:right w:val="single" w:sz="8" w:color="auto"/>
            </w:tcBorders>
            <w:shd w:val="clear" w:color="auto" w:fill="D9E2F3"/>
          </w:tcPr>
          <w:p>
            <w:pPr>
              <w:spacing w:after="0"/>
              <w:rPr>
                <w:sz w:val="14"/>
                <w:szCs w:val="14"/>
                <w:color w:val="auto"/>
              </w:rPr>
            </w:pPr>
          </w:p>
        </w:tc>
        <w:tc>
          <w:tcPr>
            <w:tcW w:w="780" w:type="dxa"/>
            <w:vAlign w:val="bottom"/>
            <w:tcBorders>
              <w:right w:val="single" w:sz="8" w:color="auto"/>
            </w:tcBorders>
            <w:shd w:val="clear" w:color="auto" w:fill="D9E2F3"/>
          </w:tcPr>
          <w:p>
            <w:pPr>
              <w:spacing w:after="0"/>
              <w:rPr>
                <w:sz w:val="14"/>
                <w:szCs w:val="14"/>
                <w:color w:val="auto"/>
              </w:rPr>
            </w:pPr>
          </w:p>
        </w:tc>
        <w:tc>
          <w:tcPr>
            <w:tcW w:w="760" w:type="dxa"/>
            <w:vAlign w:val="bottom"/>
            <w:tcBorders>
              <w:right w:val="single" w:sz="8" w:color="auto"/>
            </w:tcBorders>
            <w:shd w:val="clear" w:color="auto" w:fill="D9E2F3"/>
          </w:tcPr>
          <w:p>
            <w:pPr>
              <w:spacing w:after="0"/>
              <w:rPr>
                <w:sz w:val="14"/>
                <w:szCs w:val="14"/>
                <w:color w:val="auto"/>
              </w:rPr>
            </w:pPr>
          </w:p>
        </w:tc>
        <w:tc>
          <w:tcPr>
            <w:tcW w:w="860" w:type="dxa"/>
            <w:vAlign w:val="bottom"/>
            <w:tcBorders>
              <w:right w:val="single" w:sz="8" w:color="auto"/>
            </w:tcBorders>
            <w:shd w:val="clear" w:color="auto" w:fill="D9E2F3"/>
          </w:tcPr>
          <w:p>
            <w:pPr>
              <w:spacing w:after="0"/>
              <w:rPr>
                <w:sz w:val="14"/>
                <w:szCs w:val="14"/>
                <w:color w:val="auto"/>
              </w:rPr>
            </w:pPr>
          </w:p>
        </w:tc>
        <w:tc>
          <w:tcPr>
            <w:tcW w:w="880" w:type="dxa"/>
            <w:vAlign w:val="bottom"/>
            <w:tcBorders>
              <w:right w:val="single" w:sz="8" w:color="auto"/>
            </w:tcBorders>
            <w:shd w:val="clear" w:color="auto" w:fill="D9E2F3"/>
          </w:tcPr>
          <w:p>
            <w:pPr>
              <w:spacing w:after="0"/>
              <w:rPr>
                <w:sz w:val="14"/>
                <w:szCs w:val="14"/>
                <w:color w:val="auto"/>
              </w:rPr>
            </w:pPr>
          </w:p>
        </w:tc>
        <w:tc>
          <w:tcPr>
            <w:tcW w:w="900" w:type="dxa"/>
            <w:vAlign w:val="bottom"/>
            <w:tcBorders>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LLC</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Fernley, NV</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(2600015)</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auto"/>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Seguin Sand</w:t>
            </w:r>
          </w:p>
        </w:tc>
        <w:tc>
          <w:tcPr>
            <w:tcW w:w="7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Guadalupe,</w:t>
            </w:r>
          </w:p>
        </w:tc>
        <w:tc>
          <w:tcPr>
            <w:tcW w:w="72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no</w:t>
            </w:r>
          </w:p>
        </w:tc>
        <w:tc>
          <w:tcPr>
            <w:tcW w:w="7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no</w:t>
            </w:r>
          </w:p>
        </w:tc>
        <w:tc>
          <w:tcPr>
            <w:tcW w:w="860" w:type="dxa"/>
            <w:vAlign w:val="bottom"/>
            <w:tcBorders>
              <w:right w:val="single" w:sz="8" w:color="auto"/>
            </w:tcBorders>
            <w:vMerge w:val="restart"/>
          </w:tcPr>
          <w:p>
            <w:pPr>
              <w:jc w:val="right"/>
              <w:ind w:right="328"/>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vMerge w:val="restart"/>
          </w:tcPr>
          <w:p>
            <w:pPr>
              <w:jc w:val="right"/>
              <w:ind w:right="301"/>
              <w:spacing w:after="0"/>
              <w:rPr>
                <w:sz w:val="20"/>
                <w:szCs w:val="20"/>
                <w:color w:val="auto"/>
              </w:rPr>
            </w:pPr>
            <w:r>
              <w:rPr>
                <w:rFonts w:ascii="Arial" w:cs="Arial" w:eastAsia="Arial" w:hAnsi="Arial"/>
                <w:sz w:val="14"/>
                <w:szCs w:val="14"/>
                <w:color w:val="auto"/>
              </w:rPr>
              <w:t>0</w:t>
            </w:r>
          </w:p>
        </w:tc>
        <w:tc>
          <w:tcPr>
            <w:tcW w:w="9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auto"/>
              </w:rPr>
              <w:t>TX</w:t>
            </w:r>
          </w:p>
        </w:tc>
        <w:tc>
          <w:tcPr>
            <w:tcW w:w="7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restart"/>
          </w:tcPr>
          <w:p>
            <w:pPr>
              <w:ind w:left="80"/>
              <w:spacing w:after="0" w:line="149"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000" w:type="dxa"/>
            <w:vAlign w:val="bottom"/>
            <w:tcBorders>
              <w:left w:val="single" w:sz="8" w:color="auto"/>
              <w:right w:val="single" w:sz="8" w:color="auto"/>
            </w:tcBorders>
            <w:vMerge w:val="continue"/>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(4105665)</w:t>
            </w:r>
          </w:p>
        </w:tc>
        <w:tc>
          <w:tcPr>
            <w:tcW w:w="7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auto"/>
              <w:right w:val="single" w:sz="8" w:color="auto"/>
            </w:tcBorders>
            <w:shd w:val="clear" w:color="auto" w:fill="D9E2F3"/>
          </w:tcPr>
          <w:p>
            <w:pPr>
              <w:ind w:left="100"/>
              <w:spacing w:after="0" w:line="137" w:lineRule="exact"/>
              <w:rPr>
                <w:sz w:val="20"/>
                <w:szCs w:val="20"/>
                <w:color w:val="auto"/>
              </w:rPr>
            </w:pPr>
            <w:r>
              <w:rPr>
                <w:rFonts w:ascii="Arial" w:cs="Arial" w:eastAsia="Arial" w:hAnsi="Arial"/>
                <w:sz w:val="14"/>
                <w:szCs w:val="14"/>
                <w:color w:val="auto"/>
              </w:rPr>
              <w:t>Texas</w:t>
            </w:r>
          </w:p>
        </w:tc>
        <w:tc>
          <w:tcPr>
            <w:tcW w:w="7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4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860" w:type="dxa"/>
            <w:vAlign w:val="bottom"/>
            <w:tcBorders>
              <w:right w:val="single" w:sz="8" w:color="auto"/>
            </w:tcBorders>
            <w:shd w:val="clear" w:color="auto" w:fill="D9E2F3"/>
          </w:tcPr>
          <w:p>
            <w:pPr>
              <w:spacing w:after="0"/>
              <w:rPr>
                <w:sz w:val="11"/>
                <w:szCs w:val="11"/>
                <w:color w:val="auto"/>
              </w:rPr>
            </w:pPr>
          </w:p>
        </w:tc>
        <w:tc>
          <w:tcPr>
            <w:tcW w:w="880" w:type="dxa"/>
            <w:vAlign w:val="bottom"/>
            <w:tcBorders>
              <w:right w:val="single" w:sz="8" w:color="auto"/>
            </w:tcBorders>
            <w:shd w:val="clear" w:color="auto" w:fill="D9E2F3"/>
          </w:tcPr>
          <w:p>
            <w:pPr>
              <w:spacing w:after="0"/>
              <w:rPr>
                <w:sz w:val="11"/>
                <w:szCs w:val="11"/>
                <w:color w:val="auto"/>
              </w:rPr>
            </w:pPr>
          </w:p>
        </w:tc>
        <w:tc>
          <w:tcPr>
            <w:tcW w:w="90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Lehigh</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000" w:type="dxa"/>
            <w:vAlign w:val="bottom"/>
            <w:tcBorders>
              <w:left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Cement</w:t>
            </w:r>
          </w:p>
        </w:tc>
        <w:tc>
          <w:tcPr>
            <w:tcW w:w="720" w:type="dxa"/>
            <w:vAlign w:val="bottom"/>
            <w:tcBorders>
              <w:right w:val="single" w:sz="8" w:color="auto"/>
            </w:tcBorders>
            <w:shd w:val="clear" w:color="auto" w:fill="D9E2F3"/>
          </w:tcPr>
          <w:p>
            <w:pPr>
              <w:jc w:val="right"/>
              <w:ind w:right="268"/>
              <w:spacing w:after="0"/>
              <w:rPr>
                <w:sz w:val="20"/>
                <w:szCs w:val="20"/>
                <w:color w:val="auto"/>
              </w:rPr>
            </w:pPr>
            <w:r>
              <w:rPr>
                <w:rFonts w:ascii="Arial" w:cs="Arial" w:eastAsia="Arial" w:hAnsi="Arial"/>
                <w:sz w:val="14"/>
                <w:szCs w:val="14"/>
                <w:color w:val="auto"/>
              </w:rPr>
              <w:t>8</w:t>
            </w:r>
          </w:p>
        </w:tc>
        <w:tc>
          <w:tcPr>
            <w:tcW w:w="820" w:type="dxa"/>
            <w:vAlign w:val="bottom"/>
            <w:tcBorders>
              <w:right w:val="single" w:sz="8" w:color="auto"/>
            </w:tcBorders>
            <w:shd w:val="clear" w:color="auto" w:fill="D9E2F3"/>
          </w:tcPr>
          <w:p>
            <w:pPr>
              <w:jc w:val="right"/>
              <w:ind w:right="30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D9E2F3"/>
          </w:tcPr>
          <w:p>
            <w:pPr>
              <w:jc w:val="right"/>
              <w:ind w:right="308"/>
              <w:spacing w:after="0"/>
              <w:rPr>
                <w:sz w:val="20"/>
                <w:szCs w:val="20"/>
                <w:color w:val="auto"/>
              </w:rPr>
            </w:pPr>
            <w:r>
              <w:rPr>
                <w:rFonts w:ascii="Arial" w:cs="Arial" w:eastAsia="Arial" w:hAnsi="Arial"/>
                <w:sz w:val="14"/>
                <w:szCs w:val="14"/>
                <w:color w:val="auto"/>
              </w:rPr>
              <w:t>2</w:t>
            </w:r>
          </w:p>
        </w:tc>
        <w:tc>
          <w:tcPr>
            <w:tcW w:w="740" w:type="dxa"/>
            <w:vAlign w:val="bottom"/>
            <w:tcBorders>
              <w:right w:val="single" w:sz="8" w:color="auto"/>
            </w:tcBorders>
            <w:shd w:val="clear" w:color="auto" w:fill="D9E2F3"/>
          </w:tcPr>
          <w:p>
            <w:pPr>
              <w:jc w:val="right"/>
              <w:ind w:right="268"/>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auto"/>
            </w:tcBorders>
            <w:shd w:val="clear" w:color="auto" w:fill="D9E2F3"/>
          </w:tcPr>
          <w:p>
            <w:pPr>
              <w:jc w:val="right"/>
              <w:ind w:right="268"/>
              <w:spacing w:after="0"/>
              <w:rPr>
                <w:sz w:val="20"/>
                <w:szCs w:val="20"/>
                <w:color w:val="auto"/>
              </w:rPr>
            </w:pPr>
            <w:r>
              <w:rPr>
                <w:rFonts w:ascii="Arial" w:cs="Arial" w:eastAsia="Arial" w:hAnsi="Arial"/>
                <w:sz w:val="14"/>
                <w:szCs w:val="14"/>
                <w:color w:val="auto"/>
              </w:rPr>
              <w:t>1</w:t>
            </w:r>
          </w:p>
        </w:tc>
        <w:tc>
          <w:tcPr>
            <w:tcW w:w="760" w:type="dxa"/>
            <w:vAlign w:val="bottom"/>
            <w:tcBorders>
              <w:right w:val="single" w:sz="8" w:color="auto"/>
            </w:tcBorders>
            <w:shd w:val="clear" w:color="auto" w:fill="D9E2F3"/>
          </w:tcPr>
          <w:p>
            <w:pPr>
              <w:ind w:left="440"/>
              <w:spacing w:after="0"/>
              <w:rPr>
                <w:sz w:val="20"/>
                <w:szCs w:val="20"/>
                <w:color w:val="auto"/>
              </w:rPr>
            </w:pPr>
            <w:r>
              <w:rPr>
                <w:rFonts w:ascii="Arial" w:cs="Arial" w:eastAsia="Arial" w:hAnsi="Arial"/>
                <w:sz w:val="14"/>
                <w:szCs w:val="14"/>
                <w:color w:val="auto"/>
              </w:rPr>
              <w:t>$11</w:t>
            </w:r>
          </w:p>
        </w:tc>
        <w:tc>
          <w:tcPr>
            <w:tcW w:w="760" w:type="dxa"/>
            <w:vAlign w:val="bottom"/>
            <w:tcBorders>
              <w:right w:val="single" w:sz="8" w:color="auto"/>
            </w:tcBorders>
            <w:shd w:val="clear" w:color="auto" w:fill="D9E2F3"/>
          </w:tcPr>
          <w:p>
            <w:pPr>
              <w:jc w:val="right"/>
              <w:ind w:right="288"/>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D9E2F3"/>
          </w:tcPr>
          <w:p>
            <w:pPr>
              <w:ind w:left="300"/>
              <w:spacing w:after="0"/>
              <w:rPr>
                <w:sz w:val="20"/>
                <w:szCs w:val="20"/>
                <w:color w:val="auto"/>
              </w:rPr>
            </w:pPr>
            <w:r>
              <w:rPr>
                <w:rFonts w:ascii="Arial" w:cs="Arial" w:eastAsia="Arial" w:hAnsi="Arial"/>
                <w:sz w:val="14"/>
                <w:szCs w:val="14"/>
                <w:color w:val="auto"/>
              </w:rPr>
              <w:t>no</w:t>
            </w:r>
          </w:p>
        </w:tc>
        <w:tc>
          <w:tcPr>
            <w:tcW w:w="760" w:type="dxa"/>
            <w:vAlign w:val="bottom"/>
            <w:tcBorders>
              <w:right w:val="single" w:sz="8" w:color="auto"/>
            </w:tcBorders>
            <w:shd w:val="clear" w:color="auto" w:fill="D9E2F3"/>
          </w:tcPr>
          <w:p>
            <w:pPr>
              <w:ind w:left="300"/>
              <w:spacing w:after="0"/>
              <w:rPr>
                <w:sz w:val="20"/>
                <w:szCs w:val="20"/>
                <w:color w:val="auto"/>
              </w:rPr>
            </w:pPr>
            <w:r>
              <w:rPr>
                <w:rFonts w:ascii="Arial" w:cs="Arial" w:eastAsia="Arial" w:hAnsi="Arial"/>
                <w:sz w:val="14"/>
                <w:szCs w:val="14"/>
                <w:color w:val="auto"/>
              </w:rPr>
              <w:t>no</w:t>
            </w:r>
          </w:p>
        </w:tc>
        <w:tc>
          <w:tcPr>
            <w:tcW w:w="860" w:type="dxa"/>
            <w:vAlign w:val="bottom"/>
            <w:tcBorders>
              <w:right w:val="single" w:sz="8" w:color="auto"/>
            </w:tcBorders>
            <w:shd w:val="clear" w:color="auto" w:fill="D9E2F3"/>
          </w:tcPr>
          <w:p>
            <w:pPr>
              <w:jc w:val="right"/>
              <w:ind w:right="328"/>
              <w:spacing w:after="0"/>
              <w:rPr>
                <w:sz w:val="20"/>
                <w:szCs w:val="20"/>
                <w:color w:val="auto"/>
              </w:rPr>
            </w:pPr>
            <w:r>
              <w:rPr>
                <w:rFonts w:ascii="Arial" w:cs="Arial" w:eastAsia="Arial" w:hAnsi="Arial"/>
                <w:sz w:val="14"/>
                <w:szCs w:val="14"/>
                <w:color w:val="auto"/>
              </w:rPr>
              <w:t>0</w:t>
            </w:r>
          </w:p>
        </w:tc>
        <w:tc>
          <w:tcPr>
            <w:tcW w:w="880" w:type="dxa"/>
            <w:vAlign w:val="bottom"/>
            <w:tcBorders>
              <w:right w:val="single" w:sz="8" w:color="auto"/>
            </w:tcBorders>
            <w:shd w:val="clear" w:color="auto" w:fill="D9E2F3"/>
          </w:tcPr>
          <w:p>
            <w:pPr>
              <w:jc w:val="center"/>
              <w:ind w:right="221"/>
              <w:spacing w:after="0" w:line="221" w:lineRule="exact"/>
              <w:rPr>
                <w:sz w:val="20"/>
                <w:szCs w:val="20"/>
                <w:color w:val="auto"/>
              </w:rPr>
            </w:pPr>
            <w:r>
              <w:rPr>
                <w:rFonts w:ascii="Arial" w:cs="Arial" w:eastAsia="Arial" w:hAnsi="Arial"/>
                <w:sz w:val="25"/>
                <w:szCs w:val="25"/>
                <w:color w:val="auto"/>
                <w:vertAlign w:val="subscript"/>
              </w:rPr>
              <w:t>1</w:t>
            </w:r>
            <w:r>
              <w:rPr>
                <w:rFonts w:ascii="Arial" w:cs="Arial" w:eastAsia="Arial" w:hAnsi="Arial"/>
                <w:sz w:val="9"/>
                <w:szCs w:val="9"/>
                <w:color w:val="auto"/>
              </w:rPr>
              <w:t>(1)</w:t>
            </w:r>
          </w:p>
        </w:tc>
        <w:tc>
          <w:tcPr>
            <w:tcW w:w="900" w:type="dxa"/>
            <w:vAlign w:val="bottom"/>
            <w:tcBorders>
              <w:right w:val="single" w:sz="8" w:color="auto"/>
            </w:tcBorders>
            <w:shd w:val="clear" w:color="auto" w:fill="D9E2F3"/>
          </w:tcPr>
          <w:p>
            <w:pPr>
              <w:ind w:left="400"/>
              <w:spacing w:after="0" w:line="221" w:lineRule="exact"/>
              <w:rPr>
                <w:sz w:val="20"/>
                <w:szCs w:val="20"/>
                <w:color w:val="auto"/>
              </w:rPr>
            </w:pPr>
            <w:r>
              <w:rPr>
                <w:rFonts w:ascii="Arial" w:cs="Arial" w:eastAsia="Arial" w:hAnsi="Arial"/>
                <w:sz w:val="25"/>
                <w:szCs w:val="25"/>
                <w:color w:val="auto"/>
                <w:vertAlign w:val="subscript"/>
              </w:rPr>
              <w:t>1</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76"/>
        </w:trPr>
        <w:tc>
          <w:tcPr>
            <w:tcW w:w="1000" w:type="dxa"/>
            <w:vAlign w:val="bottom"/>
            <w:tcBorders>
              <w:left w:val="single" w:sz="8" w:color="auto"/>
              <w:right w:val="single" w:sz="8" w:color="auto"/>
            </w:tcBorders>
            <w:shd w:val="clear" w:color="auto" w:fill="D9E2F3"/>
          </w:tcPr>
          <w:p>
            <w:pPr>
              <w:ind w:left="100"/>
              <w:spacing w:after="0" w:line="76" w:lineRule="exact"/>
              <w:rPr>
                <w:sz w:val="20"/>
                <w:szCs w:val="20"/>
                <w:color w:val="auto"/>
              </w:rPr>
            </w:pPr>
            <w:r>
              <w:rPr>
                <w:rFonts w:ascii="Arial" w:cs="Arial" w:eastAsia="Arial" w:hAnsi="Arial"/>
                <w:sz w:val="8"/>
                <w:szCs w:val="8"/>
                <w:color w:val="auto"/>
              </w:rPr>
              <w:t>Company</w:t>
            </w:r>
          </w:p>
        </w:tc>
        <w:tc>
          <w:tcPr>
            <w:tcW w:w="720" w:type="dxa"/>
            <w:vAlign w:val="bottom"/>
            <w:tcBorders>
              <w:right w:val="single" w:sz="8" w:color="auto"/>
            </w:tcBorders>
            <w:shd w:val="clear" w:color="auto" w:fill="D9E2F3"/>
          </w:tcPr>
          <w:p>
            <w:pPr>
              <w:spacing w:after="0"/>
              <w:rPr>
                <w:sz w:val="6"/>
                <w:szCs w:val="6"/>
                <w:color w:val="auto"/>
              </w:rPr>
            </w:pPr>
          </w:p>
        </w:tc>
        <w:tc>
          <w:tcPr>
            <w:tcW w:w="820" w:type="dxa"/>
            <w:vAlign w:val="bottom"/>
            <w:tcBorders>
              <w:right w:val="single" w:sz="8" w:color="auto"/>
            </w:tcBorders>
            <w:shd w:val="clear" w:color="auto" w:fill="D9E2F3"/>
          </w:tcPr>
          <w:p>
            <w:pPr>
              <w:spacing w:after="0"/>
              <w:rPr>
                <w:sz w:val="6"/>
                <w:szCs w:val="6"/>
                <w:color w:val="auto"/>
              </w:rPr>
            </w:pPr>
          </w:p>
        </w:tc>
        <w:tc>
          <w:tcPr>
            <w:tcW w:w="820" w:type="dxa"/>
            <w:vAlign w:val="bottom"/>
            <w:tcBorders>
              <w:right w:val="single" w:sz="8" w:color="auto"/>
            </w:tcBorders>
            <w:shd w:val="clear" w:color="auto" w:fill="D9E2F3"/>
          </w:tcPr>
          <w:p>
            <w:pPr>
              <w:spacing w:after="0"/>
              <w:rPr>
                <w:sz w:val="6"/>
                <w:szCs w:val="6"/>
                <w:color w:val="auto"/>
              </w:rPr>
            </w:pPr>
          </w:p>
        </w:tc>
        <w:tc>
          <w:tcPr>
            <w:tcW w:w="740" w:type="dxa"/>
            <w:vAlign w:val="bottom"/>
            <w:tcBorders>
              <w:right w:val="single" w:sz="8" w:color="auto"/>
            </w:tcBorders>
            <w:shd w:val="clear" w:color="auto" w:fill="D9E2F3"/>
          </w:tcPr>
          <w:p>
            <w:pPr>
              <w:spacing w:after="0"/>
              <w:rPr>
                <w:sz w:val="6"/>
                <w:szCs w:val="6"/>
                <w:color w:val="auto"/>
              </w:rPr>
            </w:pPr>
          </w:p>
        </w:tc>
        <w:tc>
          <w:tcPr>
            <w:tcW w:w="740" w:type="dxa"/>
            <w:vAlign w:val="bottom"/>
            <w:tcBorders>
              <w:right w:val="single" w:sz="8" w:color="auto"/>
            </w:tcBorders>
            <w:shd w:val="clear" w:color="auto" w:fill="D9E2F3"/>
          </w:tcPr>
          <w:p>
            <w:pPr>
              <w:spacing w:after="0"/>
              <w:rPr>
                <w:sz w:val="6"/>
                <w:szCs w:val="6"/>
                <w:color w:val="auto"/>
              </w:rPr>
            </w:pPr>
          </w:p>
        </w:tc>
        <w:tc>
          <w:tcPr>
            <w:tcW w:w="760" w:type="dxa"/>
            <w:vAlign w:val="bottom"/>
            <w:tcBorders>
              <w:right w:val="single" w:sz="8" w:color="auto"/>
            </w:tcBorders>
            <w:shd w:val="clear" w:color="auto" w:fill="D9E2F3"/>
          </w:tcPr>
          <w:p>
            <w:pPr>
              <w:ind w:left="80"/>
              <w:spacing w:after="0" w:line="76" w:lineRule="exact"/>
              <w:rPr>
                <w:sz w:val="20"/>
                <w:szCs w:val="20"/>
                <w:color w:val="auto"/>
              </w:rPr>
            </w:pPr>
            <w:r>
              <w:rPr>
                <w:rFonts w:ascii="Arial" w:cs="Arial" w:eastAsia="Arial" w:hAnsi="Arial"/>
                <w:sz w:val="8"/>
                <w:szCs w:val="8"/>
                <w:color w:val="auto"/>
              </w:rPr>
              <w:t>,316</w:t>
            </w:r>
          </w:p>
        </w:tc>
        <w:tc>
          <w:tcPr>
            <w:tcW w:w="760" w:type="dxa"/>
            <w:vAlign w:val="bottom"/>
            <w:tcBorders>
              <w:right w:val="single" w:sz="8" w:color="auto"/>
            </w:tcBorders>
            <w:shd w:val="clear" w:color="auto" w:fill="D9E2F3"/>
          </w:tcPr>
          <w:p>
            <w:pPr>
              <w:spacing w:after="0"/>
              <w:rPr>
                <w:sz w:val="6"/>
                <w:szCs w:val="6"/>
                <w:color w:val="auto"/>
              </w:rPr>
            </w:pPr>
          </w:p>
        </w:tc>
        <w:tc>
          <w:tcPr>
            <w:tcW w:w="780" w:type="dxa"/>
            <w:vAlign w:val="bottom"/>
            <w:tcBorders>
              <w:right w:val="single" w:sz="8" w:color="auto"/>
            </w:tcBorders>
            <w:shd w:val="clear" w:color="auto" w:fill="D9E2F3"/>
          </w:tcPr>
          <w:p>
            <w:pPr>
              <w:spacing w:after="0"/>
              <w:rPr>
                <w:sz w:val="6"/>
                <w:szCs w:val="6"/>
                <w:color w:val="auto"/>
              </w:rPr>
            </w:pPr>
          </w:p>
        </w:tc>
        <w:tc>
          <w:tcPr>
            <w:tcW w:w="760" w:type="dxa"/>
            <w:vAlign w:val="bottom"/>
            <w:tcBorders>
              <w:right w:val="single" w:sz="8" w:color="auto"/>
            </w:tcBorders>
            <w:shd w:val="clear" w:color="auto" w:fill="D9E2F3"/>
          </w:tcPr>
          <w:p>
            <w:pPr>
              <w:spacing w:after="0"/>
              <w:rPr>
                <w:sz w:val="6"/>
                <w:szCs w:val="6"/>
                <w:color w:val="auto"/>
              </w:rPr>
            </w:pPr>
          </w:p>
        </w:tc>
        <w:tc>
          <w:tcPr>
            <w:tcW w:w="860" w:type="dxa"/>
            <w:vAlign w:val="bottom"/>
            <w:tcBorders>
              <w:right w:val="single" w:sz="8" w:color="auto"/>
            </w:tcBorders>
            <w:shd w:val="clear" w:color="auto" w:fill="D9E2F3"/>
          </w:tcPr>
          <w:p>
            <w:pPr>
              <w:spacing w:after="0"/>
              <w:rPr>
                <w:sz w:val="6"/>
                <w:szCs w:val="6"/>
                <w:color w:val="auto"/>
              </w:rPr>
            </w:pPr>
          </w:p>
        </w:tc>
        <w:tc>
          <w:tcPr>
            <w:tcW w:w="880" w:type="dxa"/>
            <w:vAlign w:val="bottom"/>
            <w:tcBorders>
              <w:right w:val="single" w:sz="8" w:color="auto"/>
            </w:tcBorders>
            <w:shd w:val="clear" w:color="auto" w:fill="D9E2F3"/>
          </w:tcPr>
          <w:p>
            <w:pPr>
              <w:spacing w:after="0"/>
              <w:rPr>
                <w:sz w:val="6"/>
                <w:szCs w:val="6"/>
                <w:color w:val="auto"/>
              </w:rPr>
            </w:pPr>
          </w:p>
        </w:tc>
        <w:tc>
          <w:tcPr>
            <w:tcW w:w="900" w:type="dxa"/>
            <w:vAlign w:val="bottom"/>
            <w:tcBorders>
              <w:right w:val="single" w:sz="8" w:color="auto"/>
            </w:tcBorders>
            <w:shd w:val="clear" w:color="auto" w:fill="D9E2F3"/>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shd w:val="clear" w:color="auto" w:fill="D9E2F3"/>
          </w:tcPr>
          <w:p>
            <w:pPr>
              <w:ind w:left="100"/>
              <w:spacing w:after="0" w:line="149" w:lineRule="exact"/>
              <w:rPr>
                <w:sz w:val="20"/>
                <w:szCs w:val="20"/>
                <w:color w:val="auto"/>
              </w:rPr>
            </w:pPr>
            <w:r>
              <w:rPr>
                <w:rFonts w:ascii="Arial" w:cs="Arial" w:eastAsia="Arial" w:hAnsi="Arial"/>
                <w:sz w:val="14"/>
                <w:szCs w:val="14"/>
                <w:color w:val="auto"/>
              </w:rPr>
              <w:t>Buda, TX</w:t>
            </w:r>
          </w:p>
        </w:tc>
        <w:tc>
          <w:tcPr>
            <w:tcW w:w="7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860" w:type="dxa"/>
            <w:vAlign w:val="bottom"/>
            <w:tcBorders>
              <w:right w:val="single" w:sz="8" w:color="auto"/>
            </w:tcBorders>
            <w:shd w:val="clear" w:color="auto" w:fill="D9E2F3"/>
          </w:tcPr>
          <w:p>
            <w:pPr>
              <w:spacing w:after="0"/>
              <w:rPr>
                <w:sz w:val="12"/>
                <w:szCs w:val="12"/>
                <w:color w:val="auto"/>
              </w:rPr>
            </w:pPr>
          </w:p>
        </w:tc>
        <w:tc>
          <w:tcPr>
            <w:tcW w:w="880" w:type="dxa"/>
            <w:vAlign w:val="bottom"/>
            <w:tcBorders>
              <w:right w:val="single" w:sz="8" w:color="auto"/>
            </w:tcBorders>
            <w:shd w:val="clear" w:color="auto" w:fill="D9E2F3"/>
          </w:tcPr>
          <w:p>
            <w:pPr>
              <w:spacing w:after="0"/>
              <w:rPr>
                <w:sz w:val="12"/>
                <w:szCs w:val="12"/>
                <w:color w:val="auto"/>
              </w:rPr>
            </w:pPr>
          </w:p>
        </w:tc>
        <w:tc>
          <w:tcPr>
            <w:tcW w:w="90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00" w:type="dxa"/>
            <w:vAlign w:val="bottom"/>
            <w:tcBorders>
              <w:left w:val="single" w:sz="8" w:color="auto"/>
              <w:bottom w:val="single" w:sz="8" w:color="auto"/>
              <w:right w:val="single" w:sz="8" w:color="auto"/>
            </w:tcBorders>
            <w:shd w:val="clear" w:color="auto" w:fill="D9E2F3"/>
          </w:tcPr>
          <w:p>
            <w:pPr>
              <w:ind w:left="100"/>
              <w:spacing w:after="0"/>
              <w:rPr>
                <w:sz w:val="20"/>
                <w:szCs w:val="20"/>
                <w:color w:val="auto"/>
              </w:rPr>
            </w:pPr>
            <w:r>
              <w:rPr>
                <w:rFonts w:ascii="Arial" w:cs="Arial" w:eastAsia="Arial" w:hAnsi="Arial"/>
                <w:sz w:val="14"/>
                <w:szCs w:val="14"/>
                <w:color w:val="auto"/>
              </w:rPr>
              <w:t>(4102781)</w:t>
            </w:r>
          </w:p>
        </w:tc>
        <w:tc>
          <w:tcPr>
            <w:tcW w:w="7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82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4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780" w:type="dxa"/>
            <w:vAlign w:val="bottom"/>
            <w:tcBorders>
              <w:bottom w:val="single" w:sz="8" w:color="auto"/>
              <w:right w:val="single" w:sz="8" w:color="auto"/>
            </w:tcBorders>
            <w:shd w:val="clear" w:color="auto" w:fill="D9E2F3"/>
          </w:tcPr>
          <w:p>
            <w:pPr>
              <w:spacing w:after="0"/>
              <w:rPr>
                <w:sz w:val="15"/>
                <w:szCs w:val="15"/>
                <w:color w:val="auto"/>
              </w:rPr>
            </w:pPr>
          </w:p>
        </w:tc>
        <w:tc>
          <w:tcPr>
            <w:tcW w:w="760" w:type="dxa"/>
            <w:vAlign w:val="bottom"/>
            <w:tcBorders>
              <w:bottom w:val="single" w:sz="8" w:color="auto"/>
              <w:right w:val="single" w:sz="8" w:color="auto"/>
            </w:tcBorders>
            <w:shd w:val="clear" w:color="auto" w:fill="D9E2F3"/>
          </w:tcPr>
          <w:p>
            <w:pPr>
              <w:spacing w:after="0"/>
              <w:rPr>
                <w:sz w:val="15"/>
                <w:szCs w:val="15"/>
                <w:color w:val="auto"/>
              </w:rPr>
            </w:pPr>
          </w:p>
        </w:tc>
        <w:tc>
          <w:tcPr>
            <w:tcW w:w="860" w:type="dxa"/>
            <w:vAlign w:val="bottom"/>
            <w:tcBorders>
              <w:bottom w:val="single" w:sz="8" w:color="auto"/>
              <w:right w:val="single" w:sz="8" w:color="auto"/>
            </w:tcBorders>
            <w:shd w:val="clear" w:color="auto" w:fill="D9E2F3"/>
          </w:tcPr>
          <w:p>
            <w:pPr>
              <w:spacing w:after="0"/>
              <w:rPr>
                <w:sz w:val="15"/>
                <w:szCs w:val="15"/>
                <w:color w:val="auto"/>
              </w:rPr>
            </w:pPr>
          </w:p>
        </w:tc>
        <w:tc>
          <w:tcPr>
            <w:tcW w:w="880" w:type="dxa"/>
            <w:vAlign w:val="bottom"/>
            <w:tcBorders>
              <w:bottom w:val="single" w:sz="8" w:color="auto"/>
              <w:right w:val="single" w:sz="8" w:color="auto"/>
            </w:tcBorders>
            <w:shd w:val="clear" w:color="auto" w:fill="D9E2F3"/>
          </w:tcPr>
          <w:p>
            <w:pPr>
              <w:spacing w:after="0"/>
              <w:rPr>
                <w:sz w:val="15"/>
                <w:szCs w:val="15"/>
                <w:color w:val="auto"/>
              </w:rPr>
            </w:pPr>
          </w:p>
        </w:tc>
        <w:tc>
          <w:tcPr>
            <w:tcW w:w="900" w:type="dxa"/>
            <w:vAlign w:val="bottom"/>
            <w:tcBorders>
              <w:bottom w:val="single" w:sz="8" w:color="auto"/>
              <w:right w:val="single" w:sz="8" w:color="auto"/>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360" w:hanging="714"/>
        <w:spacing w:after="0"/>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771525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108" w:right="69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214"/>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upperLetter"/>
      <w:start w:val="1"/>
    </w:lvl>
  </w:abstractNum>
  <w:abstractNum w:abstractNumId="22">
    <w:nsid w:val="3804823E"/>
    <w:multiLevelType w:val="hybridMultilevel"/>
    <w:lvl w:ilvl="0">
      <w:lvlJc w:val="left"/>
      <w:lvlText w:val="(%1)"/>
      <w:numFmt w:val="upperLetter"/>
      <w:start w:val="2"/>
    </w:lvl>
  </w:abstractNum>
  <w:abstractNum w:abstractNumId="23">
    <w:nsid w:val="77465F01"/>
    <w:multiLevelType w:val="hybridMultilevel"/>
    <w:lvl w:ilvl="0">
      <w:lvlJc w:val="left"/>
      <w:lvlText w:val="(%1)"/>
      <w:numFmt w:val="upperLetter"/>
      <w:start w:val="3"/>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0"/>
    </w:lvl>
  </w:abstractNum>
  <w:abstractNum w:abstractNumId="28">
    <w:nsid w:val="51EAD36B"/>
    <w:multiLevelType w:val="hybridMultilevel"/>
    <w:lvl w:ilvl="0">
      <w:lvlJc w:val="left"/>
      <w:lvlText w:val="%1"/>
      <w:numFmt w:val="decimal"/>
      <w:start w:val="10"/>
    </w:lvl>
  </w:abstractNum>
  <w:abstractNum w:abstractNumId="29">
    <w:nsid w:val="2D517796"/>
    <w:multiLevelType w:val="hybridMultilevel"/>
    <w:lvl w:ilvl="0">
      <w:lvlJc w:val="left"/>
      <w:lvlText w:val="%1"/>
      <w:numFmt w:val="decimal"/>
      <w:start w:val="10"/>
    </w:lvl>
  </w:abstractNum>
  <w:abstractNum w:abstractNumId="30">
    <w:nsid w:val="580BD78F"/>
    <w:multiLevelType w:val="hybridMultilevel"/>
    <w:lvl w:ilvl="0">
      <w:lvlJc w:val="left"/>
      <w:lvlText w:val="%1"/>
      <w:numFmt w:val="decimal"/>
      <w:start w:val="10"/>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3"/>
    </w:lvl>
  </w:abstractNum>
  <w:abstractNum w:abstractNumId="34">
    <w:nsid w:val="6A2342EC"/>
    <w:multiLevelType w:val="hybridMultilevel"/>
    <w:lvl w:ilvl="0">
      <w:lvlJc w:val="left"/>
      <w:lvlText w:val="%1."/>
      <w:numFmt w:val="upperLetter"/>
      <w:start w:val="1"/>
    </w:lvl>
    <w:lvl w:ilvl="1">
      <w:lvlJc w:val="left"/>
      <w:lvlText w:val="%2."/>
      <w:numFmt w:val="decimal"/>
      <w:start w:val="1"/>
    </w:lvl>
  </w:abstractNum>
  <w:abstractNum w:abstractNumId="35">
    <w:nsid w:val="2A487CB0"/>
    <w:multiLevelType w:val="hybridMultilevel"/>
    <w:lvl w:ilvl="0">
      <w:lvlJc w:val="left"/>
      <w:lvlText w:val="%1"/>
      <w:numFmt w:val="decimal"/>
      <w:start w:val="104"/>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decimal"/>
      <w:start w:val="5"/>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decimal"/>
      <w:start w:val="5"/>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12" Type="http://schemas.openxmlformats.org/officeDocument/2006/relationships/image" Target="media/image195.png"/><Relationship Id="rId227" Type="http://schemas.openxmlformats.org/officeDocument/2006/relationships/image" Target="media/image196.png"/><Relationship Id="rId243" Type="http://schemas.openxmlformats.org/officeDocument/2006/relationships/image" Target="media/image197.png"/><Relationship Id="rId259"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6" Type="http://schemas.openxmlformats.org/officeDocument/2006/relationships/image" Target="media/image218.png"/><Relationship Id="rId287"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0" Type="http://schemas.openxmlformats.org/officeDocument/2006/relationships/image" Target="media/image222.png"/><Relationship Id="rId291" Type="http://schemas.openxmlformats.org/officeDocument/2006/relationships/image" Target="media/image223.png"/><Relationship Id="rId292" Type="http://schemas.openxmlformats.org/officeDocument/2006/relationships/image" Target="media/image224.png"/><Relationship Id="rId293" Type="http://schemas.openxmlformats.org/officeDocument/2006/relationships/image" Target="media/image225.png"/><Relationship Id="rId294" Type="http://schemas.openxmlformats.org/officeDocument/2006/relationships/image" Target="media/image226.png"/><Relationship Id="rId295" Type="http://schemas.openxmlformats.org/officeDocument/2006/relationships/image" Target="media/image227.png"/><Relationship Id="rId296" Type="http://schemas.openxmlformats.org/officeDocument/2006/relationships/image" Target="media/image228.png"/><Relationship Id="rId297" Type="http://schemas.openxmlformats.org/officeDocument/2006/relationships/image" Target="media/image229.png"/><Relationship Id="rId298" Type="http://schemas.openxmlformats.org/officeDocument/2006/relationships/image" Target="media/image230.png"/><Relationship Id="rId202" Type="http://schemas.openxmlformats.org/officeDocument/2006/relationships/hyperlink" Target="https://www.sec.gov/Archives/edgar/data/0000918646/000095013403015046/d10221aexv2w1.htm" TargetMode="External"/><Relationship Id="rId203" Type="http://schemas.openxmlformats.org/officeDocument/2006/relationships/hyperlink" Target="https://www.sec.gov/Archives/edgar/data/0000918646/000095013403015046/d10221aexv2w2.htm" TargetMode="External"/><Relationship Id="rId204" Type="http://schemas.openxmlformats.org/officeDocument/2006/relationships/hyperlink" Target="https://www.sec.gov/Archives/edgar/data/0000918646/000095013406007120/d34975exv3w1.htm" TargetMode="External"/><Relationship Id="rId205" Type="http://schemas.openxmlformats.org/officeDocument/2006/relationships/hyperlink" Target="https://www.sec.gov/Archives/edgar/data/0000918646/000095013406007120/d34975exv3w2.htm" TargetMode="External"/><Relationship Id="rId206" Type="http://schemas.openxmlformats.org/officeDocument/2006/relationships/hyperlink" Target="https://www.sec.gov/Archives/edgar/data/0000918646/000095013407012499/d47008exv3w3.htm" TargetMode="External"/><Relationship Id="rId207" Type="http://schemas.openxmlformats.org/officeDocument/2006/relationships/hyperlink" Target="https://www.sec.gov/Archives/edgar/data/918646/000095017022010413/exp-ex4_1.htm" TargetMode="External"/><Relationship Id="rId208" Type="http://schemas.openxmlformats.org/officeDocument/2006/relationships/hyperlink" Target="https://www.sec.gov/Archives/edgar/data/0000918646/000119312521206385/d66136dex101.htm" TargetMode="External"/><Relationship Id="rId209" Type="http://schemas.openxmlformats.org/officeDocument/2006/relationships/hyperlink" Target="https://www.sec.gov/Archives/edgar/data/918646/000119312522143703/d284371dex101.htm" TargetMode="External"/><Relationship Id="rId210" Type="http://schemas.openxmlformats.org/officeDocument/2006/relationships/hyperlink" Target="https://www.sec.gov/Archives/edgar/data/918646/000095013401503553/d88409ex10-2a.txt" TargetMode="External"/><Relationship Id="rId211" Type="http://schemas.openxmlformats.org/officeDocument/2006/relationships/hyperlink" Target="https://www.sec.gov/Archives/edgar/data/0000918646/000119312521206385/d66136dex42.htm" TargetMode="External"/><Relationship Id="rId213" Type="http://schemas.openxmlformats.org/officeDocument/2006/relationships/hyperlink" Target="https://www.sec.gov/Archives/edgar/data/918646/000095013401503553/d88409ex10-2.txt" TargetMode="External"/><Relationship Id="rId214" Type="http://schemas.openxmlformats.org/officeDocument/2006/relationships/hyperlink" Target="https://www.sec.gov/Archives/edgar/data/918646/000119312513267613/d555548ddef14a.htm" TargetMode="External"/><Relationship Id="rId215" Type="http://schemas.openxmlformats.org/officeDocument/2006/relationships/hyperlink" Target="https://www.sec.gov/Archives/edgar/data/0000918646/000156459017014404/exp-ex104_60.htm" TargetMode="External"/><Relationship Id="rId216" Type="http://schemas.openxmlformats.org/officeDocument/2006/relationships/hyperlink" Target="https://www.sec.gov/Archives/edgar/data/0000918646/000095013406014442/d38289exv10w1.htm" TargetMode="External"/><Relationship Id="rId217" Type="http://schemas.openxmlformats.org/officeDocument/2006/relationships/hyperlink" Target="https://www.sec.gov/Archives/edgar/data/918646/000119312510181321/dex108.htm" TargetMode="External"/><Relationship Id="rId218" Type="http://schemas.openxmlformats.org/officeDocument/2006/relationships/hyperlink" Target="https://www.sec.gov/Archives/edgar/data/918646/000119312513432851/d599914dex102.htm" TargetMode="External"/><Relationship Id="rId219" Type="http://schemas.openxmlformats.org/officeDocument/2006/relationships/hyperlink" Target="https://www.sec.gov/Archives/edgar/data/918646/000119312513432851/d599914dex105.htm" TargetMode="External"/><Relationship Id="rId220" Type="http://schemas.openxmlformats.org/officeDocument/2006/relationships/hyperlink" Target="https://www.sec.gov/Archives/edgar/data/918646/000156459014005047/exp-ex102_20140930429.htm" TargetMode="External"/><Relationship Id="rId221" Type="http://schemas.openxmlformats.org/officeDocument/2006/relationships/hyperlink" Target="https://www.sec.gov/Archives/edgar/data/918646/000156459014005047/exp-ex104_20140930431.htm" TargetMode="External"/><Relationship Id="rId222" Type="http://schemas.openxmlformats.org/officeDocument/2006/relationships/hyperlink" Target="https://www.sec.gov/Archives/edgar/data/918646/000156459014005047/exp-ex105_20140930432.htm" TargetMode="External"/><Relationship Id="rId223" Type="http://schemas.openxmlformats.org/officeDocument/2006/relationships/hyperlink" Target="https://www.sec.gov/Archives/edgar/data/918646/000156459015006063/exp-ex106_252.htm" TargetMode="External"/><Relationship Id="rId224" Type="http://schemas.openxmlformats.org/officeDocument/2006/relationships/hyperlink" Target="https://www.sec.gov/Archives/edgar/data/918646/000156459015008677/exp-ex102_272.htm" TargetMode="External"/><Relationship Id="rId225" Type="http://schemas.openxmlformats.org/officeDocument/2006/relationships/hyperlink" Target="https://www.sec.gov/Archives/edgar/data/918646/000156459015008677/exp-ex103_273.htm" TargetMode="External"/><Relationship Id="rId226" Type="http://schemas.openxmlformats.org/officeDocument/2006/relationships/hyperlink" Target="https://www.sec.gov/Archives/edgar/data/918646/000156459016026026/exp-ex102_129.htm" TargetMode="External"/><Relationship Id="rId228" Type="http://schemas.openxmlformats.org/officeDocument/2006/relationships/hyperlink" Target="https://www.sec.gov/Archives/edgar/data/918646/000156459016026026/exp-ex103_128.htm" TargetMode="External"/><Relationship Id="rId229" Type="http://schemas.openxmlformats.org/officeDocument/2006/relationships/hyperlink" Target="https://www.sec.gov/Archives/edgar/data/918646/000156459016026026/exp-ex104_127.htm" TargetMode="External"/><Relationship Id="rId230" Type="http://schemas.openxmlformats.org/officeDocument/2006/relationships/hyperlink" Target="https://www.sec.gov/Archives/edgar/data/918646/000156459016026026/exp-ex105_126.htm" TargetMode="External"/><Relationship Id="rId231" Type="http://schemas.openxmlformats.org/officeDocument/2006/relationships/hyperlink" Target="https://www.sec.gov/Archives/edgar/data/918646/000156459017020034/exp-ex102_52.htm" TargetMode="External"/><Relationship Id="rId232" Type="http://schemas.openxmlformats.org/officeDocument/2006/relationships/hyperlink" Target="https://www.sec.gov/Archives/edgar/data/918646/000156459017014404/exp-ex105_64.htm" TargetMode="External"/><Relationship Id="rId233" Type="http://schemas.openxmlformats.org/officeDocument/2006/relationships/hyperlink" Target="https://www.sec.gov/Archives/edgar/data/918646/000156459017014404/exp-ex106_63.htm" TargetMode="External"/><Relationship Id="rId234" Type="http://schemas.openxmlformats.org/officeDocument/2006/relationships/hyperlink" Target="https://www.sec.gov/Archives/edgar/data/918646/000156459018017911/exp-ex103_169.htm" TargetMode="External"/><Relationship Id="rId235" Type="http://schemas.openxmlformats.org/officeDocument/2006/relationships/hyperlink" Target="https://www.sec.gov/Archives/edgar/data/918646/000156459018017911/exp-ex104_168.htm" TargetMode="External"/><Relationship Id="rId236" Type="http://schemas.openxmlformats.org/officeDocument/2006/relationships/hyperlink" Target="https://www.sec.gov/Archives/edgar/data/918646/000156459018025641/exp-ex102_261.htm" TargetMode="External"/><Relationship Id="rId237" Type="http://schemas.openxmlformats.org/officeDocument/2006/relationships/hyperlink" Target="https://www.sec.gov/Archives/edgar/data/918646/000119312519024134/d629735dex46.htm" TargetMode="External"/><Relationship Id="rId238" Type="http://schemas.openxmlformats.org/officeDocument/2006/relationships/hyperlink" Target="https://www.sec.gov/Archives/edgar/data/918646/000095013400005170/0000950134-00-005170-0002.txt" TargetMode="External"/><Relationship Id="rId239" Type="http://schemas.openxmlformats.org/officeDocument/2006/relationships/hyperlink" Target="https://www.sec.gov/Archives/edgar/data/918646/000095013406010995/d36609exv10w4xay.htm" TargetMode="External"/><Relationship Id="rId240" Type="http://schemas.openxmlformats.org/officeDocument/2006/relationships/hyperlink" Target="https://www.sec.gov/Archives/edgar/data/918646/000095013404008774/d15917exv10w5.txt" TargetMode="External"/><Relationship Id="rId241" Type="http://schemas.openxmlformats.org/officeDocument/2006/relationships/hyperlink" Target="https://www.sec.gov/Archives/edgar/data/918646/000095013404008774/d15917exv10w9.txt" TargetMode="External"/><Relationship Id="rId242" Type="http://schemas.openxmlformats.org/officeDocument/2006/relationships/hyperlink" Target="https://www.sec.gov/Archives/edgar/data/918646/000119312520147444/d934029dex101.htm" TargetMode="External"/><Relationship Id="rId244" Type="http://schemas.openxmlformats.org/officeDocument/2006/relationships/hyperlink" Target="https://www.sec.gov/Archives/edgar/data/918646/000119312520147444/d934029dex102.htm" TargetMode="External"/><Relationship Id="rId245" Type="http://schemas.openxmlformats.org/officeDocument/2006/relationships/hyperlink" Target="https://www.sec.gov/Archives/edgar/data/918646/000156459021038668/exp-ex105_464.htm" TargetMode="External"/><Relationship Id="rId246" Type="http://schemas.openxmlformats.org/officeDocument/2006/relationships/hyperlink" Target="https://www.sec.gov/Archives/edgar/data/918646/000119312519181237/d767495dex101.htm" TargetMode="External"/><Relationship Id="rId247" Type="http://schemas.openxmlformats.org/officeDocument/2006/relationships/hyperlink" Target="https://www.sec.gov/Archives/edgar/data/918646/000119312519181237/d767495dex102.htm" TargetMode="External"/><Relationship Id="rId248" Type="http://schemas.openxmlformats.org/officeDocument/2006/relationships/hyperlink" Target="https://www.sec.gov/Archives/edgar/data/918646/000119312519181237/d767495dex103.htm" TargetMode="External"/><Relationship Id="rId249" Type="http://schemas.openxmlformats.org/officeDocument/2006/relationships/hyperlink" Target="https://www.sec.gov/Archives/edgar/data/918646/000156459019027178/exp-ex108_10.htm" TargetMode="External"/><Relationship Id="rId250" Type="http://schemas.openxmlformats.org/officeDocument/2006/relationships/hyperlink" Target="https://www.sec.gov/Archives/edgar/data/918646/000156459019027178/exp-ex109_6.htm" TargetMode="External"/><Relationship Id="rId251" Type="http://schemas.openxmlformats.org/officeDocument/2006/relationships/hyperlink" Target="https://www.sec.gov/Archives/edgar/data/918646/000156459020034976/exp-ex103_394.htm" TargetMode="External"/><Relationship Id="rId252" Type="http://schemas.openxmlformats.org/officeDocument/2006/relationships/hyperlink" Target="https://www.sec.gov/Archives/edgar/data/918646/000156459020034976/exp-ex104_395.htm" TargetMode="External"/><Relationship Id="rId253" Type="http://schemas.openxmlformats.org/officeDocument/2006/relationships/hyperlink" Target="https://www.sec.gov/Archives/edgar/data/918646/000156459020034976/exp-ex105_393.htm" TargetMode="External"/><Relationship Id="rId254" Type="http://schemas.openxmlformats.org/officeDocument/2006/relationships/hyperlink" Target="https://www.sec.gov/Archives/edgar/data/918646/000156459020034976/exp-ex106_392.htm" TargetMode="External"/><Relationship Id="rId255" Type="http://schemas.openxmlformats.org/officeDocument/2006/relationships/hyperlink" Target="https://www.sec.gov/Archives/edgar/data/918646/000156459021003065/exp-ex102_244.htm" TargetMode="External"/><Relationship Id="rId256" Type="http://schemas.openxmlformats.org/officeDocument/2006/relationships/hyperlink" Target="https://www.sec.gov/Archives/edgar/data/0000918646/000156459021038668/exp-ex103_38.htm" TargetMode="External"/><Relationship Id="rId257" Type="http://schemas.openxmlformats.org/officeDocument/2006/relationships/hyperlink" Target="https://www.sec.gov/Archives/edgar/data/0000918646/000156459021038668/exp-ex104_37.htm" TargetMode="External"/><Relationship Id="rId258" Type="http://schemas.openxmlformats.org/officeDocument/2006/relationships/hyperlink" Target="https://www.sec.gov/Archives/edgar/data/0000918646/000095017021002466/exp-ex10_1.htm" TargetMode="External"/><Relationship Id="rId260" Type="http://schemas.openxmlformats.org/officeDocument/2006/relationships/hyperlink" Target="https://www.sec.gov/Archives/edgar/data/0000918646/000095017021002466/exp-ex10_3.htm" TargetMode="External"/><Relationship Id="rId261" Type="http://schemas.openxmlformats.org/officeDocument/2006/relationships/hyperlink" Target="https://www.sec.gov/Archives/edgar/data/918646/000095017022013395/exp-ex10_5.htm" TargetMode="External"/><Relationship Id="rId262" Type="http://schemas.openxmlformats.org/officeDocument/2006/relationships/hyperlink" Target="https://www.sec.gov/Archives/edgar/data/918646/000095017022013395/exp-ex10_6.htm" TargetMode="External"/><Relationship Id="rId263" Type="http://schemas.openxmlformats.org/officeDocument/2006/relationships/hyperlink" Target="https://www.sec.gov/Archives/edgar/data/918646/000095017022013395/exp-ex10_7.htm" TargetMode="External"/><Relationship Id="rId264" Type="http://schemas.openxmlformats.org/officeDocument/2006/relationships/hyperlink" Target="https://www.sec.gov/Archives/edgar/data/918646/000095017022013395/exp-ex10_8.htm" TargetMode="External"/><Relationship Id="rId265" Type="http://schemas.openxmlformats.org/officeDocument/2006/relationships/hyperlink" Target="https://www.sec.gov/Archives/edgar/data/918646/000095017022020194/exp-ex10_2.htm" TargetMode="External"/><Relationship Id="rId266" Type="http://schemas.openxmlformats.org/officeDocument/2006/relationships/hyperlink" Target="https://www.sec.gov/Archives/edgar/data/918646/000095017022020194/exp-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2023-05-19T15:59:41Z</dcterms:created>
  <dcterms:modified xsi:type="dcterms:W3CDTF">2023-05-19T15:59:41Z</dcterms:modified>
</cp:coreProperties>
</file>